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090CFFA9" w14:textId="77777777">
        <w:trPr>
          <w:jc w:val="center"/>
        </w:trPr>
        <w:tc>
          <w:tcPr>
            <w:tcW w:w="9360" w:type="dxa"/>
            <w:shd w:val="clear" w:color="auto" w:fill="17365D"/>
          </w:tcPr>
          <w:p w14:paraId="0AFF8E91" w14:textId="77777777" w:rsidR="00000000" w:rsidRDefault="00000000"/>
        </w:tc>
      </w:tr>
    </w:tbl>
    <w:p w14:paraId="52B8A599" w14:textId="77777777" w:rsidR="00000000" w:rsidRDefault="00000000">
      <w:pPr>
        <w:spacing w:before="320" w:after="160"/>
        <w:jc w:val="center"/>
      </w:pPr>
      <w:r>
        <w:rPr>
          <w:noProof/>
        </w:rPr>
        <w:drawing>
          <wp:inline distT="0" distB="0" distL="0" distR="0" wp14:anchorId="3E79FB42" wp14:editId="68A8EE63">
            <wp:extent cx="1600200" cy="640080"/>
            <wp:effectExtent l="0" t="0" r="0" b="0"/>
            <wp:docPr id="2047035310" name="Picture 2047035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1600200" cy="640080"/>
                    </a:xfrm>
                    <a:prstGeom prst="rect">
                      <a:avLst/>
                    </a:prstGeom>
                  </pic:spPr>
                </pic:pic>
              </a:graphicData>
            </a:graphic>
          </wp:inline>
        </w:drawing>
      </w:r>
    </w:p>
    <w:p w14:paraId="10B5C90F" w14:textId="77777777" w:rsidR="00000000" w:rsidRDefault="00000000">
      <w:pPr>
        <w:spacing w:after="20" w:line="240" w:lineRule="auto"/>
        <w:jc w:val="center"/>
      </w:pPr>
      <w:r>
        <w:rPr>
          <w:b/>
          <w:color w:val="17365D"/>
          <w:sz w:val="30"/>
        </w:rPr>
        <w:t>University of Wales Trinity Saint David</w:t>
      </w:r>
    </w:p>
    <w:p w14:paraId="28EEFC33" w14:textId="77777777" w:rsidR="00000000" w:rsidRDefault="00000000">
      <w:pPr>
        <w:spacing w:after="180" w:line="240" w:lineRule="auto"/>
        <w:jc w:val="center"/>
      </w:pPr>
      <w:r>
        <w:rPr>
          <w:color w:val="555555"/>
          <w:sz w:val="22"/>
        </w:rPr>
        <w:t>MASTER OF BUSINESS ADMINISTRATION</w:t>
      </w:r>
    </w:p>
    <w:p w14:paraId="734DE965" w14:textId="77777777" w:rsidR="00000000" w:rsidRDefault="00000000">
      <w:pPr>
        <w:spacing w:after="40" w:line="240" w:lineRule="auto"/>
        <w:jc w:val="center"/>
      </w:pPr>
      <w:r>
        <w:rPr>
          <w:b/>
          <w:color w:val="17365D"/>
          <w:sz w:val="44"/>
        </w:rPr>
        <w:t>Market Entry Strategy for ALDI Süd in Canada</w:t>
      </w:r>
    </w:p>
    <w:p w14:paraId="0EFFC2BA" w14:textId="77777777" w:rsidR="00000000" w:rsidRDefault="00000000">
      <w:pPr>
        <w:spacing w:after="100" w:line="240" w:lineRule="auto"/>
        <w:jc w:val="center"/>
      </w:pPr>
      <w:r>
        <w:rPr>
          <w:color w:val="4F4F4F"/>
          <w:sz w:val="30"/>
        </w:rPr>
        <w:t>A Critical Evaluation of International Strategy,</w:t>
      </w:r>
    </w:p>
    <w:p w14:paraId="04DE16F1" w14:textId="77777777" w:rsidR="00000000" w:rsidRDefault="00000000">
      <w:pPr>
        <w:spacing w:after="180" w:line="240" w:lineRule="auto"/>
        <w:jc w:val="center"/>
      </w:pPr>
      <w:r>
        <w:rPr>
          <w:b/>
          <w:color w:val="A67C00"/>
          <w:sz w:val="34"/>
        </w:rPr>
        <w:t>Host-Country Attractiveness and Entry Mode Choice</w:t>
      </w:r>
    </w:p>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6C1140DC" w14:textId="77777777">
        <w:trPr>
          <w:jc w:val="center"/>
        </w:trPr>
        <w:tc>
          <w:tcPr>
            <w:tcW w:w="9360" w:type="dxa"/>
            <w:shd w:val="clear" w:color="auto" w:fill="D6B656"/>
          </w:tcPr>
          <w:p w14:paraId="5722C5F6" w14:textId="77777777" w:rsidR="00000000" w:rsidRDefault="00000000"/>
        </w:tc>
      </w:tr>
    </w:tbl>
    <w:p w14:paraId="6CF23799" w14:textId="77777777" w:rsidR="00000000" w:rsidRDefault="00000000">
      <w:pPr>
        <w:spacing w:after="80" w:line="240" w:lineRule="auto"/>
        <w:jc w:val="center"/>
      </w:pPr>
    </w:p>
    <w:tbl>
      <w:tblPr>
        <w:tblW w:w="0" w:type="auto"/>
        <w:jc w:val="center"/>
        <w:tblBorders>
          <w:top w:val="single" w:sz="4" w:space="0" w:color="C8D2DF"/>
          <w:left w:val="single" w:sz="4" w:space="0" w:color="C8D2DF"/>
          <w:bottom w:val="single" w:sz="4" w:space="0" w:color="C8D2DF"/>
          <w:right w:val="single" w:sz="4" w:space="0" w:color="C8D2DF"/>
          <w:insideH w:val="single" w:sz="4" w:space="0" w:color="C8D2DF"/>
          <w:insideV w:val="single" w:sz="4" w:space="0" w:color="C8D2DF"/>
        </w:tblBorders>
        <w:tblLayout w:type="fixed"/>
        <w:tblLook w:val="04A0" w:firstRow="1" w:lastRow="0" w:firstColumn="1" w:lastColumn="0" w:noHBand="0" w:noVBand="1"/>
      </w:tblPr>
      <w:tblGrid>
        <w:gridCol w:w="4680"/>
        <w:gridCol w:w="4680"/>
      </w:tblGrid>
      <w:tr w:rsidR="00D67A93" w14:paraId="5E0E02AD" w14:textId="77777777">
        <w:trPr>
          <w:jc w:val="center"/>
        </w:trPr>
        <w:tc>
          <w:tcPr>
            <w:tcW w:w="4680" w:type="dxa"/>
            <w:shd w:val="clear" w:color="auto" w:fill="EAF0F7"/>
            <w:tcMar>
              <w:top w:w="60" w:type="dxa"/>
              <w:left w:w="150" w:type="dxa"/>
              <w:bottom w:w="60" w:type="dxa"/>
              <w:right w:w="150" w:type="dxa"/>
            </w:tcMar>
            <w:vAlign w:val="center"/>
          </w:tcPr>
          <w:p w14:paraId="234BD634" w14:textId="77777777" w:rsidR="00000000" w:rsidRDefault="00000000">
            <w:r>
              <w:rPr>
                <w:b/>
                <w:color w:val="17365D"/>
                <w:sz w:val="21"/>
              </w:rPr>
              <w:t>Programme</w:t>
            </w:r>
          </w:p>
        </w:tc>
        <w:tc>
          <w:tcPr>
            <w:tcW w:w="4680" w:type="dxa"/>
            <w:tcMar>
              <w:top w:w="60" w:type="dxa"/>
              <w:left w:w="170" w:type="dxa"/>
              <w:bottom w:w="60" w:type="dxa"/>
              <w:right w:w="170" w:type="dxa"/>
            </w:tcMar>
            <w:vAlign w:val="center"/>
          </w:tcPr>
          <w:p w14:paraId="2F6558D7" w14:textId="77777777" w:rsidR="00000000" w:rsidRDefault="00000000">
            <w:r>
              <w:rPr>
                <w:color w:val="333333"/>
                <w:sz w:val="21"/>
              </w:rPr>
              <w:t>MBA in International Business</w:t>
            </w:r>
          </w:p>
        </w:tc>
      </w:tr>
      <w:tr w:rsidR="00D67A93" w14:paraId="6EC419A8" w14:textId="77777777">
        <w:trPr>
          <w:jc w:val="center"/>
        </w:trPr>
        <w:tc>
          <w:tcPr>
            <w:tcW w:w="4680" w:type="dxa"/>
            <w:shd w:val="clear" w:color="auto" w:fill="EAF0F7"/>
            <w:tcMar>
              <w:top w:w="60" w:type="dxa"/>
              <w:left w:w="150" w:type="dxa"/>
              <w:bottom w:w="60" w:type="dxa"/>
              <w:right w:w="150" w:type="dxa"/>
            </w:tcMar>
            <w:vAlign w:val="center"/>
          </w:tcPr>
          <w:p w14:paraId="5A898721" w14:textId="77777777" w:rsidR="00000000" w:rsidRDefault="00000000">
            <w:r>
              <w:rPr>
                <w:b/>
                <w:color w:val="17365D"/>
                <w:sz w:val="21"/>
              </w:rPr>
              <w:t>Module</w:t>
            </w:r>
          </w:p>
        </w:tc>
        <w:tc>
          <w:tcPr>
            <w:tcW w:w="4680" w:type="dxa"/>
            <w:tcMar>
              <w:top w:w="60" w:type="dxa"/>
              <w:left w:w="170" w:type="dxa"/>
              <w:bottom w:w="60" w:type="dxa"/>
              <w:right w:w="170" w:type="dxa"/>
            </w:tcMar>
            <w:vAlign w:val="center"/>
          </w:tcPr>
          <w:p w14:paraId="6911E67C" w14:textId="77777777" w:rsidR="00000000" w:rsidRDefault="00000000">
            <w:r>
              <w:rPr>
                <w:color w:val="333333"/>
                <w:sz w:val="21"/>
              </w:rPr>
              <w:t>International Business Concepts</w:t>
            </w:r>
          </w:p>
        </w:tc>
      </w:tr>
      <w:tr w:rsidR="00D67A93" w14:paraId="232991B7" w14:textId="77777777">
        <w:trPr>
          <w:jc w:val="center"/>
        </w:trPr>
        <w:tc>
          <w:tcPr>
            <w:tcW w:w="4680" w:type="dxa"/>
            <w:shd w:val="clear" w:color="auto" w:fill="EAF0F7"/>
            <w:tcMar>
              <w:top w:w="60" w:type="dxa"/>
              <w:left w:w="150" w:type="dxa"/>
              <w:bottom w:w="60" w:type="dxa"/>
              <w:right w:w="150" w:type="dxa"/>
            </w:tcMar>
            <w:vAlign w:val="center"/>
          </w:tcPr>
          <w:p w14:paraId="74193079" w14:textId="77777777" w:rsidR="00000000" w:rsidRDefault="00000000">
            <w:r>
              <w:rPr>
                <w:b/>
                <w:color w:val="17365D"/>
                <w:sz w:val="21"/>
              </w:rPr>
              <w:t>Module code</w:t>
            </w:r>
          </w:p>
        </w:tc>
        <w:tc>
          <w:tcPr>
            <w:tcW w:w="4680" w:type="dxa"/>
            <w:tcMar>
              <w:top w:w="60" w:type="dxa"/>
              <w:left w:w="170" w:type="dxa"/>
              <w:bottom w:w="60" w:type="dxa"/>
              <w:right w:w="170" w:type="dxa"/>
            </w:tcMar>
            <w:vAlign w:val="center"/>
          </w:tcPr>
          <w:p w14:paraId="05658846" w14:textId="77777777" w:rsidR="00000000" w:rsidRDefault="00000000">
            <w:r>
              <w:rPr>
                <w:color w:val="333333"/>
                <w:sz w:val="21"/>
              </w:rPr>
              <w:t>LCMB7034</w:t>
            </w:r>
          </w:p>
        </w:tc>
      </w:tr>
      <w:tr w:rsidR="00D67A93" w14:paraId="300C64AB" w14:textId="77777777">
        <w:trPr>
          <w:jc w:val="center"/>
        </w:trPr>
        <w:tc>
          <w:tcPr>
            <w:tcW w:w="4680" w:type="dxa"/>
            <w:shd w:val="clear" w:color="auto" w:fill="EAF0F7"/>
            <w:tcMar>
              <w:top w:w="60" w:type="dxa"/>
              <w:left w:w="150" w:type="dxa"/>
              <w:bottom w:w="60" w:type="dxa"/>
              <w:right w:w="150" w:type="dxa"/>
            </w:tcMar>
            <w:vAlign w:val="center"/>
          </w:tcPr>
          <w:p w14:paraId="0CC7DA5F" w14:textId="77777777" w:rsidR="00000000" w:rsidRDefault="00000000">
            <w:r>
              <w:rPr>
                <w:b/>
                <w:color w:val="17365D"/>
                <w:sz w:val="21"/>
              </w:rPr>
              <w:t>Assessment</w:t>
            </w:r>
          </w:p>
        </w:tc>
        <w:tc>
          <w:tcPr>
            <w:tcW w:w="4680" w:type="dxa"/>
            <w:tcMar>
              <w:top w:w="60" w:type="dxa"/>
              <w:left w:w="170" w:type="dxa"/>
              <w:bottom w:w="60" w:type="dxa"/>
              <w:right w:w="170" w:type="dxa"/>
            </w:tcMar>
            <w:vAlign w:val="center"/>
          </w:tcPr>
          <w:p w14:paraId="6A112D86" w14:textId="77777777" w:rsidR="00000000" w:rsidRDefault="00000000">
            <w:r>
              <w:rPr>
                <w:color w:val="333333"/>
                <w:sz w:val="21"/>
              </w:rPr>
              <w:t>Report</w:t>
            </w:r>
          </w:p>
        </w:tc>
      </w:tr>
      <w:tr w:rsidR="00D67A93" w14:paraId="0FDF6814" w14:textId="77777777">
        <w:trPr>
          <w:jc w:val="center"/>
        </w:trPr>
        <w:tc>
          <w:tcPr>
            <w:tcW w:w="4680" w:type="dxa"/>
            <w:shd w:val="clear" w:color="auto" w:fill="EAF0F7"/>
            <w:tcMar>
              <w:top w:w="60" w:type="dxa"/>
              <w:left w:w="150" w:type="dxa"/>
              <w:bottom w:w="60" w:type="dxa"/>
              <w:right w:w="150" w:type="dxa"/>
            </w:tcMar>
            <w:vAlign w:val="center"/>
          </w:tcPr>
          <w:p w14:paraId="667EB8AE" w14:textId="77777777" w:rsidR="00000000" w:rsidRDefault="00000000">
            <w:r>
              <w:rPr>
                <w:b/>
                <w:color w:val="17365D"/>
                <w:sz w:val="21"/>
              </w:rPr>
              <w:t>Lecturer</w:t>
            </w:r>
          </w:p>
        </w:tc>
        <w:tc>
          <w:tcPr>
            <w:tcW w:w="4680" w:type="dxa"/>
            <w:tcMar>
              <w:top w:w="60" w:type="dxa"/>
              <w:left w:w="170" w:type="dxa"/>
              <w:bottom w:w="60" w:type="dxa"/>
              <w:right w:w="170" w:type="dxa"/>
            </w:tcMar>
            <w:vAlign w:val="center"/>
          </w:tcPr>
          <w:p w14:paraId="267FCCC5" w14:textId="77777777" w:rsidR="00000000" w:rsidRDefault="00000000">
            <w:r>
              <w:rPr>
                <w:color w:val="333333"/>
                <w:sz w:val="21"/>
              </w:rPr>
              <w:t>Akshay Narayanan / Mansoob Murshed</w:t>
            </w:r>
          </w:p>
        </w:tc>
      </w:tr>
      <w:tr w:rsidR="00D67A93" w14:paraId="01C31052" w14:textId="77777777">
        <w:trPr>
          <w:jc w:val="center"/>
        </w:trPr>
        <w:tc>
          <w:tcPr>
            <w:tcW w:w="4680" w:type="dxa"/>
            <w:shd w:val="clear" w:color="auto" w:fill="EAF0F7"/>
            <w:tcMar>
              <w:top w:w="60" w:type="dxa"/>
              <w:left w:w="150" w:type="dxa"/>
              <w:bottom w:w="60" w:type="dxa"/>
              <w:right w:w="150" w:type="dxa"/>
            </w:tcMar>
            <w:vAlign w:val="center"/>
          </w:tcPr>
          <w:p w14:paraId="08A877D3" w14:textId="77777777" w:rsidR="00000000" w:rsidRDefault="00000000">
            <w:r>
              <w:rPr>
                <w:b/>
                <w:color w:val="17365D"/>
                <w:sz w:val="21"/>
              </w:rPr>
              <w:t>Student name</w:t>
            </w:r>
          </w:p>
        </w:tc>
        <w:tc>
          <w:tcPr>
            <w:tcW w:w="4680" w:type="dxa"/>
            <w:tcMar>
              <w:top w:w="60" w:type="dxa"/>
              <w:left w:w="170" w:type="dxa"/>
              <w:bottom w:w="60" w:type="dxa"/>
              <w:right w:w="170" w:type="dxa"/>
            </w:tcMar>
            <w:vAlign w:val="center"/>
          </w:tcPr>
          <w:p w14:paraId="420981BD" w14:textId="77777777" w:rsidR="00000000" w:rsidRDefault="00000000">
            <w:r>
              <w:rPr>
                <w:color w:val="333333"/>
                <w:sz w:val="21"/>
              </w:rPr>
              <w:t>MD JUEL MIAH</w:t>
            </w:r>
          </w:p>
        </w:tc>
      </w:tr>
      <w:tr w:rsidR="00D67A93" w14:paraId="3F09048E" w14:textId="77777777">
        <w:trPr>
          <w:jc w:val="center"/>
        </w:trPr>
        <w:tc>
          <w:tcPr>
            <w:tcW w:w="4680" w:type="dxa"/>
            <w:shd w:val="clear" w:color="auto" w:fill="EAF0F7"/>
            <w:tcMar>
              <w:top w:w="60" w:type="dxa"/>
              <w:left w:w="150" w:type="dxa"/>
              <w:bottom w:w="60" w:type="dxa"/>
              <w:right w:w="150" w:type="dxa"/>
            </w:tcMar>
            <w:vAlign w:val="center"/>
          </w:tcPr>
          <w:p w14:paraId="3355D967" w14:textId="77777777" w:rsidR="00000000" w:rsidRDefault="00000000">
            <w:r>
              <w:rPr>
                <w:b/>
                <w:color w:val="17365D"/>
                <w:sz w:val="21"/>
              </w:rPr>
              <w:t>Student ID</w:t>
            </w:r>
          </w:p>
        </w:tc>
        <w:tc>
          <w:tcPr>
            <w:tcW w:w="4680" w:type="dxa"/>
            <w:tcMar>
              <w:top w:w="60" w:type="dxa"/>
              <w:left w:w="170" w:type="dxa"/>
              <w:bottom w:w="60" w:type="dxa"/>
              <w:right w:w="170" w:type="dxa"/>
            </w:tcMar>
            <w:vAlign w:val="center"/>
          </w:tcPr>
          <w:p w14:paraId="7F82266C" w14:textId="77777777" w:rsidR="00000000" w:rsidRDefault="00000000">
            <w:r>
              <w:rPr>
                <w:color w:val="333333"/>
                <w:sz w:val="21"/>
              </w:rPr>
              <w:t>2522339</w:t>
            </w:r>
          </w:p>
        </w:tc>
      </w:tr>
      <w:tr w:rsidR="00D67A93" w14:paraId="508845D5" w14:textId="77777777">
        <w:trPr>
          <w:jc w:val="center"/>
        </w:trPr>
        <w:tc>
          <w:tcPr>
            <w:tcW w:w="4680" w:type="dxa"/>
            <w:shd w:val="clear" w:color="auto" w:fill="EAF0F7"/>
            <w:tcMar>
              <w:top w:w="60" w:type="dxa"/>
              <w:left w:w="150" w:type="dxa"/>
              <w:bottom w:w="60" w:type="dxa"/>
              <w:right w:w="150" w:type="dxa"/>
            </w:tcMar>
            <w:vAlign w:val="center"/>
          </w:tcPr>
          <w:p w14:paraId="58009739" w14:textId="77777777" w:rsidR="00000000" w:rsidRDefault="00000000">
            <w:r>
              <w:rPr>
                <w:b/>
                <w:color w:val="17365D"/>
                <w:sz w:val="21"/>
              </w:rPr>
              <w:t>Word count</w:t>
            </w:r>
          </w:p>
        </w:tc>
        <w:tc>
          <w:tcPr>
            <w:tcW w:w="4680" w:type="dxa"/>
            <w:tcMar>
              <w:top w:w="60" w:type="dxa"/>
              <w:left w:w="170" w:type="dxa"/>
              <w:bottom w:w="60" w:type="dxa"/>
              <w:right w:w="170" w:type="dxa"/>
            </w:tcMar>
            <w:vAlign w:val="center"/>
          </w:tcPr>
          <w:p w14:paraId="29B6452B" w14:textId="46CB14E0" w:rsidR="00000000" w:rsidRDefault="00003BED">
            <w:r>
              <w:t>5481</w:t>
            </w:r>
          </w:p>
        </w:tc>
      </w:tr>
    </w:tbl>
    <w:p w14:paraId="16EBD399" w14:textId="77777777" w:rsidR="00000000" w:rsidRPr="004F6CEC" w:rsidRDefault="00000000">
      <w:pPr>
        <w:spacing w:before="160" w:after="0" w:line="240" w:lineRule="auto"/>
        <w:jc w:val="center"/>
        <w:rPr>
          <w:b/>
          <w:bCs/>
          <w:sz w:val="32"/>
          <w:szCs w:val="28"/>
        </w:rPr>
      </w:pPr>
      <w:r w:rsidRPr="004F6CEC">
        <w:rPr>
          <w:b/>
          <w:bCs/>
          <w:color w:val="555555"/>
          <w:szCs w:val="28"/>
        </w:rPr>
        <w:t>Submission date: 22 July 2026</w:t>
      </w:r>
    </w:p>
    <w:p w14:paraId="5D46A618" w14:textId="77777777" w:rsidR="00000000" w:rsidRDefault="00000000">
      <w:pPr>
        <w:spacing w:after="120" w:line="360" w:lineRule="auto"/>
      </w:pPr>
      <w:r>
        <w:br w:type="page"/>
      </w:r>
    </w:p>
    <w:sdt>
      <w:sdtPr>
        <w:rPr>
          <w:rFonts w:cstheme="minorBidi"/>
          <w:b w:val="0"/>
          <w:bCs w:val="0"/>
          <w:color w:val="auto"/>
          <w:szCs w:val="22"/>
        </w:rPr>
        <w:id w:val="-1990778189"/>
        <w:docPartObj>
          <w:docPartGallery w:val="Table of Contents"/>
          <w:docPartUnique/>
        </w:docPartObj>
      </w:sdtPr>
      <w:sdtEndPr>
        <w:rPr>
          <w:noProof/>
        </w:rPr>
      </w:sdtEndPr>
      <w:sdtContent>
        <w:p w14:paraId="4BB5532D" w14:textId="1903DFC2" w:rsidR="006E7113" w:rsidRDefault="006E7113">
          <w:pPr>
            <w:pStyle w:val="TOCHeading"/>
          </w:pPr>
          <w:r>
            <w:t>Table of Contents</w:t>
          </w:r>
        </w:p>
        <w:p w14:paraId="22A03AA0" w14:textId="525AC643" w:rsidR="006E7113" w:rsidRDefault="006E7113">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4098150" w:history="1">
            <w:r w:rsidRPr="00584F98">
              <w:rPr>
                <w:rStyle w:val="Hyperlink"/>
                <w:noProof/>
              </w:rPr>
              <w:t>Section 1: International Market Entry Report</w:t>
            </w:r>
            <w:r>
              <w:rPr>
                <w:noProof/>
                <w:webHidden/>
              </w:rPr>
              <w:tab/>
            </w:r>
            <w:r>
              <w:rPr>
                <w:noProof/>
                <w:webHidden/>
              </w:rPr>
              <w:fldChar w:fldCharType="begin"/>
            </w:r>
            <w:r>
              <w:rPr>
                <w:noProof/>
                <w:webHidden/>
              </w:rPr>
              <w:instrText xml:space="preserve"> PAGEREF _Toc234098150 \h </w:instrText>
            </w:r>
            <w:r>
              <w:rPr>
                <w:noProof/>
                <w:webHidden/>
              </w:rPr>
            </w:r>
            <w:r>
              <w:rPr>
                <w:noProof/>
                <w:webHidden/>
              </w:rPr>
              <w:fldChar w:fldCharType="separate"/>
            </w:r>
            <w:r w:rsidR="00003BED">
              <w:rPr>
                <w:noProof/>
                <w:webHidden/>
              </w:rPr>
              <w:t>3</w:t>
            </w:r>
            <w:r>
              <w:rPr>
                <w:noProof/>
                <w:webHidden/>
              </w:rPr>
              <w:fldChar w:fldCharType="end"/>
            </w:r>
          </w:hyperlink>
        </w:p>
        <w:p w14:paraId="77F5DA6C" w14:textId="15FB87DD"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51" w:history="1">
            <w:r w:rsidRPr="00584F98">
              <w:rPr>
                <w:rStyle w:val="Hyperlink"/>
                <w:noProof/>
              </w:rPr>
              <w:t>Introduction and selection rationale</w:t>
            </w:r>
            <w:r>
              <w:rPr>
                <w:noProof/>
                <w:webHidden/>
              </w:rPr>
              <w:tab/>
            </w:r>
            <w:r>
              <w:rPr>
                <w:noProof/>
                <w:webHidden/>
              </w:rPr>
              <w:fldChar w:fldCharType="begin"/>
            </w:r>
            <w:r>
              <w:rPr>
                <w:noProof/>
                <w:webHidden/>
              </w:rPr>
              <w:instrText xml:space="preserve"> PAGEREF _Toc234098151 \h </w:instrText>
            </w:r>
            <w:r>
              <w:rPr>
                <w:noProof/>
                <w:webHidden/>
              </w:rPr>
            </w:r>
            <w:r>
              <w:rPr>
                <w:noProof/>
                <w:webHidden/>
              </w:rPr>
              <w:fldChar w:fldCharType="separate"/>
            </w:r>
            <w:r w:rsidR="00003BED">
              <w:rPr>
                <w:noProof/>
                <w:webHidden/>
              </w:rPr>
              <w:t>3</w:t>
            </w:r>
            <w:r>
              <w:rPr>
                <w:noProof/>
                <w:webHidden/>
              </w:rPr>
              <w:fldChar w:fldCharType="end"/>
            </w:r>
          </w:hyperlink>
        </w:p>
        <w:p w14:paraId="2DC95A52" w14:textId="39AB8A74"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52" w:history="1">
            <w:r w:rsidRPr="00584F98">
              <w:rPr>
                <w:rStyle w:val="Hyperlink"/>
                <w:noProof/>
              </w:rPr>
              <w:t>1. Organisational classification and global strategy</w:t>
            </w:r>
            <w:r>
              <w:rPr>
                <w:noProof/>
                <w:webHidden/>
              </w:rPr>
              <w:tab/>
            </w:r>
            <w:r>
              <w:rPr>
                <w:noProof/>
                <w:webHidden/>
              </w:rPr>
              <w:fldChar w:fldCharType="begin"/>
            </w:r>
            <w:r>
              <w:rPr>
                <w:noProof/>
                <w:webHidden/>
              </w:rPr>
              <w:instrText xml:space="preserve"> PAGEREF _Toc234098152 \h </w:instrText>
            </w:r>
            <w:r>
              <w:rPr>
                <w:noProof/>
                <w:webHidden/>
              </w:rPr>
            </w:r>
            <w:r>
              <w:rPr>
                <w:noProof/>
                <w:webHidden/>
              </w:rPr>
              <w:fldChar w:fldCharType="separate"/>
            </w:r>
            <w:r w:rsidR="00003BED">
              <w:rPr>
                <w:noProof/>
                <w:webHidden/>
              </w:rPr>
              <w:t>3</w:t>
            </w:r>
            <w:r>
              <w:rPr>
                <w:noProof/>
                <w:webHidden/>
              </w:rPr>
              <w:fldChar w:fldCharType="end"/>
            </w:r>
          </w:hyperlink>
        </w:p>
        <w:p w14:paraId="209AC3A6" w14:textId="7714B8DB"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53" w:history="1">
            <w:r w:rsidRPr="00584F98">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_Toc234098153 \h </w:instrText>
            </w:r>
            <w:r>
              <w:rPr>
                <w:noProof/>
                <w:webHidden/>
              </w:rPr>
            </w:r>
            <w:r>
              <w:rPr>
                <w:noProof/>
                <w:webHidden/>
              </w:rPr>
              <w:fldChar w:fldCharType="separate"/>
            </w:r>
            <w:r w:rsidR="00003BED">
              <w:rPr>
                <w:noProof/>
                <w:webHidden/>
              </w:rPr>
              <w:t>5</w:t>
            </w:r>
            <w:r>
              <w:rPr>
                <w:noProof/>
                <w:webHidden/>
              </w:rPr>
              <w:fldChar w:fldCharType="end"/>
            </w:r>
          </w:hyperlink>
        </w:p>
        <w:p w14:paraId="6C507232" w14:textId="3B734B07"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4" w:history="1">
            <w:r w:rsidRPr="00584F98">
              <w:rPr>
                <w:rStyle w:val="Hyperlink"/>
                <w:noProof/>
              </w:rPr>
              <w:t>2.1 Political environment</w:t>
            </w:r>
            <w:r>
              <w:rPr>
                <w:noProof/>
                <w:webHidden/>
              </w:rPr>
              <w:tab/>
            </w:r>
            <w:r>
              <w:rPr>
                <w:noProof/>
                <w:webHidden/>
              </w:rPr>
              <w:fldChar w:fldCharType="begin"/>
            </w:r>
            <w:r>
              <w:rPr>
                <w:noProof/>
                <w:webHidden/>
              </w:rPr>
              <w:instrText xml:space="preserve"> PAGEREF _Toc234098154 \h </w:instrText>
            </w:r>
            <w:r>
              <w:rPr>
                <w:noProof/>
                <w:webHidden/>
              </w:rPr>
            </w:r>
            <w:r>
              <w:rPr>
                <w:noProof/>
                <w:webHidden/>
              </w:rPr>
              <w:fldChar w:fldCharType="separate"/>
            </w:r>
            <w:r w:rsidR="00003BED">
              <w:rPr>
                <w:noProof/>
                <w:webHidden/>
              </w:rPr>
              <w:t>5</w:t>
            </w:r>
            <w:r>
              <w:rPr>
                <w:noProof/>
                <w:webHidden/>
              </w:rPr>
              <w:fldChar w:fldCharType="end"/>
            </w:r>
          </w:hyperlink>
        </w:p>
        <w:p w14:paraId="6539DF86" w14:textId="2956B8C4"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5" w:history="1">
            <w:r w:rsidRPr="00584F98">
              <w:rPr>
                <w:rStyle w:val="Hyperlink"/>
                <w:noProof/>
              </w:rPr>
              <w:t>2.2 Economic environment</w:t>
            </w:r>
            <w:r>
              <w:rPr>
                <w:noProof/>
                <w:webHidden/>
              </w:rPr>
              <w:tab/>
            </w:r>
            <w:r>
              <w:rPr>
                <w:noProof/>
                <w:webHidden/>
              </w:rPr>
              <w:fldChar w:fldCharType="begin"/>
            </w:r>
            <w:r>
              <w:rPr>
                <w:noProof/>
                <w:webHidden/>
              </w:rPr>
              <w:instrText xml:space="preserve"> PAGEREF _Toc234098155 \h </w:instrText>
            </w:r>
            <w:r>
              <w:rPr>
                <w:noProof/>
                <w:webHidden/>
              </w:rPr>
            </w:r>
            <w:r>
              <w:rPr>
                <w:noProof/>
                <w:webHidden/>
              </w:rPr>
              <w:fldChar w:fldCharType="separate"/>
            </w:r>
            <w:r w:rsidR="00003BED">
              <w:rPr>
                <w:noProof/>
                <w:webHidden/>
              </w:rPr>
              <w:t>6</w:t>
            </w:r>
            <w:r>
              <w:rPr>
                <w:noProof/>
                <w:webHidden/>
              </w:rPr>
              <w:fldChar w:fldCharType="end"/>
            </w:r>
          </w:hyperlink>
        </w:p>
        <w:p w14:paraId="7840FF27" w14:textId="6717A7BE"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6" w:history="1">
            <w:r w:rsidRPr="00584F98">
              <w:rPr>
                <w:rStyle w:val="Hyperlink"/>
                <w:noProof/>
              </w:rPr>
              <w:t>2.3 Legal and regulatory environment</w:t>
            </w:r>
            <w:r>
              <w:rPr>
                <w:noProof/>
                <w:webHidden/>
              </w:rPr>
              <w:tab/>
            </w:r>
            <w:r>
              <w:rPr>
                <w:noProof/>
                <w:webHidden/>
              </w:rPr>
              <w:fldChar w:fldCharType="begin"/>
            </w:r>
            <w:r>
              <w:rPr>
                <w:noProof/>
                <w:webHidden/>
              </w:rPr>
              <w:instrText xml:space="preserve"> PAGEREF _Toc234098156 \h </w:instrText>
            </w:r>
            <w:r>
              <w:rPr>
                <w:noProof/>
                <w:webHidden/>
              </w:rPr>
            </w:r>
            <w:r>
              <w:rPr>
                <w:noProof/>
                <w:webHidden/>
              </w:rPr>
              <w:fldChar w:fldCharType="separate"/>
            </w:r>
            <w:r w:rsidR="00003BED">
              <w:rPr>
                <w:noProof/>
                <w:webHidden/>
              </w:rPr>
              <w:t>8</w:t>
            </w:r>
            <w:r>
              <w:rPr>
                <w:noProof/>
                <w:webHidden/>
              </w:rPr>
              <w:fldChar w:fldCharType="end"/>
            </w:r>
          </w:hyperlink>
        </w:p>
        <w:p w14:paraId="70897573" w14:textId="4E6C7E4D"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7" w:history="1">
            <w:r w:rsidRPr="00584F98">
              <w:rPr>
                <w:rStyle w:val="Hyperlink"/>
                <w:noProof/>
              </w:rPr>
              <w:t>2.4 Cultural environment</w:t>
            </w:r>
            <w:r>
              <w:rPr>
                <w:noProof/>
                <w:webHidden/>
              </w:rPr>
              <w:tab/>
            </w:r>
            <w:r>
              <w:rPr>
                <w:noProof/>
                <w:webHidden/>
              </w:rPr>
              <w:fldChar w:fldCharType="begin"/>
            </w:r>
            <w:r>
              <w:rPr>
                <w:noProof/>
                <w:webHidden/>
              </w:rPr>
              <w:instrText xml:space="preserve"> PAGEREF _Toc234098157 \h </w:instrText>
            </w:r>
            <w:r>
              <w:rPr>
                <w:noProof/>
                <w:webHidden/>
              </w:rPr>
            </w:r>
            <w:r>
              <w:rPr>
                <w:noProof/>
                <w:webHidden/>
              </w:rPr>
              <w:fldChar w:fldCharType="separate"/>
            </w:r>
            <w:r w:rsidR="00003BED">
              <w:rPr>
                <w:noProof/>
                <w:webHidden/>
              </w:rPr>
              <w:t>8</w:t>
            </w:r>
            <w:r>
              <w:rPr>
                <w:noProof/>
                <w:webHidden/>
              </w:rPr>
              <w:fldChar w:fldCharType="end"/>
            </w:r>
          </w:hyperlink>
        </w:p>
        <w:p w14:paraId="646BA766" w14:textId="1CCBF117"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8" w:history="1">
            <w:r w:rsidRPr="00584F98">
              <w:rPr>
                <w:rStyle w:val="Hyperlink"/>
                <w:noProof/>
              </w:rPr>
              <w:t>2.5 OLI synthesis: ownership, location and internalisation advantages</w:t>
            </w:r>
            <w:r>
              <w:rPr>
                <w:noProof/>
                <w:webHidden/>
              </w:rPr>
              <w:tab/>
            </w:r>
            <w:r>
              <w:rPr>
                <w:noProof/>
                <w:webHidden/>
              </w:rPr>
              <w:fldChar w:fldCharType="begin"/>
            </w:r>
            <w:r>
              <w:rPr>
                <w:noProof/>
                <w:webHidden/>
              </w:rPr>
              <w:instrText xml:space="preserve"> PAGEREF _Toc234098158 \h </w:instrText>
            </w:r>
            <w:r>
              <w:rPr>
                <w:noProof/>
                <w:webHidden/>
              </w:rPr>
            </w:r>
            <w:r>
              <w:rPr>
                <w:noProof/>
                <w:webHidden/>
              </w:rPr>
              <w:fldChar w:fldCharType="separate"/>
            </w:r>
            <w:r w:rsidR="00003BED">
              <w:rPr>
                <w:noProof/>
                <w:webHidden/>
              </w:rPr>
              <w:t>10</w:t>
            </w:r>
            <w:r>
              <w:rPr>
                <w:noProof/>
                <w:webHidden/>
              </w:rPr>
              <w:fldChar w:fldCharType="end"/>
            </w:r>
          </w:hyperlink>
        </w:p>
        <w:p w14:paraId="1101E02E" w14:textId="1BF4EDEE"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59" w:history="1">
            <w:r w:rsidRPr="00584F98">
              <w:rPr>
                <w:rStyle w:val="Hyperlink"/>
                <w:noProof/>
              </w:rPr>
              <w:t>2.6 Market attractiveness judgement</w:t>
            </w:r>
            <w:r>
              <w:rPr>
                <w:noProof/>
                <w:webHidden/>
              </w:rPr>
              <w:tab/>
            </w:r>
            <w:r>
              <w:rPr>
                <w:noProof/>
                <w:webHidden/>
              </w:rPr>
              <w:fldChar w:fldCharType="begin"/>
            </w:r>
            <w:r>
              <w:rPr>
                <w:noProof/>
                <w:webHidden/>
              </w:rPr>
              <w:instrText xml:space="preserve"> PAGEREF _Toc234098159 \h </w:instrText>
            </w:r>
            <w:r>
              <w:rPr>
                <w:noProof/>
                <w:webHidden/>
              </w:rPr>
            </w:r>
            <w:r>
              <w:rPr>
                <w:noProof/>
                <w:webHidden/>
              </w:rPr>
              <w:fldChar w:fldCharType="separate"/>
            </w:r>
            <w:r w:rsidR="00003BED">
              <w:rPr>
                <w:noProof/>
                <w:webHidden/>
              </w:rPr>
              <w:t>11</w:t>
            </w:r>
            <w:r>
              <w:rPr>
                <w:noProof/>
                <w:webHidden/>
              </w:rPr>
              <w:fldChar w:fldCharType="end"/>
            </w:r>
          </w:hyperlink>
        </w:p>
        <w:p w14:paraId="1001FC50" w14:textId="25B71B44"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60" w:history="1">
            <w:r w:rsidRPr="00584F98">
              <w:rPr>
                <w:rStyle w:val="Hyperlink"/>
                <w:noProof/>
              </w:rPr>
              <w:t>3. Entry mode strategy and strategic synthesis</w:t>
            </w:r>
            <w:r>
              <w:rPr>
                <w:noProof/>
                <w:webHidden/>
              </w:rPr>
              <w:tab/>
            </w:r>
            <w:r>
              <w:rPr>
                <w:noProof/>
                <w:webHidden/>
              </w:rPr>
              <w:fldChar w:fldCharType="begin"/>
            </w:r>
            <w:r>
              <w:rPr>
                <w:noProof/>
                <w:webHidden/>
              </w:rPr>
              <w:instrText xml:space="preserve"> PAGEREF _Toc234098160 \h </w:instrText>
            </w:r>
            <w:r>
              <w:rPr>
                <w:noProof/>
                <w:webHidden/>
              </w:rPr>
            </w:r>
            <w:r>
              <w:rPr>
                <w:noProof/>
                <w:webHidden/>
              </w:rPr>
              <w:fldChar w:fldCharType="separate"/>
            </w:r>
            <w:r w:rsidR="00003BED">
              <w:rPr>
                <w:noProof/>
                <w:webHidden/>
              </w:rPr>
              <w:t>12</w:t>
            </w:r>
            <w:r>
              <w:rPr>
                <w:noProof/>
                <w:webHidden/>
              </w:rPr>
              <w:fldChar w:fldCharType="end"/>
            </w:r>
          </w:hyperlink>
        </w:p>
        <w:p w14:paraId="373933FF" w14:textId="4FD6F9EA"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1" w:history="1">
            <w:r w:rsidRPr="00584F98">
              <w:rPr>
                <w:rStyle w:val="Hyperlink"/>
                <w:noProof/>
              </w:rPr>
              <w:t>3.1 Historical pattern recognition</w:t>
            </w:r>
            <w:r>
              <w:rPr>
                <w:noProof/>
                <w:webHidden/>
              </w:rPr>
              <w:tab/>
            </w:r>
            <w:r>
              <w:rPr>
                <w:noProof/>
                <w:webHidden/>
              </w:rPr>
              <w:fldChar w:fldCharType="begin"/>
            </w:r>
            <w:r>
              <w:rPr>
                <w:noProof/>
                <w:webHidden/>
              </w:rPr>
              <w:instrText xml:space="preserve"> PAGEREF _Toc234098161 \h </w:instrText>
            </w:r>
            <w:r>
              <w:rPr>
                <w:noProof/>
                <w:webHidden/>
              </w:rPr>
            </w:r>
            <w:r>
              <w:rPr>
                <w:noProof/>
                <w:webHidden/>
              </w:rPr>
              <w:fldChar w:fldCharType="separate"/>
            </w:r>
            <w:r w:rsidR="00003BED">
              <w:rPr>
                <w:noProof/>
                <w:webHidden/>
              </w:rPr>
              <w:t>12</w:t>
            </w:r>
            <w:r>
              <w:rPr>
                <w:noProof/>
                <w:webHidden/>
              </w:rPr>
              <w:fldChar w:fldCharType="end"/>
            </w:r>
          </w:hyperlink>
        </w:p>
        <w:p w14:paraId="288C9A8D" w14:textId="06B9AE29"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2" w:history="1">
            <w:r w:rsidRPr="00584F98">
              <w:rPr>
                <w:rStyle w:val="Hyperlink"/>
                <w:noProof/>
              </w:rPr>
              <w:t>3.2 Entry mode options for Canada</w:t>
            </w:r>
            <w:r>
              <w:rPr>
                <w:noProof/>
                <w:webHidden/>
              </w:rPr>
              <w:tab/>
            </w:r>
            <w:r>
              <w:rPr>
                <w:noProof/>
                <w:webHidden/>
              </w:rPr>
              <w:fldChar w:fldCharType="begin"/>
            </w:r>
            <w:r>
              <w:rPr>
                <w:noProof/>
                <w:webHidden/>
              </w:rPr>
              <w:instrText xml:space="preserve"> PAGEREF _Toc234098162 \h </w:instrText>
            </w:r>
            <w:r>
              <w:rPr>
                <w:noProof/>
                <w:webHidden/>
              </w:rPr>
            </w:r>
            <w:r>
              <w:rPr>
                <w:noProof/>
                <w:webHidden/>
              </w:rPr>
              <w:fldChar w:fldCharType="separate"/>
            </w:r>
            <w:r w:rsidR="00003BED">
              <w:rPr>
                <w:noProof/>
                <w:webHidden/>
              </w:rPr>
              <w:t>13</w:t>
            </w:r>
            <w:r>
              <w:rPr>
                <w:noProof/>
                <w:webHidden/>
              </w:rPr>
              <w:fldChar w:fldCharType="end"/>
            </w:r>
          </w:hyperlink>
        </w:p>
        <w:p w14:paraId="3511CFB1" w14:textId="4CE31B20"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3" w:history="1">
            <w:r w:rsidRPr="00584F98">
              <w:rPr>
                <w:rStyle w:val="Hyperlink"/>
                <w:noProof/>
              </w:rPr>
              <w:t>3.3 Recommended strategy</w:t>
            </w:r>
            <w:r>
              <w:rPr>
                <w:noProof/>
                <w:webHidden/>
              </w:rPr>
              <w:tab/>
            </w:r>
            <w:r>
              <w:rPr>
                <w:noProof/>
                <w:webHidden/>
              </w:rPr>
              <w:fldChar w:fldCharType="begin"/>
            </w:r>
            <w:r>
              <w:rPr>
                <w:noProof/>
                <w:webHidden/>
              </w:rPr>
              <w:instrText xml:space="preserve"> PAGEREF _Toc234098163 \h </w:instrText>
            </w:r>
            <w:r>
              <w:rPr>
                <w:noProof/>
                <w:webHidden/>
              </w:rPr>
            </w:r>
            <w:r>
              <w:rPr>
                <w:noProof/>
                <w:webHidden/>
              </w:rPr>
              <w:fldChar w:fldCharType="separate"/>
            </w:r>
            <w:r w:rsidR="00003BED">
              <w:rPr>
                <w:noProof/>
                <w:webHidden/>
              </w:rPr>
              <w:t>15</w:t>
            </w:r>
            <w:r>
              <w:rPr>
                <w:noProof/>
                <w:webHidden/>
              </w:rPr>
              <w:fldChar w:fldCharType="end"/>
            </w:r>
          </w:hyperlink>
        </w:p>
        <w:p w14:paraId="0759832F" w14:textId="1DD929B9"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4" w:history="1">
            <w:r w:rsidRPr="00584F98">
              <w:rPr>
                <w:rStyle w:val="Hyperlink"/>
                <w:noProof/>
              </w:rPr>
              <w:t>3.4 Implementation priorities</w:t>
            </w:r>
            <w:r>
              <w:rPr>
                <w:noProof/>
                <w:webHidden/>
              </w:rPr>
              <w:tab/>
            </w:r>
            <w:r>
              <w:rPr>
                <w:noProof/>
                <w:webHidden/>
              </w:rPr>
              <w:fldChar w:fldCharType="begin"/>
            </w:r>
            <w:r>
              <w:rPr>
                <w:noProof/>
                <w:webHidden/>
              </w:rPr>
              <w:instrText xml:space="preserve"> PAGEREF _Toc234098164 \h </w:instrText>
            </w:r>
            <w:r>
              <w:rPr>
                <w:noProof/>
                <w:webHidden/>
              </w:rPr>
            </w:r>
            <w:r>
              <w:rPr>
                <w:noProof/>
                <w:webHidden/>
              </w:rPr>
              <w:fldChar w:fldCharType="separate"/>
            </w:r>
            <w:r w:rsidR="00003BED">
              <w:rPr>
                <w:noProof/>
                <w:webHidden/>
              </w:rPr>
              <w:t>15</w:t>
            </w:r>
            <w:r>
              <w:rPr>
                <w:noProof/>
                <w:webHidden/>
              </w:rPr>
              <w:fldChar w:fldCharType="end"/>
            </w:r>
          </w:hyperlink>
        </w:p>
        <w:p w14:paraId="100A594D" w14:textId="607EC73E"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5" w:history="1">
            <w:r w:rsidRPr="00584F98">
              <w:rPr>
                <w:rStyle w:val="Hyperlink"/>
                <w:noProof/>
              </w:rPr>
              <w:t>3.5 Pilot risk controls and go/no-go criteria</w:t>
            </w:r>
            <w:r>
              <w:rPr>
                <w:noProof/>
                <w:webHidden/>
              </w:rPr>
              <w:tab/>
            </w:r>
            <w:r>
              <w:rPr>
                <w:noProof/>
                <w:webHidden/>
              </w:rPr>
              <w:fldChar w:fldCharType="begin"/>
            </w:r>
            <w:r>
              <w:rPr>
                <w:noProof/>
                <w:webHidden/>
              </w:rPr>
              <w:instrText xml:space="preserve"> PAGEREF _Toc234098165 \h </w:instrText>
            </w:r>
            <w:r>
              <w:rPr>
                <w:noProof/>
                <w:webHidden/>
              </w:rPr>
            </w:r>
            <w:r>
              <w:rPr>
                <w:noProof/>
                <w:webHidden/>
              </w:rPr>
              <w:fldChar w:fldCharType="separate"/>
            </w:r>
            <w:r w:rsidR="00003BED">
              <w:rPr>
                <w:noProof/>
                <w:webHidden/>
              </w:rPr>
              <w:t>17</w:t>
            </w:r>
            <w:r>
              <w:rPr>
                <w:noProof/>
                <w:webHidden/>
              </w:rPr>
              <w:fldChar w:fldCharType="end"/>
            </w:r>
          </w:hyperlink>
        </w:p>
        <w:p w14:paraId="78108D6D" w14:textId="75305C1A" w:rsidR="006E7113" w:rsidRDefault="006E7113">
          <w:pPr>
            <w:pStyle w:val="TOC3"/>
            <w:tabs>
              <w:tab w:val="right" w:leader="dot" w:pos="9350"/>
            </w:tabs>
            <w:rPr>
              <w:rFonts w:asciiTheme="minorHAnsi" w:eastAsiaTheme="minorEastAsia" w:hAnsiTheme="minorHAnsi"/>
              <w:noProof/>
              <w:kern w:val="2"/>
              <w:szCs w:val="24"/>
              <w14:ligatures w14:val="standardContextual"/>
            </w:rPr>
          </w:pPr>
          <w:hyperlink w:anchor="_Toc234098166" w:history="1">
            <w:r w:rsidRPr="00584F98">
              <w:rPr>
                <w:rStyle w:val="Hyperlink"/>
                <w:noProof/>
              </w:rPr>
              <w:t>Conclusion</w:t>
            </w:r>
            <w:r>
              <w:rPr>
                <w:noProof/>
                <w:webHidden/>
              </w:rPr>
              <w:tab/>
            </w:r>
            <w:r>
              <w:rPr>
                <w:noProof/>
                <w:webHidden/>
              </w:rPr>
              <w:fldChar w:fldCharType="begin"/>
            </w:r>
            <w:r>
              <w:rPr>
                <w:noProof/>
                <w:webHidden/>
              </w:rPr>
              <w:instrText xml:space="preserve"> PAGEREF _Toc234098166 \h </w:instrText>
            </w:r>
            <w:r>
              <w:rPr>
                <w:noProof/>
                <w:webHidden/>
              </w:rPr>
            </w:r>
            <w:r>
              <w:rPr>
                <w:noProof/>
                <w:webHidden/>
              </w:rPr>
              <w:fldChar w:fldCharType="separate"/>
            </w:r>
            <w:r w:rsidR="00003BED">
              <w:rPr>
                <w:noProof/>
                <w:webHidden/>
              </w:rPr>
              <w:t>18</w:t>
            </w:r>
            <w:r>
              <w:rPr>
                <w:noProof/>
                <w:webHidden/>
              </w:rPr>
              <w:fldChar w:fldCharType="end"/>
            </w:r>
          </w:hyperlink>
        </w:p>
        <w:p w14:paraId="2E0E801E" w14:textId="07D9F427" w:rsidR="006E7113" w:rsidRDefault="006E7113">
          <w:pPr>
            <w:pStyle w:val="TOC1"/>
            <w:tabs>
              <w:tab w:val="right" w:leader="dot" w:pos="9350"/>
            </w:tabs>
            <w:rPr>
              <w:rFonts w:asciiTheme="minorHAnsi" w:eastAsiaTheme="minorEastAsia" w:hAnsiTheme="minorHAnsi"/>
              <w:noProof/>
              <w:kern w:val="2"/>
              <w:szCs w:val="24"/>
              <w14:ligatures w14:val="standardContextual"/>
            </w:rPr>
          </w:pPr>
          <w:hyperlink w:anchor="_Toc234098167" w:history="1">
            <w:r w:rsidRPr="00584F98">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_Toc234098167 \h </w:instrText>
            </w:r>
            <w:r>
              <w:rPr>
                <w:noProof/>
                <w:webHidden/>
              </w:rPr>
            </w:r>
            <w:r>
              <w:rPr>
                <w:noProof/>
                <w:webHidden/>
              </w:rPr>
              <w:fldChar w:fldCharType="separate"/>
            </w:r>
            <w:r w:rsidR="00003BED">
              <w:rPr>
                <w:noProof/>
                <w:webHidden/>
              </w:rPr>
              <w:t>19</w:t>
            </w:r>
            <w:r>
              <w:rPr>
                <w:noProof/>
                <w:webHidden/>
              </w:rPr>
              <w:fldChar w:fldCharType="end"/>
            </w:r>
          </w:hyperlink>
        </w:p>
        <w:p w14:paraId="7D55B990" w14:textId="64EC0404"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68" w:history="1">
            <w:r w:rsidRPr="00584F98">
              <w:rPr>
                <w:rStyle w:val="Hyperlink"/>
                <w:noProof/>
              </w:rPr>
              <w:t>Description</w:t>
            </w:r>
            <w:r>
              <w:rPr>
                <w:noProof/>
                <w:webHidden/>
              </w:rPr>
              <w:tab/>
            </w:r>
            <w:r>
              <w:rPr>
                <w:noProof/>
                <w:webHidden/>
              </w:rPr>
              <w:fldChar w:fldCharType="begin"/>
            </w:r>
            <w:r>
              <w:rPr>
                <w:noProof/>
                <w:webHidden/>
              </w:rPr>
              <w:instrText xml:space="preserve"> PAGEREF _Toc234098168 \h </w:instrText>
            </w:r>
            <w:r>
              <w:rPr>
                <w:noProof/>
                <w:webHidden/>
              </w:rPr>
            </w:r>
            <w:r>
              <w:rPr>
                <w:noProof/>
                <w:webHidden/>
              </w:rPr>
              <w:fldChar w:fldCharType="separate"/>
            </w:r>
            <w:r w:rsidR="00003BED">
              <w:rPr>
                <w:noProof/>
                <w:webHidden/>
              </w:rPr>
              <w:t>19</w:t>
            </w:r>
            <w:r>
              <w:rPr>
                <w:noProof/>
                <w:webHidden/>
              </w:rPr>
              <w:fldChar w:fldCharType="end"/>
            </w:r>
          </w:hyperlink>
        </w:p>
        <w:p w14:paraId="5CBCD221" w14:textId="1AFFB53F"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69" w:history="1">
            <w:r w:rsidRPr="00584F98">
              <w:rPr>
                <w:rStyle w:val="Hyperlink"/>
                <w:noProof/>
              </w:rPr>
              <w:t>Feelings</w:t>
            </w:r>
            <w:r>
              <w:rPr>
                <w:noProof/>
                <w:webHidden/>
              </w:rPr>
              <w:tab/>
            </w:r>
            <w:r>
              <w:rPr>
                <w:noProof/>
                <w:webHidden/>
              </w:rPr>
              <w:fldChar w:fldCharType="begin"/>
            </w:r>
            <w:r>
              <w:rPr>
                <w:noProof/>
                <w:webHidden/>
              </w:rPr>
              <w:instrText xml:space="preserve"> PAGEREF _Toc234098169 \h </w:instrText>
            </w:r>
            <w:r>
              <w:rPr>
                <w:noProof/>
                <w:webHidden/>
              </w:rPr>
            </w:r>
            <w:r>
              <w:rPr>
                <w:noProof/>
                <w:webHidden/>
              </w:rPr>
              <w:fldChar w:fldCharType="separate"/>
            </w:r>
            <w:r w:rsidR="00003BED">
              <w:rPr>
                <w:noProof/>
                <w:webHidden/>
              </w:rPr>
              <w:t>19</w:t>
            </w:r>
            <w:r>
              <w:rPr>
                <w:noProof/>
                <w:webHidden/>
              </w:rPr>
              <w:fldChar w:fldCharType="end"/>
            </w:r>
          </w:hyperlink>
        </w:p>
        <w:p w14:paraId="52D62FE7" w14:textId="6FE8338F"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70" w:history="1">
            <w:r w:rsidRPr="00584F98">
              <w:rPr>
                <w:rStyle w:val="Hyperlink"/>
                <w:noProof/>
              </w:rPr>
              <w:t>Evaluation</w:t>
            </w:r>
            <w:r>
              <w:rPr>
                <w:noProof/>
                <w:webHidden/>
              </w:rPr>
              <w:tab/>
            </w:r>
            <w:r>
              <w:rPr>
                <w:noProof/>
                <w:webHidden/>
              </w:rPr>
              <w:fldChar w:fldCharType="begin"/>
            </w:r>
            <w:r>
              <w:rPr>
                <w:noProof/>
                <w:webHidden/>
              </w:rPr>
              <w:instrText xml:space="preserve"> PAGEREF _Toc234098170 \h </w:instrText>
            </w:r>
            <w:r>
              <w:rPr>
                <w:noProof/>
                <w:webHidden/>
              </w:rPr>
            </w:r>
            <w:r>
              <w:rPr>
                <w:noProof/>
                <w:webHidden/>
              </w:rPr>
              <w:fldChar w:fldCharType="separate"/>
            </w:r>
            <w:r w:rsidR="00003BED">
              <w:rPr>
                <w:noProof/>
                <w:webHidden/>
              </w:rPr>
              <w:t>19</w:t>
            </w:r>
            <w:r>
              <w:rPr>
                <w:noProof/>
                <w:webHidden/>
              </w:rPr>
              <w:fldChar w:fldCharType="end"/>
            </w:r>
          </w:hyperlink>
        </w:p>
        <w:p w14:paraId="7DF88AAE" w14:textId="1FE407D1"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71" w:history="1">
            <w:r w:rsidRPr="00584F98">
              <w:rPr>
                <w:rStyle w:val="Hyperlink"/>
                <w:noProof/>
              </w:rPr>
              <w:t>Analysis</w:t>
            </w:r>
            <w:r>
              <w:rPr>
                <w:noProof/>
                <w:webHidden/>
              </w:rPr>
              <w:tab/>
            </w:r>
            <w:r>
              <w:rPr>
                <w:noProof/>
                <w:webHidden/>
              </w:rPr>
              <w:fldChar w:fldCharType="begin"/>
            </w:r>
            <w:r>
              <w:rPr>
                <w:noProof/>
                <w:webHidden/>
              </w:rPr>
              <w:instrText xml:space="preserve"> PAGEREF _Toc234098171 \h </w:instrText>
            </w:r>
            <w:r>
              <w:rPr>
                <w:noProof/>
                <w:webHidden/>
              </w:rPr>
            </w:r>
            <w:r>
              <w:rPr>
                <w:noProof/>
                <w:webHidden/>
              </w:rPr>
              <w:fldChar w:fldCharType="separate"/>
            </w:r>
            <w:r w:rsidR="00003BED">
              <w:rPr>
                <w:noProof/>
                <w:webHidden/>
              </w:rPr>
              <w:t>20</w:t>
            </w:r>
            <w:r>
              <w:rPr>
                <w:noProof/>
                <w:webHidden/>
              </w:rPr>
              <w:fldChar w:fldCharType="end"/>
            </w:r>
          </w:hyperlink>
        </w:p>
        <w:p w14:paraId="42ED2647" w14:textId="7B50A1FA"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72" w:history="1">
            <w:r w:rsidRPr="00584F98">
              <w:rPr>
                <w:rStyle w:val="Hyperlink"/>
                <w:noProof/>
              </w:rPr>
              <w:t>Conclusion</w:t>
            </w:r>
            <w:r>
              <w:rPr>
                <w:noProof/>
                <w:webHidden/>
              </w:rPr>
              <w:tab/>
            </w:r>
            <w:r>
              <w:rPr>
                <w:noProof/>
                <w:webHidden/>
              </w:rPr>
              <w:fldChar w:fldCharType="begin"/>
            </w:r>
            <w:r>
              <w:rPr>
                <w:noProof/>
                <w:webHidden/>
              </w:rPr>
              <w:instrText xml:space="preserve"> PAGEREF _Toc234098172 \h </w:instrText>
            </w:r>
            <w:r>
              <w:rPr>
                <w:noProof/>
                <w:webHidden/>
              </w:rPr>
            </w:r>
            <w:r>
              <w:rPr>
                <w:noProof/>
                <w:webHidden/>
              </w:rPr>
              <w:fldChar w:fldCharType="separate"/>
            </w:r>
            <w:r w:rsidR="00003BED">
              <w:rPr>
                <w:noProof/>
                <w:webHidden/>
              </w:rPr>
              <w:t>20</w:t>
            </w:r>
            <w:r>
              <w:rPr>
                <w:noProof/>
                <w:webHidden/>
              </w:rPr>
              <w:fldChar w:fldCharType="end"/>
            </w:r>
          </w:hyperlink>
        </w:p>
        <w:p w14:paraId="1EE24F61" w14:textId="22C40351" w:rsidR="006E7113" w:rsidRDefault="006E7113">
          <w:pPr>
            <w:pStyle w:val="TOC2"/>
            <w:tabs>
              <w:tab w:val="right" w:leader="dot" w:pos="9350"/>
            </w:tabs>
            <w:rPr>
              <w:rFonts w:asciiTheme="minorHAnsi" w:eastAsiaTheme="minorEastAsia" w:hAnsiTheme="minorHAnsi"/>
              <w:noProof/>
              <w:kern w:val="2"/>
              <w:szCs w:val="24"/>
              <w14:ligatures w14:val="standardContextual"/>
            </w:rPr>
          </w:pPr>
          <w:hyperlink w:anchor="_Toc234098173" w:history="1">
            <w:r w:rsidRPr="00584F98">
              <w:rPr>
                <w:rStyle w:val="Hyperlink"/>
                <w:noProof/>
              </w:rPr>
              <w:t>Action plan</w:t>
            </w:r>
            <w:r>
              <w:rPr>
                <w:noProof/>
                <w:webHidden/>
              </w:rPr>
              <w:tab/>
            </w:r>
            <w:r>
              <w:rPr>
                <w:noProof/>
                <w:webHidden/>
              </w:rPr>
              <w:fldChar w:fldCharType="begin"/>
            </w:r>
            <w:r>
              <w:rPr>
                <w:noProof/>
                <w:webHidden/>
              </w:rPr>
              <w:instrText xml:space="preserve"> PAGEREF _Toc234098173 \h </w:instrText>
            </w:r>
            <w:r>
              <w:rPr>
                <w:noProof/>
                <w:webHidden/>
              </w:rPr>
            </w:r>
            <w:r>
              <w:rPr>
                <w:noProof/>
                <w:webHidden/>
              </w:rPr>
              <w:fldChar w:fldCharType="separate"/>
            </w:r>
            <w:r w:rsidR="00003BED">
              <w:rPr>
                <w:noProof/>
                <w:webHidden/>
              </w:rPr>
              <w:t>21</w:t>
            </w:r>
            <w:r>
              <w:rPr>
                <w:noProof/>
                <w:webHidden/>
              </w:rPr>
              <w:fldChar w:fldCharType="end"/>
            </w:r>
          </w:hyperlink>
        </w:p>
        <w:p w14:paraId="6B0C110E" w14:textId="38A83654" w:rsidR="006E7113" w:rsidRDefault="006E7113">
          <w:pPr>
            <w:pStyle w:val="TOC1"/>
            <w:tabs>
              <w:tab w:val="right" w:leader="dot" w:pos="9350"/>
            </w:tabs>
            <w:rPr>
              <w:rFonts w:asciiTheme="minorHAnsi" w:eastAsiaTheme="minorEastAsia" w:hAnsiTheme="minorHAnsi"/>
              <w:noProof/>
              <w:kern w:val="2"/>
              <w:szCs w:val="24"/>
              <w14:ligatures w14:val="standardContextual"/>
            </w:rPr>
          </w:pPr>
          <w:hyperlink w:anchor="_Toc234098174" w:history="1">
            <w:r w:rsidRPr="00584F98">
              <w:rPr>
                <w:rStyle w:val="Hyperlink"/>
                <w:noProof/>
              </w:rPr>
              <w:t>Reference List</w:t>
            </w:r>
            <w:r>
              <w:rPr>
                <w:noProof/>
                <w:webHidden/>
              </w:rPr>
              <w:tab/>
            </w:r>
            <w:r>
              <w:rPr>
                <w:noProof/>
                <w:webHidden/>
              </w:rPr>
              <w:fldChar w:fldCharType="begin"/>
            </w:r>
            <w:r>
              <w:rPr>
                <w:noProof/>
                <w:webHidden/>
              </w:rPr>
              <w:instrText xml:space="preserve"> PAGEREF _Toc234098174 \h </w:instrText>
            </w:r>
            <w:r>
              <w:rPr>
                <w:noProof/>
                <w:webHidden/>
              </w:rPr>
            </w:r>
            <w:r>
              <w:rPr>
                <w:noProof/>
                <w:webHidden/>
              </w:rPr>
              <w:fldChar w:fldCharType="separate"/>
            </w:r>
            <w:r w:rsidR="00003BED">
              <w:rPr>
                <w:noProof/>
                <w:webHidden/>
              </w:rPr>
              <w:t>22</w:t>
            </w:r>
            <w:r>
              <w:rPr>
                <w:noProof/>
                <w:webHidden/>
              </w:rPr>
              <w:fldChar w:fldCharType="end"/>
            </w:r>
          </w:hyperlink>
        </w:p>
        <w:p w14:paraId="0644CBC7" w14:textId="6D2E01B1" w:rsidR="006E7113" w:rsidRDefault="006E7113">
          <w:r>
            <w:rPr>
              <w:b/>
              <w:bCs/>
              <w:noProof/>
            </w:rPr>
            <w:fldChar w:fldCharType="end"/>
          </w:r>
        </w:p>
      </w:sdtContent>
    </w:sdt>
    <w:p w14:paraId="748717C9" w14:textId="0CEAD609" w:rsidR="00241B92" w:rsidRDefault="00241B92">
      <w:pPr>
        <w:tabs>
          <w:tab w:val="right" w:leader="dot" w:pos="9072"/>
        </w:tabs>
        <w:spacing w:after="40" w:line="360" w:lineRule="auto"/>
      </w:pPr>
    </w:p>
    <w:p w14:paraId="7DA86B3C" w14:textId="77777777" w:rsidR="00241B92" w:rsidRDefault="00000000">
      <w:r>
        <w:br w:type="page"/>
      </w:r>
    </w:p>
    <w:p w14:paraId="4126C852" w14:textId="77777777" w:rsidR="00FE6929" w:rsidRPr="006C2ED0" w:rsidRDefault="00000000">
      <w:pPr>
        <w:pStyle w:val="Heading1"/>
        <w:spacing w:before="0" w:after="60" w:line="360" w:lineRule="auto"/>
        <w:rPr>
          <w:sz w:val="28"/>
          <w:szCs w:val="32"/>
        </w:rPr>
      </w:pPr>
      <w:bookmarkStart w:id="0" w:name="_Toc234069179"/>
      <w:bookmarkStart w:id="1" w:name="_Toc234098150"/>
      <w:bookmarkStart w:id="2" w:name="_Toc234100250"/>
      <w:r w:rsidRPr="006C2ED0">
        <w:rPr>
          <w:rFonts w:ascii="Arial" w:eastAsia="Arial" w:hAnsi="Arial"/>
          <w:sz w:val="28"/>
          <w:szCs w:val="32"/>
        </w:rPr>
        <w:lastRenderedPageBreak/>
        <w:t>Section 1: International Market Entry Report</w:t>
      </w:r>
      <w:bookmarkEnd w:id="0"/>
      <w:bookmarkEnd w:id="1"/>
      <w:bookmarkEnd w:id="2"/>
    </w:p>
    <w:p w14:paraId="07DFBE72" w14:textId="77777777" w:rsidR="00FE6929" w:rsidRDefault="00000000">
      <w:pPr>
        <w:pStyle w:val="Heading2"/>
        <w:spacing w:before="0" w:after="60" w:line="360" w:lineRule="auto"/>
      </w:pPr>
      <w:bookmarkStart w:id="3" w:name="_Toc234069180"/>
      <w:bookmarkStart w:id="4" w:name="_Toc234098151"/>
      <w:bookmarkStart w:id="5" w:name="_Toc234100251"/>
      <w:r>
        <w:rPr>
          <w:rFonts w:ascii="Arial" w:eastAsia="Arial" w:hAnsi="Arial"/>
        </w:rPr>
        <w:t>Introduction and selection rationale</w:t>
      </w:r>
      <w:bookmarkEnd w:id="3"/>
      <w:bookmarkEnd w:id="4"/>
      <w:bookmarkEnd w:id="5"/>
    </w:p>
    <w:p w14:paraId="04E80DE5" w14:textId="77777777" w:rsidR="006C2ED0" w:rsidRDefault="006C2ED0" w:rsidP="006C2ED0">
      <w:pPr>
        <w:spacing w:after="120" w:line="360" w:lineRule="auto"/>
        <w:jc w:val="both"/>
      </w:pPr>
      <w:r w:rsidRPr="006C2ED0">
        <w:t xml:space="preserve">The report assesses the decision of ALDI Süd to enter Canada and, considering this, which of the available market entry modes would be most conducive to long-term strategic fit. ALDI Süd is chosen as it is an established European multinational food retailer with a proven hard-discount business model, powerful capabilities of creating own-label and successful experience in international business expansion. Canada is selected as the target country because the official ALDI SOUTH Group company profile lists its store markets as Germany, Austria, Switzerland, Slovenia, Hungary, Italy, the United Kingdom and Ireland, the United States, Australia and China, with no Canadian store market identified (ALDI SOUTH Group, 2026a). This aids the assessment requirement that the target country must not have any major presence in operation at 1 June 2026. </w:t>
      </w:r>
    </w:p>
    <w:p w14:paraId="7F977E86" w14:textId="6AA822CA" w:rsidR="00FE6929" w:rsidRDefault="006C2ED0" w:rsidP="006C2ED0">
      <w:pPr>
        <w:spacing w:after="120" w:line="360" w:lineRule="auto"/>
        <w:jc w:val="both"/>
      </w:pPr>
      <w:r w:rsidRPr="006C2ED0">
        <w:t>Canada is a persistently low affordability in grocery price problem, high-income, and politically stable market, but is also geographically large, operationally expensive, controlled by bilingual labelling, food safety and supplier relationship, regulations.</w:t>
      </w:r>
    </w:p>
    <w:p w14:paraId="71DDDA0E" w14:textId="77777777" w:rsidR="00FE6929" w:rsidRDefault="00000000">
      <w:pPr>
        <w:pStyle w:val="Heading2"/>
        <w:spacing w:before="0" w:after="120" w:line="360" w:lineRule="auto"/>
      </w:pPr>
      <w:bookmarkStart w:id="6" w:name="_Toc234069181"/>
      <w:bookmarkStart w:id="7" w:name="_Toc234098152"/>
      <w:bookmarkStart w:id="8" w:name="_Toc234100252"/>
      <w:r>
        <w:rPr>
          <w:rFonts w:ascii="Arial" w:eastAsia="Arial" w:hAnsi="Arial"/>
        </w:rPr>
        <w:t xml:space="preserve">1. </w:t>
      </w:r>
      <w:proofErr w:type="spellStart"/>
      <w:r>
        <w:rPr>
          <w:rFonts w:ascii="Arial" w:eastAsia="Arial" w:hAnsi="Arial"/>
        </w:rPr>
        <w:t>Organisational</w:t>
      </w:r>
      <w:proofErr w:type="spellEnd"/>
      <w:r>
        <w:rPr>
          <w:rFonts w:ascii="Arial" w:eastAsia="Arial" w:hAnsi="Arial"/>
        </w:rPr>
        <w:t xml:space="preserve"> classification and global strategy</w:t>
      </w:r>
      <w:bookmarkEnd w:id="6"/>
      <w:bookmarkEnd w:id="7"/>
      <w:bookmarkEnd w:id="8"/>
    </w:p>
    <w:p w14:paraId="3913A5B6" w14:textId="225BA475" w:rsidR="006C2ED0" w:rsidRDefault="006C2ED0" w:rsidP="006C2ED0">
      <w:pPr>
        <w:spacing w:after="120" w:line="360" w:lineRule="auto"/>
        <w:jc w:val="both"/>
      </w:pPr>
      <w:r w:rsidRPr="006C2ED0">
        <w:t xml:space="preserve">ALDI Süd is best classified as a multinational corporation rather than a transnational corporation. It functions in a wide range of country market and has internationally spread stores base </w:t>
      </w:r>
      <w:r w:rsidR="00EE310F" w:rsidRPr="006C2ED0">
        <w:t>yet;</w:t>
      </w:r>
      <w:r w:rsidRPr="006C2ED0">
        <w:t xml:space="preserve"> its international approach is pegged on a fiercely disciplined formula of discount retailing. Bartlett and Ghoshal (1989) distinguish global, international, multidomestic and transnational strategies according to pressures for global integration and local responsiveness. The model that is nearest to a global strategy with the selective local responsiveness is that of ALDI Süd: the logic of its operations is the same, though range, sourcing, property format and marketing are </w:t>
      </w:r>
      <w:proofErr w:type="spellStart"/>
      <w:r w:rsidRPr="006C2ED0">
        <w:t>localised</w:t>
      </w:r>
      <w:proofErr w:type="spellEnd"/>
      <w:r w:rsidRPr="006C2ED0">
        <w:t xml:space="preserve"> to respond to the conditions of the country.</w:t>
      </w:r>
    </w:p>
    <w:p w14:paraId="0F6D80E0" w14:textId="5BE498BE" w:rsidR="006C2ED0" w:rsidRDefault="006C2ED0" w:rsidP="006C2ED0">
      <w:pPr>
        <w:spacing w:after="120" w:line="360" w:lineRule="auto"/>
        <w:jc w:val="both"/>
      </w:pPr>
      <w:r w:rsidRPr="006C2ED0">
        <w:t xml:space="preserve">The core ownership advantage of ALDI Süd is strategic simplicity. Its stores have a fairly limited core assortment, which is aided by weekly special purchases and its focus on own-label merchandise. According to the company, the stores in its markets stock core range products to the extent of 1,484 to 1,835, which is significantly less than the complexity of the stock keeping unit of traditional supermarkets (ALDI SOUTH Group, 2026a). This </w:t>
      </w:r>
      <w:r w:rsidRPr="006C2ED0">
        <w:lastRenderedPageBreak/>
        <w:t xml:space="preserve">narrow scope minimizes fragmentation in purchasing, eases the process of replenishment, enables high stock turnovers and makes it easier to articulate the value proposition. It also qualifies as Porter’s (1985) cost leadership logic since cost leadership is part of procurement, store </w:t>
      </w:r>
      <w:proofErr w:type="spellStart"/>
      <w:r w:rsidRPr="006C2ED0">
        <w:t>labour</w:t>
      </w:r>
      <w:proofErr w:type="spellEnd"/>
      <w:r w:rsidRPr="006C2ED0">
        <w:t>, assortment, logistics and retail layout; not attained with short-term price reductions.</w:t>
      </w:r>
    </w:p>
    <w:p w14:paraId="3C2950E8" w14:textId="77777777" w:rsidR="006C2ED0" w:rsidRDefault="006C2ED0" w:rsidP="006C2ED0">
      <w:pPr>
        <w:spacing w:after="120" w:line="360" w:lineRule="auto"/>
        <w:jc w:val="both"/>
      </w:pPr>
      <w:r w:rsidRPr="006C2ED0">
        <w:t>But it would be deceptive that ALDI Süd is an entirely global company that does not adapt locally. The company claims that it has a decentralised business model as a growth factor, citing that its understanding of national markets and regional markets allows tailoring of its products to customers (ALDI SOUTH Group, 2026a). Deep operating architecture is integrated globally whereas customer facing offer is discriminately customized. ALDI has grown with the addition of organic stores and has also acquired and converted some, previously-existing, Winn-Dixies and Harveys stores and this reiterates that the company can make changes in its entry process but where location access and scale economics make sense (ALDI U.S., 2025).</w:t>
      </w:r>
    </w:p>
    <w:p w14:paraId="05C3D405" w14:textId="28391493" w:rsidR="006C2ED0" w:rsidRDefault="006C2ED0" w:rsidP="006C2ED0">
      <w:pPr>
        <w:spacing w:after="120" w:line="360" w:lineRule="auto"/>
        <w:jc w:val="both"/>
      </w:pPr>
      <w:r w:rsidRPr="006C2ED0">
        <w:t>The geographic coverage of the ALDI Süd helps it to gain a competitive advantage in three ways. First, scale in eleven markets brings about buying expertise and category management education. Second, the international expansion, used repeatedly, will enable the company to optimize store format, logistics and own-label systems over various consumer cultures. Third, its operation within the United States would be instrumental to a potential Canadian entry since it would provide ALDI first-hand North American experience in both property and wages as well as supplier development and consumer reaction to discounted hard. However, Canada would not be an easy expansion of the US market</w:t>
      </w:r>
      <w:r>
        <w:t xml:space="preserve">. </w:t>
      </w:r>
      <w:r w:rsidRPr="006C2ED0">
        <w:t xml:space="preserve">Canada is characterized by varying retail concentration, winter logistics and bilingual packaging and a powerful domestic political discussion on food affordability (Ghemawat, 2007). This poses a liability of foreignness as a foreign entrant has to overcome drawbacks of unfamiliar institutions, barriers such as consumer trust, relationship disadvantage before the benefits of ownership can be completely converted into performance (Zaheer, 1995). </w:t>
      </w:r>
    </w:p>
    <w:p w14:paraId="47F3563F" w14:textId="77777777" w:rsidR="00003BED" w:rsidRDefault="00003BED" w:rsidP="006C2ED0">
      <w:pPr>
        <w:spacing w:after="120" w:line="360" w:lineRule="auto"/>
        <w:jc w:val="both"/>
      </w:pPr>
    </w:p>
    <w:p w14:paraId="12B5779F" w14:textId="77777777" w:rsidR="00003BED" w:rsidRDefault="00003BED" w:rsidP="006C2ED0">
      <w:pPr>
        <w:spacing w:after="120" w:line="360" w:lineRule="auto"/>
        <w:jc w:val="both"/>
      </w:pPr>
    </w:p>
    <w:p w14:paraId="43011777" w14:textId="77777777" w:rsidR="00FE6929" w:rsidRPr="006C2ED0" w:rsidRDefault="00000000">
      <w:pPr>
        <w:pStyle w:val="CaptionCustom"/>
        <w:spacing w:after="120" w:line="360" w:lineRule="auto"/>
        <w:rPr>
          <w:b/>
          <w:bCs/>
          <w:i w:val="0"/>
          <w:iCs/>
        </w:rPr>
      </w:pPr>
      <w:r w:rsidRPr="006C2ED0">
        <w:rPr>
          <w:b/>
          <w:bCs/>
          <w:i w:val="0"/>
          <w:iCs/>
        </w:rPr>
        <w:lastRenderedPageBreak/>
        <w:t>Table 1. Strategic classification of ALDI Süd for the Canadian entry decision</w:t>
      </w:r>
    </w:p>
    <w:tbl>
      <w:tblPr>
        <w:tblStyle w:val="TableGrid"/>
        <w:tblW w:w="0" w:type="auto"/>
        <w:tblLook w:val="04A0" w:firstRow="1" w:lastRow="0" w:firstColumn="1" w:lastColumn="0" w:noHBand="0" w:noVBand="1"/>
      </w:tblPr>
      <w:tblGrid>
        <w:gridCol w:w="3116"/>
        <w:gridCol w:w="3117"/>
        <w:gridCol w:w="3117"/>
      </w:tblGrid>
      <w:tr w:rsidR="00FE6929" w14:paraId="1B6ADF35" w14:textId="77777777" w:rsidTr="006C2ED0">
        <w:tc>
          <w:tcPr>
            <w:tcW w:w="3120" w:type="dxa"/>
            <w:vAlign w:val="center"/>
          </w:tcPr>
          <w:p w14:paraId="1BEE165C" w14:textId="77777777" w:rsidR="00FE6929" w:rsidRDefault="00000000">
            <w:pPr>
              <w:spacing w:after="60" w:line="360" w:lineRule="auto"/>
            </w:pPr>
            <w:r>
              <w:rPr>
                <w:b/>
              </w:rPr>
              <w:t>Strategic issue</w:t>
            </w:r>
          </w:p>
        </w:tc>
        <w:tc>
          <w:tcPr>
            <w:tcW w:w="3120" w:type="dxa"/>
            <w:vAlign w:val="center"/>
          </w:tcPr>
          <w:p w14:paraId="17DC9101" w14:textId="77777777" w:rsidR="00FE6929" w:rsidRDefault="00000000">
            <w:pPr>
              <w:spacing w:after="60" w:line="360" w:lineRule="auto"/>
            </w:pPr>
            <w:r>
              <w:rPr>
                <w:b/>
              </w:rPr>
              <w:t>Evidence and interpretation</w:t>
            </w:r>
          </w:p>
        </w:tc>
        <w:tc>
          <w:tcPr>
            <w:tcW w:w="3120" w:type="dxa"/>
            <w:vAlign w:val="center"/>
          </w:tcPr>
          <w:p w14:paraId="03B39514" w14:textId="77777777" w:rsidR="00FE6929" w:rsidRDefault="00000000">
            <w:pPr>
              <w:spacing w:after="60" w:line="360" w:lineRule="auto"/>
            </w:pPr>
            <w:r>
              <w:rPr>
                <w:b/>
              </w:rPr>
              <w:t>Implication for Canada</w:t>
            </w:r>
          </w:p>
        </w:tc>
      </w:tr>
      <w:tr w:rsidR="00FE6929" w14:paraId="1AA31604" w14:textId="77777777" w:rsidTr="006C2ED0">
        <w:tc>
          <w:tcPr>
            <w:tcW w:w="3120" w:type="dxa"/>
            <w:vAlign w:val="center"/>
          </w:tcPr>
          <w:p w14:paraId="6E01BDE8" w14:textId="77777777" w:rsidR="00FE6929" w:rsidRDefault="00000000">
            <w:pPr>
              <w:spacing w:after="60" w:line="360" w:lineRule="auto"/>
            </w:pPr>
            <w:r>
              <w:t>International strategy type</w:t>
            </w:r>
          </w:p>
        </w:tc>
        <w:tc>
          <w:tcPr>
            <w:tcW w:w="3120" w:type="dxa"/>
            <w:vAlign w:val="center"/>
          </w:tcPr>
          <w:p w14:paraId="53DF5C53" w14:textId="77777777" w:rsidR="00FE6929" w:rsidRDefault="00000000">
            <w:pPr>
              <w:spacing w:after="60" w:line="360" w:lineRule="auto"/>
            </w:pPr>
            <w:r>
              <w:t>Mainly global cost leadership with selective local responsiveness, based on Bartlett and Ghoshal’s framework.</w:t>
            </w:r>
          </w:p>
        </w:tc>
        <w:tc>
          <w:tcPr>
            <w:tcW w:w="3120" w:type="dxa"/>
            <w:vAlign w:val="center"/>
          </w:tcPr>
          <w:p w14:paraId="3AE5BD7C" w14:textId="77777777" w:rsidR="00FE6929" w:rsidRDefault="00000000">
            <w:pPr>
              <w:spacing w:after="60" w:line="360" w:lineRule="auto"/>
            </w:pPr>
            <w:r>
              <w:t xml:space="preserve">Aldi should protect the discount formula but </w:t>
            </w:r>
            <w:proofErr w:type="spellStart"/>
            <w:r>
              <w:t>localise</w:t>
            </w:r>
            <w:proofErr w:type="spellEnd"/>
            <w:r>
              <w:t xml:space="preserve"> range, supplier base and compliance execution.</w:t>
            </w:r>
          </w:p>
        </w:tc>
      </w:tr>
      <w:tr w:rsidR="00FE6929" w14:paraId="0E421BCD" w14:textId="77777777" w:rsidTr="006C2ED0">
        <w:tc>
          <w:tcPr>
            <w:tcW w:w="3120" w:type="dxa"/>
            <w:vAlign w:val="center"/>
          </w:tcPr>
          <w:p w14:paraId="7D90545E" w14:textId="77777777" w:rsidR="00FE6929" w:rsidRDefault="00000000">
            <w:pPr>
              <w:spacing w:after="60" w:line="360" w:lineRule="auto"/>
            </w:pPr>
            <w:r>
              <w:t>Current geographic footprint</w:t>
            </w:r>
          </w:p>
        </w:tc>
        <w:tc>
          <w:tcPr>
            <w:tcW w:w="3120" w:type="dxa"/>
            <w:vAlign w:val="center"/>
          </w:tcPr>
          <w:p w14:paraId="25018DD7" w14:textId="77777777" w:rsidR="00FE6929" w:rsidRDefault="00000000">
            <w:pPr>
              <w:spacing w:after="60" w:line="360" w:lineRule="auto"/>
            </w:pPr>
            <w:r>
              <w:t>ALDI Süd operates in eleven markets but Canada is not listed as a store market.</w:t>
            </w:r>
          </w:p>
        </w:tc>
        <w:tc>
          <w:tcPr>
            <w:tcW w:w="3120" w:type="dxa"/>
            <w:vAlign w:val="center"/>
          </w:tcPr>
          <w:p w14:paraId="47AB35F7" w14:textId="77777777" w:rsidR="00FE6929" w:rsidRDefault="00000000">
            <w:pPr>
              <w:spacing w:after="60" w:line="360" w:lineRule="auto"/>
            </w:pPr>
            <w:r>
              <w:t>The target country requirement is defensible, but Canada requires new local institutional learning.</w:t>
            </w:r>
          </w:p>
        </w:tc>
      </w:tr>
      <w:tr w:rsidR="00FE6929" w14:paraId="349CE13E" w14:textId="77777777" w:rsidTr="006C2ED0">
        <w:tc>
          <w:tcPr>
            <w:tcW w:w="3120" w:type="dxa"/>
            <w:vAlign w:val="center"/>
          </w:tcPr>
          <w:p w14:paraId="19313D80" w14:textId="77777777" w:rsidR="00FE6929" w:rsidRDefault="00000000">
            <w:pPr>
              <w:spacing w:after="60" w:line="360" w:lineRule="auto"/>
            </w:pPr>
            <w:r>
              <w:t>Competitive advantage</w:t>
            </w:r>
          </w:p>
        </w:tc>
        <w:tc>
          <w:tcPr>
            <w:tcW w:w="3120" w:type="dxa"/>
            <w:vAlign w:val="center"/>
          </w:tcPr>
          <w:p w14:paraId="1111098E" w14:textId="77777777" w:rsidR="00FE6929" w:rsidRDefault="00000000">
            <w:pPr>
              <w:spacing w:after="60" w:line="360" w:lineRule="auto"/>
            </w:pPr>
            <w:r>
              <w:t>Limited assortment, private label, lean stores and logistics support cost leadership.</w:t>
            </w:r>
          </w:p>
        </w:tc>
        <w:tc>
          <w:tcPr>
            <w:tcW w:w="3120" w:type="dxa"/>
            <w:vAlign w:val="center"/>
          </w:tcPr>
          <w:p w14:paraId="55A84CF3" w14:textId="77777777" w:rsidR="00FE6929" w:rsidRDefault="00000000">
            <w:pPr>
              <w:spacing w:after="60" w:line="360" w:lineRule="auto"/>
            </w:pPr>
            <w:r>
              <w:t>Advantage is transferable only if Canadian scale and logistics costs do not dilute price leadership.</w:t>
            </w:r>
          </w:p>
        </w:tc>
      </w:tr>
      <w:tr w:rsidR="00FE6929" w14:paraId="78C00330" w14:textId="77777777" w:rsidTr="006C2ED0">
        <w:tc>
          <w:tcPr>
            <w:tcW w:w="3120" w:type="dxa"/>
            <w:vAlign w:val="center"/>
          </w:tcPr>
          <w:p w14:paraId="0179CEA2" w14:textId="77777777" w:rsidR="00FE6929" w:rsidRDefault="00000000">
            <w:pPr>
              <w:spacing w:after="60" w:line="360" w:lineRule="auto"/>
            </w:pPr>
            <w:r>
              <w:t>Strategic vulnerability</w:t>
            </w:r>
          </w:p>
        </w:tc>
        <w:tc>
          <w:tcPr>
            <w:tcW w:w="3120" w:type="dxa"/>
            <w:vAlign w:val="center"/>
          </w:tcPr>
          <w:p w14:paraId="38F8DECA" w14:textId="77777777" w:rsidR="00FE6929" w:rsidRDefault="00000000">
            <w:pPr>
              <w:spacing w:after="60" w:line="360" w:lineRule="auto"/>
            </w:pPr>
            <w:r>
              <w:t>Canada is concentrated and incumbents already use discount banners.</w:t>
            </w:r>
          </w:p>
        </w:tc>
        <w:tc>
          <w:tcPr>
            <w:tcW w:w="3120" w:type="dxa"/>
            <w:vAlign w:val="center"/>
          </w:tcPr>
          <w:p w14:paraId="3E87BF3B" w14:textId="77777777" w:rsidR="00FE6929" w:rsidRDefault="00000000">
            <w:pPr>
              <w:spacing w:after="60" w:line="360" w:lineRule="auto"/>
            </w:pPr>
            <w:r>
              <w:t>Entry must be phased and differentiated, not based only on being another low-price grocery retailer.</w:t>
            </w:r>
          </w:p>
        </w:tc>
      </w:tr>
    </w:tbl>
    <w:p w14:paraId="79473096" w14:textId="77777777" w:rsidR="00FE6929" w:rsidRDefault="00000000" w:rsidP="006C2ED0">
      <w:pPr>
        <w:pStyle w:val="CaptionCustom"/>
        <w:spacing w:after="120" w:line="360" w:lineRule="auto"/>
        <w:jc w:val="center"/>
      </w:pPr>
      <w:r>
        <w:t>Source: Author’s analysis based on Bartlett and Ghoshal (1989), Porter (1985), ALDI SOUTH Group (2026a) and ALDI U.S. (2025).</w:t>
      </w:r>
    </w:p>
    <w:p w14:paraId="3B1FD6EA" w14:textId="77777777" w:rsidR="00FE6929" w:rsidRDefault="00000000">
      <w:pPr>
        <w:pStyle w:val="Heading2"/>
        <w:spacing w:before="0" w:after="120" w:line="360" w:lineRule="auto"/>
      </w:pPr>
      <w:bookmarkStart w:id="9" w:name="_Toc234069182"/>
      <w:bookmarkStart w:id="10" w:name="_Toc234098153"/>
      <w:bookmarkStart w:id="11" w:name="_Toc234100253"/>
      <w:r>
        <w:rPr>
          <w:rFonts w:ascii="Arial" w:eastAsia="Arial" w:hAnsi="Arial"/>
        </w:rPr>
        <w:t>2. Macro-environmental appraisal and market attractiveness</w:t>
      </w:r>
      <w:bookmarkEnd w:id="9"/>
      <w:bookmarkEnd w:id="10"/>
      <w:bookmarkEnd w:id="11"/>
    </w:p>
    <w:p w14:paraId="4F84A28D" w14:textId="77777777" w:rsidR="00FE6929" w:rsidRDefault="00000000">
      <w:pPr>
        <w:pStyle w:val="Heading3"/>
        <w:spacing w:before="0" w:after="120" w:line="360" w:lineRule="auto"/>
      </w:pPr>
      <w:bookmarkStart w:id="12" w:name="_Toc234098154"/>
      <w:r>
        <w:rPr>
          <w:rFonts w:ascii="Arial" w:eastAsia="Arial" w:hAnsi="Arial"/>
        </w:rPr>
        <w:t>2.1 Political environment</w:t>
      </w:r>
      <w:bookmarkEnd w:id="12"/>
    </w:p>
    <w:p w14:paraId="3CD1A716" w14:textId="77777777" w:rsidR="00A91CC3" w:rsidRDefault="00A91CC3" w:rsidP="00A91CC3">
      <w:pPr>
        <w:spacing w:after="120" w:line="360" w:lineRule="auto"/>
        <w:jc w:val="both"/>
      </w:pPr>
      <w:r w:rsidRPr="00A91CC3">
        <w:t xml:space="preserve">Politically, Canada is appealing being an area where there is a stable institution, predictable regulation and policy climate that has openly identified that the grocery competition needs to increase. The retail grocery market study by Competition Bureau found that competition at a retail level offers potential to lower prices, increase convenience and innovate more, and thus it suggested governments to ease barriers to </w:t>
      </w:r>
      <w:r w:rsidRPr="00A91CC3">
        <w:lastRenderedPageBreak/>
        <w:t xml:space="preserve">entry as well as promote independent and international grocers (Competition Bureau Canada, 2023). It is a significant place advantage to ALDI since its market entry story would resonate with social anxieties regarding costs and option. </w:t>
      </w:r>
    </w:p>
    <w:p w14:paraId="764FD9FB" w14:textId="77777777" w:rsidR="00A91CC3" w:rsidRDefault="00A91CC3" w:rsidP="00A91CC3">
      <w:pPr>
        <w:spacing w:after="120" w:line="360" w:lineRule="auto"/>
        <w:jc w:val="both"/>
      </w:pPr>
      <w:r w:rsidRPr="00A91CC3">
        <w:t>The political opportunity lies best when ALDI presents itself as a consumer welfare entrant as opposed to a foreign retailer. Canadian policymakers and consumers have been concerned about grocery price inflation, market concentration and supplier relations. This climate would suit a discount entrant whose credible price offer has been made and the entrant is likely to have proved local sourcing, fair treatment of suppliers and investment in employment.</w:t>
      </w:r>
    </w:p>
    <w:p w14:paraId="19E96F9A" w14:textId="026ACB08" w:rsidR="00A91CC3" w:rsidRDefault="00A91CC3" w:rsidP="00A91CC3">
      <w:pPr>
        <w:spacing w:after="120" w:line="360" w:lineRule="auto"/>
        <w:jc w:val="both"/>
      </w:pPr>
      <w:r w:rsidRPr="00A91CC3">
        <w:t>The political risk is food retail is extremely sensitive. The hard-discount approach of ALDI might be questioned in the case of its overdependence on imported own-label products or in case of the allegations about applying too strong bargaining pressure on the Canadian suppliers. The Competition Bureau does not eliminate provincial planning, logistics bottlenecks or general preference of domestic food security. Hence, political attractiveness can be considered conditional. The only way that ALDI can use the policy mood is by creating a Canadian supplier narrative.</w:t>
      </w:r>
    </w:p>
    <w:p w14:paraId="1E6ACBDD" w14:textId="77777777" w:rsidR="00FE6929" w:rsidRDefault="00000000">
      <w:pPr>
        <w:pStyle w:val="Heading3"/>
        <w:spacing w:before="0" w:after="120" w:line="360" w:lineRule="auto"/>
      </w:pPr>
      <w:bookmarkStart w:id="13" w:name="_Toc234098155"/>
      <w:r>
        <w:rPr>
          <w:rFonts w:ascii="Arial" w:eastAsia="Arial" w:hAnsi="Arial"/>
        </w:rPr>
        <w:t>2.2 Economic environment</w:t>
      </w:r>
      <w:bookmarkEnd w:id="13"/>
    </w:p>
    <w:p w14:paraId="45CC2404" w14:textId="0346637C" w:rsidR="00A91CC3" w:rsidRDefault="00A91CC3" w:rsidP="00A91CC3">
      <w:pPr>
        <w:spacing w:after="120" w:line="360" w:lineRule="auto"/>
        <w:jc w:val="both"/>
      </w:pPr>
      <w:r w:rsidRPr="00A91CC3">
        <w:t>The economic profile of Canada is good, yet risky. According to the World Bank, in 2024, the GDP of Canada is estimated at about US$2.24 trillion and GDP per capita stands at US$54,340.3, which means that the consumer base is high income and purchasing power (World Bank, 2025). According to the OECD, the Canadian economy is set to experience higher growth in the economy of 1.2% and 1.7% in 2026 and 2027 respectively after a slowdown of the economy due to the trade factor (OECD, 2026).</w:t>
      </w:r>
    </w:p>
    <w:p w14:paraId="03FFE4CB" w14:textId="0C403F70" w:rsidR="00A91CC3" w:rsidRDefault="00A91CC3" w:rsidP="00A91CC3">
      <w:pPr>
        <w:spacing w:after="120" w:line="360" w:lineRule="auto"/>
        <w:jc w:val="both"/>
      </w:pPr>
      <w:r w:rsidRPr="00A91CC3">
        <w:t>Grocery affordability is the most significant economic factor. According to the statistics of Canada, in December 2025, food bought in stores increased by 5.0 percent, compared to the previous year, and there were still 30.1</w:t>
      </w:r>
      <w:r>
        <w:t xml:space="preserve">% </w:t>
      </w:r>
      <w:r w:rsidRPr="00A91CC3">
        <w:t xml:space="preserve">higher than in February 2021 (Statistics Canada, 2026a, 2026b). The Bank of Canada also observed that as compared to other consumer prices, grocery prices had increased by a larger magnitude since 2022, posing a household ostensible (Bank of Canada, 2026). This justifies the location advantage of </w:t>
      </w:r>
      <w:r w:rsidRPr="00A91CC3">
        <w:lastRenderedPageBreak/>
        <w:t>ALDI since price-sensitive buyers can be more ready to experiment with a hard discounter when the impression of cost of remaining with familiar supermarkets is high.</w:t>
      </w:r>
    </w:p>
    <w:p w14:paraId="5C4840AB" w14:textId="77777777" w:rsidR="00FE6929" w:rsidRDefault="00000000">
      <w:pPr>
        <w:spacing w:after="120" w:line="360" w:lineRule="auto"/>
        <w:jc w:val="center"/>
      </w:pPr>
      <w:r>
        <w:rPr>
          <w:noProof/>
        </w:rPr>
        <w:drawing>
          <wp:inline distT="0" distB="0" distL="0" distR="0" wp14:anchorId="1F1D7033" wp14:editId="47661A83">
            <wp:extent cx="5303520" cy="31005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ada_grocery_inflation.png"/>
                    <pic:cNvPicPr/>
                  </pic:nvPicPr>
                  <pic:blipFill>
                    <a:blip r:embed="rId9"/>
                    <a:stretch>
                      <a:fillRect/>
                    </a:stretch>
                  </pic:blipFill>
                  <pic:spPr>
                    <a:xfrm>
                      <a:off x="0" y="0"/>
                      <a:ext cx="5303520" cy="3100519"/>
                    </a:xfrm>
                    <a:prstGeom prst="rect">
                      <a:avLst/>
                    </a:prstGeom>
                  </pic:spPr>
                </pic:pic>
              </a:graphicData>
            </a:graphic>
          </wp:inline>
        </w:drawing>
      </w:r>
    </w:p>
    <w:p w14:paraId="5AE5BCF5" w14:textId="77777777" w:rsidR="00FE6929" w:rsidRPr="00A91CC3" w:rsidRDefault="00000000" w:rsidP="00A91CC3">
      <w:pPr>
        <w:pStyle w:val="CaptionCustom"/>
        <w:spacing w:after="120" w:line="360" w:lineRule="auto"/>
        <w:jc w:val="center"/>
        <w:rPr>
          <w:i w:val="0"/>
          <w:iCs/>
        </w:rPr>
      </w:pPr>
      <w:r w:rsidRPr="00A91CC3">
        <w:rPr>
          <w:i w:val="0"/>
          <w:iCs/>
        </w:rPr>
        <w:t>Figure 1. Selected Canadian grocery price inflation indicators, year-on-year change</w:t>
      </w:r>
    </w:p>
    <w:p w14:paraId="3A8EDEDE" w14:textId="77777777" w:rsidR="00FE6929" w:rsidRDefault="00000000" w:rsidP="00A91CC3">
      <w:pPr>
        <w:pStyle w:val="CaptionCustom"/>
        <w:spacing w:after="120" w:line="360" w:lineRule="auto"/>
        <w:jc w:val="center"/>
      </w:pPr>
      <w:r>
        <w:t>Source: Author chart based on Statistics Canada (2026a, 2026b, 2026c).</w:t>
      </w:r>
    </w:p>
    <w:p w14:paraId="6F7DEB80" w14:textId="0E01127E" w:rsidR="00A91CC3" w:rsidRDefault="00A91CC3" w:rsidP="00A91CC3">
      <w:pPr>
        <w:spacing w:after="120" w:line="360" w:lineRule="auto"/>
        <w:jc w:val="both"/>
      </w:pPr>
      <w:r w:rsidRPr="00A91CC3">
        <w:t>The geography of Canada increases the distribution expenses, fresh produce and regional replenishment being exceptions. It is stated that the USDA Foreign Agricultural Service is a competitive retail food market, and USDA advises deep research, understanding of the local market and consideration of route-to-market plans before entry to Canada (USDA Foreign Agricultural Service, 2025). The issue is whether a narrow assortment, private-label heavy format can generate enough volume density in a spread-out country to offset property, labour, transport and cold-chain costs. National launch would thus be risky to the commercial aspect since price leadership thrives on scale and Canada is a slow country to get scale within a short period of time.</w:t>
      </w:r>
    </w:p>
    <w:p w14:paraId="01424E57" w14:textId="6764E694" w:rsidR="00A91CC3" w:rsidRDefault="00A91CC3" w:rsidP="00A91CC3">
      <w:pPr>
        <w:spacing w:after="120" w:line="360" w:lineRule="auto"/>
        <w:jc w:val="both"/>
      </w:pPr>
      <w:r w:rsidRPr="00A91CC3">
        <w:t>Loblaw, Empire, Metro, Walmart and Costco are part of the large networks of Canadian incumbents that include supplier relationships and previous discount or wholesale propositions. It is concentrated as scale, distribution and property access are formidable barriers. The strength of ALDI would be in high population areas like cities and suburbs where it has been able to establish networks of outlets around a distribution center.</w:t>
      </w:r>
    </w:p>
    <w:p w14:paraId="1694C14C" w14:textId="77777777" w:rsidR="00FE6929" w:rsidRDefault="00000000" w:rsidP="00A91CC3">
      <w:pPr>
        <w:pStyle w:val="Heading3"/>
        <w:spacing w:before="0" w:after="120" w:line="360" w:lineRule="auto"/>
        <w:jc w:val="both"/>
      </w:pPr>
      <w:bookmarkStart w:id="14" w:name="_Toc234098156"/>
      <w:r>
        <w:rPr>
          <w:rFonts w:ascii="Arial" w:eastAsia="Arial" w:hAnsi="Arial"/>
        </w:rPr>
        <w:lastRenderedPageBreak/>
        <w:t>2.3 Legal and regulatory environment</w:t>
      </w:r>
      <w:bookmarkEnd w:id="14"/>
    </w:p>
    <w:p w14:paraId="595651D6" w14:textId="77777777" w:rsidR="00A91CC3" w:rsidRDefault="00A91CC3" w:rsidP="00A91CC3">
      <w:pPr>
        <w:spacing w:after="120" w:line="360" w:lineRule="auto"/>
        <w:jc w:val="both"/>
      </w:pPr>
      <w:r w:rsidRPr="00A91CC3">
        <w:t>The legal environment in Canada is mostly predictable, thereby reducing institutional risk, although food retail compliance is a challenge. The food safety, import, labelling, nutrition disclosure, bilingual packaging and supplier dealings of any grocery entrant would be important. The Safe Food for Canadians Regulations, consolidated in 2026, specify the conditions to licensing, preventive controls, traceability and inspection of any food activities related to import and interprovincial trade (Government of Canada, 2026). That Industry Labelling Tool is the same source wherein Canadian Food Inspection Agency refers to food inspectors and stakeholders such as requirements of labels, allergens, truthful claim, and other aspects of food towards consumers (Canadian Food Inspection Agency, 2025).</w:t>
      </w:r>
    </w:p>
    <w:p w14:paraId="6DC20C05" w14:textId="77777777" w:rsidR="00A91CC3" w:rsidRDefault="00A91CC3" w:rsidP="00A91CC3">
      <w:pPr>
        <w:spacing w:after="120" w:line="360" w:lineRule="auto"/>
        <w:jc w:val="both"/>
      </w:pPr>
      <w:r w:rsidRPr="00A91CC3">
        <w:t>These regulations directly impact the strategy of ALDI in terms of its own-label approach. The benefit of using a private label is that we have enhanced control of the margins and differentiation, however, it shifts burden of compliance to the retailer further. Provided that ALDI imports or creates Canadian own-labeled products, it needs to make sure that the packaging, nutritional information, declarations on allergens, both French and English information, claims of origin and front-of-pack nutrition are accurate. The initial cost advantage can decrease the cost of adapting thousands of units of private labels. It impacts on assortment-design, supplier-selection, speed-to-market as well as the degree of localisation that is needed prior to launching.</w:t>
      </w:r>
    </w:p>
    <w:p w14:paraId="725C6682" w14:textId="77777777" w:rsidR="00A91CC3" w:rsidRDefault="00A91CC3" w:rsidP="00A91CC3">
      <w:pPr>
        <w:spacing w:after="120" w:line="360" w:lineRule="auto"/>
        <w:jc w:val="both"/>
      </w:pPr>
      <w:r w:rsidRPr="00A91CC3">
        <w:t>Canada Grocery Code of Conduct, which aimed to ensure fair dealing, transparency and dispute resolution in grocery supply chains, was fully implemented in 2026 (Agriculture and Agri-Food Canada, 2025; Canada Grocery Code, 2026). It puts limits on hard bargaining which may be good in other markets, but it also provides a platform to develop trust on its part to suppliers in Canada who may be wary of a foreign discounter.</w:t>
      </w:r>
    </w:p>
    <w:p w14:paraId="2C76300D" w14:textId="77777777" w:rsidR="00FE6929" w:rsidRDefault="00000000">
      <w:pPr>
        <w:pStyle w:val="Heading3"/>
        <w:spacing w:before="0" w:after="120" w:line="360" w:lineRule="auto"/>
      </w:pPr>
      <w:bookmarkStart w:id="15" w:name="_Toc234098157"/>
      <w:r>
        <w:rPr>
          <w:rFonts w:ascii="Arial" w:eastAsia="Arial" w:hAnsi="Arial"/>
        </w:rPr>
        <w:t>2.4 Cultural environment</w:t>
      </w:r>
      <w:bookmarkEnd w:id="15"/>
    </w:p>
    <w:p w14:paraId="18B00526" w14:textId="77777777" w:rsidR="00E12C7E" w:rsidRPr="00E12C7E" w:rsidRDefault="00E12C7E" w:rsidP="00E12C7E">
      <w:pPr>
        <w:spacing w:after="120" w:line="360" w:lineRule="auto"/>
        <w:jc w:val="both"/>
      </w:pPr>
      <w:r w:rsidRPr="00E12C7E">
        <w:t xml:space="preserve">In cultural terms, Canada is appealing as a value-based grocery model can likely appeal across the income spectrum, yet the market cannot be regarded as culturally homogenous. According to the 2021 Census of Canada, 23.0% of the population in 2021 were immigrants (the highest figure in over 150 years), and approximately three out of </w:t>
      </w:r>
      <w:r w:rsidRPr="00E12C7E">
        <w:lastRenderedPageBreak/>
        <w:t>every ten Canadians could speak a non-official language instead of English in 2021 (Statistics Canada, 2022, 2025). This diversity is relevant in the case of a grocery retailer since food preferences, dietary limitations, brand loyalty, acceptance and fresh produce expectations of a personal label differ significantly across communities.</w:t>
      </w:r>
    </w:p>
    <w:p w14:paraId="0F6D62EB" w14:textId="18E2F124" w:rsidR="00E12C7E" w:rsidRPr="00E12C7E" w:rsidRDefault="00E12C7E" w:rsidP="00E12C7E">
      <w:pPr>
        <w:spacing w:after="120" w:line="360" w:lineRule="auto"/>
        <w:jc w:val="both"/>
      </w:pPr>
      <w:r w:rsidRPr="00E12C7E">
        <w:t>The cultural opportunity of ALDI is simplicity and localisation of range. However, in Canada, repeat visits may be constrained by a small number who do not appreciate the multicultural pattern of consumption. This is particularly significant in the Greater Toronto Area, Vancouver and other urban locations of large concentration of immigrants where expectations of South Asian, East Asian, Middle Eastern, Caribbean and European products influence basket composition. In its limited-range, discipline, ALDI should not strive to be a full-fledged ethnic store but it must leverage local catchment data to tailor frozen, bakery, produce, halal, vegetarian and pantry lines to limited range.</w:t>
      </w:r>
    </w:p>
    <w:p w14:paraId="740F26FF" w14:textId="77777777" w:rsidR="00E12C7E" w:rsidRPr="00E12C7E" w:rsidRDefault="00E12C7E" w:rsidP="00E12C7E">
      <w:pPr>
        <w:spacing w:after="120" w:line="360" w:lineRule="auto"/>
        <w:jc w:val="both"/>
      </w:pPr>
      <w:r w:rsidRPr="00E12C7E">
        <w:t>A second cultural factor is trust in private label. The use of private labels in the world has become more acceptable with the increasing inflation attracting consumer to trade down without necessarily compromising with poor quality. McKinsey &amp; Company (2024) points out that there is an increase in that a retailer is becoming quality sensitive and thus designs category architecture and designs that make the use of the brands more strategic. Nevertheless, Canadian consumers are already being exposed to well established incumbent private labels, including President’s Choice and No Name.</w:t>
      </w:r>
    </w:p>
    <w:p w14:paraId="0C459A24" w14:textId="77777777" w:rsidR="00FE6929" w:rsidRPr="00E12C7E" w:rsidRDefault="00000000" w:rsidP="00E12C7E">
      <w:pPr>
        <w:pStyle w:val="CaptionCustom"/>
        <w:spacing w:after="120" w:line="360" w:lineRule="auto"/>
        <w:jc w:val="both"/>
        <w:rPr>
          <w:b/>
          <w:bCs/>
          <w:i w:val="0"/>
        </w:rPr>
      </w:pPr>
      <w:r w:rsidRPr="00E12C7E">
        <w:rPr>
          <w:b/>
          <w:bCs/>
          <w:i w:val="0"/>
        </w:rPr>
        <w:t>Table 2. Focused PELC appraisal for ALDI Süd’s potential entry into Canada</w:t>
      </w:r>
    </w:p>
    <w:tbl>
      <w:tblPr>
        <w:tblStyle w:val="TableGrid"/>
        <w:tblW w:w="0" w:type="auto"/>
        <w:jc w:val="center"/>
        <w:tblLook w:val="04A0" w:firstRow="1" w:lastRow="0" w:firstColumn="1" w:lastColumn="0" w:noHBand="0" w:noVBand="1"/>
      </w:tblPr>
      <w:tblGrid>
        <w:gridCol w:w="2337"/>
        <w:gridCol w:w="2338"/>
        <w:gridCol w:w="2338"/>
        <w:gridCol w:w="2337"/>
      </w:tblGrid>
      <w:tr w:rsidR="00FE6929" w14:paraId="442FCD13" w14:textId="77777777">
        <w:trPr>
          <w:jc w:val="center"/>
        </w:trPr>
        <w:tc>
          <w:tcPr>
            <w:tcW w:w="2340" w:type="dxa"/>
            <w:vAlign w:val="center"/>
          </w:tcPr>
          <w:p w14:paraId="65370049" w14:textId="77777777" w:rsidR="00FE6929" w:rsidRDefault="00000000">
            <w:pPr>
              <w:spacing w:after="60" w:line="360" w:lineRule="auto"/>
            </w:pPr>
            <w:r>
              <w:rPr>
                <w:b/>
              </w:rPr>
              <w:t>Dimension</w:t>
            </w:r>
          </w:p>
        </w:tc>
        <w:tc>
          <w:tcPr>
            <w:tcW w:w="2340" w:type="dxa"/>
            <w:vAlign w:val="center"/>
          </w:tcPr>
          <w:p w14:paraId="0A12ECFB" w14:textId="77777777" w:rsidR="00FE6929" w:rsidRDefault="00000000">
            <w:pPr>
              <w:spacing w:after="60" w:line="360" w:lineRule="auto"/>
            </w:pPr>
            <w:r>
              <w:rPr>
                <w:b/>
              </w:rPr>
              <w:t>Opportunity</w:t>
            </w:r>
          </w:p>
        </w:tc>
        <w:tc>
          <w:tcPr>
            <w:tcW w:w="2340" w:type="dxa"/>
            <w:vAlign w:val="center"/>
          </w:tcPr>
          <w:p w14:paraId="131A0159" w14:textId="77777777" w:rsidR="00FE6929" w:rsidRDefault="00000000">
            <w:pPr>
              <w:spacing w:after="60" w:line="360" w:lineRule="auto"/>
            </w:pPr>
            <w:r>
              <w:rPr>
                <w:b/>
              </w:rPr>
              <w:t>Key risk</w:t>
            </w:r>
          </w:p>
        </w:tc>
        <w:tc>
          <w:tcPr>
            <w:tcW w:w="2340" w:type="dxa"/>
            <w:vAlign w:val="center"/>
          </w:tcPr>
          <w:p w14:paraId="67B27498" w14:textId="77777777" w:rsidR="00FE6929" w:rsidRDefault="00000000">
            <w:pPr>
              <w:spacing w:after="60" w:line="360" w:lineRule="auto"/>
            </w:pPr>
            <w:r>
              <w:rPr>
                <w:b/>
              </w:rPr>
              <w:t>Strategic implication</w:t>
            </w:r>
          </w:p>
        </w:tc>
      </w:tr>
      <w:tr w:rsidR="00FE6929" w14:paraId="143C5F09" w14:textId="77777777">
        <w:trPr>
          <w:jc w:val="center"/>
        </w:trPr>
        <w:tc>
          <w:tcPr>
            <w:tcW w:w="2340" w:type="dxa"/>
            <w:vAlign w:val="center"/>
          </w:tcPr>
          <w:p w14:paraId="78DB3448" w14:textId="77777777" w:rsidR="00FE6929" w:rsidRDefault="00000000">
            <w:pPr>
              <w:spacing w:after="60" w:line="360" w:lineRule="auto"/>
            </w:pPr>
            <w:r>
              <w:t>Political</w:t>
            </w:r>
          </w:p>
        </w:tc>
        <w:tc>
          <w:tcPr>
            <w:tcW w:w="2340" w:type="dxa"/>
            <w:vAlign w:val="center"/>
          </w:tcPr>
          <w:p w14:paraId="0C719AF5" w14:textId="77777777" w:rsidR="00FE6929" w:rsidRDefault="00000000">
            <w:pPr>
              <w:spacing w:after="60" w:line="360" w:lineRule="auto"/>
            </w:pPr>
            <w:r>
              <w:t>Public and regulatory concern about grocery affordability and competition.</w:t>
            </w:r>
          </w:p>
        </w:tc>
        <w:tc>
          <w:tcPr>
            <w:tcW w:w="2340" w:type="dxa"/>
            <w:vAlign w:val="center"/>
          </w:tcPr>
          <w:p w14:paraId="7D525296" w14:textId="77777777" w:rsidR="00FE6929" w:rsidRDefault="00000000">
            <w:pPr>
              <w:spacing w:after="60" w:line="360" w:lineRule="auto"/>
            </w:pPr>
            <w:r>
              <w:t>Foreign entrant may face scrutiny over sourcing, jobs and supplier pressure.</w:t>
            </w:r>
          </w:p>
        </w:tc>
        <w:tc>
          <w:tcPr>
            <w:tcW w:w="2340" w:type="dxa"/>
            <w:vAlign w:val="center"/>
          </w:tcPr>
          <w:p w14:paraId="5A373D6D" w14:textId="77777777" w:rsidR="00FE6929" w:rsidRDefault="00000000">
            <w:pPr>
              <w:spacing w:after="60" w:line="360" w:lineRule="auto"/>
            </w:pPr>
            <w:r>
              <w:t>Enter with a consumer welfare, local supplier and fair dealing narrative.</w:t>
            </w:r>
          </w:p>
        </w:tc>
      </w:tr>
      <w:tr w:rsidR="00FE6929" w14:paraId="47B97E59" w14:textId="77777777">
        <w:trPr>
          <w:jc w:val="center"/>
        </w:trPr>
        <w:tc>
          <w:tcPr>
            <w:tcW w:w="2340" w:type="dxa"/>
            <w:vAlign w:val="center"/>
          </w:tcPr>
          <w:p w14:paraId="6B1686FA" w14:textId="77777777" w:rsidR="00FE6929" w:rsidRDefault="00000000">
            <w:pPr>
              <w:spacing w:after="60" w:line="360" w:lineRule="auto"/>
            </w:pPr>
            <w:r>
              <w:t>Economic</w:t>
            </w:r>
          </w:p>
        </w:tc>
        <w:tc>
          <w:tcPr>
            <w:tcW w:w="2340" w:type="dxa"/>
            <w:vAlign w:val="center"/>
          </w:tcPr>
          <w:p w14:paraId="5A451330" w14:textId="77777777" w:rsidR="00FE6929" w:rsidRDefault="00000000">
            <w:pPr>
              <w:spacing w:after="60" w:line="360" w:lineRule="auto"/>
            </w:pPr>
            <w:r>
              <w:t xml:space="preserve">High-income market and </w:t>
            </w:r>
            <w:r>
              <w:lastRenderedPageBreak/>
              <w:t>persistent grocery price pressure support demand for discount retail.</w:t>
            </w:r>
          </w:p>
        </w:tc>
        <w:tc>
          <w:tcPr>
            <w:tcW w:w="2340" w:type="dxa"/>
            <w:vAlign w:val="center"/>
          </w:tcPr>
          <w:p w14:paraId="26FE07B5" w14:textId="77777777" w:rsidR="00FE6929" w:rsidRDefault="00000000">
            <w:pPr>
              <w:spacing w:after="60" w:line="360" w:lineRule="auto"/>
            </w:pPr>
            <w:r>
              <w:lastRenderedPageBreak/>
              <w:t xml:space="preserve">High logistics, property and </w:t>
            </w:r>
            <w:proofErr w:type="spellStart"/>
            <w:r>
              <w:t>labour</w:t>
            </w:r>
            <w:proofErr w:type="spellEnd"/>
            <w:r>
              <w:t xml:space="preserve"> </w:t>
            </w:r>
            <w:r>
              <w:lastRenderedPageBreak/>
              <w:t>costs can weaken price leadership.</w:t>
            </w:r>
          </w:p>
        </w:tc>
        <w:tc>
          <w:tcPr>
            <w:tcW w:w="2340" w:type="dxa"/>
            <w:vAlign w:val="center"/>
          </w:tcPr>
          <w:p w14:paraId="7A7A7A79" w14:textId="77777777" w:rsidR="00FE6929" w:rsidRDefault="00000000">
            <w:pPr>
              <w:spacing w:after="60" w:line="360" w:lineRule="auto"/>
            </w:pPr>
            <w:r>
              <w:lastRenderedPageBreak/>
              <w:t xml:space="preserve">Use a regional cluster strategy </w:t>
            </w:r>
            <w:r>
              <w:lastRenderedPageBreak/>
              <w:t>before national expansion.</w:t>
            </w:r>
          </w:p>
        </w:tc>
      </w:tr>
      <w:tr w:rsidR="00FE6929" w14:paraId="4F2CFD9B" w14:textId="77777777">
        <w:trPr>
          <w:jc w:val="center"/>
        </w:trPr>
        <w:tc>
          <w:tcPr>
            <w:tcW w:w="2340" w:type="dxa"/>
            <w:vAlign w:val="center"/>
          </w:tcPr>
          <w:p w14:paraId="3231090E" w14:textId="77777777" w:rsidR="00FE6929" w:rsidRDefault="00000000">
            <w:pPr>
              <w:spacing w:after="60" w:line="360" w:lineRule="auto"/>
            </w:pPr>
            <w:r>
              <w:lastRenderedPageBreak/>
              <w:t>Legal</w:t>
            </w:r>
          </w:p>
        </w:tc>
        <w:tc>
          <w:tcPr>
            <w:tcW w:w="2340" w:type="dxa"/>
            <w:vAlign w:val="center"/>
          </w:tcPr>
          <w:p w14:paraId="1E352712" w14:textId="77777777" w:rsidR="00FE6929" w:rsidRDefault="00000000">
            <w:pPr>
              <w:spacing w:after="60" w:line="360" w:lineRule="auto"/>
            </w:pPr>
            <w:r>
              <w:t>Predictable rules reduce institutional uncertainty.</w:t>
            </w:r>
          </w:p>
        </w:tc>
        <w:tc>
          <w:tcPr>
            <w:tcW w:w="2340" w:type="dxa"/>
            <w:vAlign w:val="center"/>
          </w:tcPr>
          <w:p w14:paraId="78288DDD" w14:textId="77777777" w:rsidR="00FE6929" w:rsidRDefault="00000000">
            <w:pPr>
              <w:spacing w:after="60" w:line="360" w:lineRule="auto"/>
            </w:pPr>
            <w:r>
              <w:t>Food safety, bilingual labelling, import and supplier rules raise compliance costs.</w:t>
            </w:r>
          </w:p>
        </w:tc>
        <w:tc>
          <w:tcPr>
            <w:tcW w:w="2340" w:type="dxa"/>
            <w:vAlign w:val="center"/>
          </w:tcPr>
          <w:p w14:paraId="46D75D8E" w14:textId="77777777" w:rsidR="00FE6929" w:rsidRDefault="00000000">
            <w:pPr>
              <w:spacing w:after="60" w:line="360" w:lineRule="auto"/>
            </w:pPr>
            <w:proofErr w:type="spellStart"/>
            <w:r>
              <w:t>Localise</w:t>
            </w:r>
            <w:proofErr w:type="spellEnd"/>
            <w:r>
              <w:t xml:space="preserve"> private-label packaging and compliance before launch.</w:t>
            </w:r>
          </w:p>
        </w:tc>
      </w:tr>
      <w:tr w:rsidR="00FE6929" w14:paraId="0F71EFF8" w14:textId="77777777">
        <w:trPr>
          <w:jc w:val="center"/>
        </w:trPr>
        <w:tc>
          <w:tcPr>
            <w:tcW w:w="2340" w:type="dxa"/>
            <w:vAlign w:val="center"/>
          </w:tcPr>
          <w:p w14:paraId="0C0A082A" w14:textId="77777777" w:rsidR="00FE6929" w:rsidRDefault="00000000">
            <w:pPr>
              <w:spacing w:after="60" w:line="360" w:lineRule="auto"/>
            </w:pPr>
            <w:r>
              <w:t>Cultural</w:t>
            </w:r>
          </w:p>
        </w:tc>
        <w:tc>
          <w:tcPr>
            <w:tcW w:w="2340" w:type="dxa"/>
            <w:vAlign w:val="center"/>
          </w:tcPr>
          <w:p w14:paraId="77E7F976" w14:textId="77777777" w:rsidR="00FE6929" w:rsidRDefault="00000000">
            <w:pPr>
              <w:spacing w:after="60" w:line="360" w:lineRule="auto"/>
            </w:pPr>
            <w:r>
              <w:t>Diverse population and price sensitivity create room for value-led formats.</w:t>
            </w:r>
          </w:p>
        </w:tc>
        <w:tc>
          <w:tcPr>
            <w:tcW w:w="2340" w:type="dxa"/>
            <w:vAlign w:val="center"/>
          </w:tcPr>
          <w:p w14:paraId="195A2BA4" w14:textId="77777777" w:rsidR="00FE6929" w:rsidRDefault="00000000">
            <w:pPr>
              <w:spacing w:after="60" w:line="360" w:lineRule="auto"/>
            </w:pPr>
            <w:r>
              <w:t>Narrow range may underperform if it ignores multicultural food needs.</w:t>
            </w:r>
          </w:p>
        </w:tc>
        <w:tc>
          <w:tcPr>
            <w:tcW w:w="2340" w:type="dxa"/>
            <w:vAlign w:val="center"/>
          </w:tcPr>
          <w:p w14:paraId="3348EB26" w14:textId="77777777" w:rsidR="00FE6929" w:rsidRDefault="00000000">
            <w:pPr>
              <w:spacing w:after="60" w:line="360" w:lineRule="auto"/>
            </w:pPr>
            <w:r>
              <w:t xml:space="preserve">Protect simplicity while </w:t>
            </w:r>
            <w:proofErr w:type="spellStart"/>
            <w:r>
              <w:t>localising</w:t>
            </w:r>
            <w:proofErr w:type="spellEnd"/>
            <w:r>
              <w:t xml:space="preserve"> key fresh and ethnic categories.</w:t>
            </w:r>
          </w:p>
        </w:tc>
      </w:tr>
    </w:tbl>
    <w:p w14:paraId="210FA46F" w14:textId="77777777" w:rsidR="00FE6929" w:rsidRDefault="00000000" w:rsidP="00E12C7E">
      <w:pPr>
        <w:pStyle w:val="CaptionCustom"/>
        <w:spacing w:after="120" w:line="360" w:lineRule="auto"/>
        <w:jc w:val="center"/>
      </w:pPr>
      <w:r>
        <w:t>Source: Author’s analysis based on Competition Bureau Canada (2023), World Bank (2025), OECD (2026), Canadian Food Inspection Agency (2025), Government of Canada (2026), Statistics Canada (2022, 2025) and USDA Foreign Agricultural Service (2025).</w:t>
      </w:r>
    </w:p>
    <w:p w14:paraId="7023F7A9" w14:textId="77777777" w:rsidR="00FE6929" w:rsidRDefault="00000000">
      <w:pPr>
        <w:pStyle w:val="Heading3"/>
        <w:spacing w:before="0" w:after="120" w:line="360" w:lineRule="auto"/>
      </w:pPr>
      <w:bookmarkStart w:id="16" w:name="_Toc234098158"/>
      <w:r>
        <w:rPr>
          <w:rFonts w:ascii="Arial" w:eastAsia="Arial" w:hAnsi="Arial"/>
        </w:rPr>
        <w:t xml:space="preserve">2.5 OLI synthesis: ownership, location and </w:t>
      </w:r>
      <w:proofErr w:type="spellStart"/>
      <w:r>
        <w:rPr>
          <w:rFonts w:ascii="Arial" w:eastAsia="Arial" w:hAnsi="Arial"/>
        </w:rPr>
        <w:t>internalisation</w:t>
      </w:r>
      <w:proofErr w:type="spellEnd"/>
      <w:r>
        <w:rPr>
          <w:rFonts w:ascii="Arial" w:eastAsia="Arial" w:hAnsi="Arial"/>
        </w:rPr>
        <w:t xml:space="preserve"> advantages</w:t>
      </w:r>
      <w:bookmarkEnd w:id="16"/>
    </w:p>
    <w:p w14:paraId="17482951" w14:textId="77777777" w:rsidR="00E12C7E" w:rsidRDefault="00E12C7E" w:rsidP="00E12C7E">
      <w:pPr>
        <w:spacing w:after="120" w:line="360" w:lineRule="auto"/>
        <w:jc w:val="both"/>
      </w:pPr>
      <w:r w:rsidRPr="00E12C7E">
        <w:t xml:space="preserve">The eclectic paradigm by Dunning states that foreign direct investment is most likely to occur in circumstances where ownership, location and </w:t>
      </w:r>
      <w:proofErr w:type="spellStart"/>
      <w:r w:rsidRPr="00E12C7E">
        <w:t>internalisation</w:t>
      </w:r>
      <w:proofErr w:type="spellEnd"/>
      <w:r w:rsidRPr="00E12C7E">
        <w:t xml:space="preserve"> advantages are combined (Dunning, 1988). ALDI Süd enjoys robust ownership benefits. These are economical store operations, stringent category management, developing own-label, effective logistics, global retailing education and a familiar discount brand in most markets. Its growth in the US would provide it with an additional ownership strength since it will not have to learn the North American retail practices all the way up to zero to enter Canada. Such benefits are prized, and hard to copy in immediate term due to their entrenchment in routines, supplier systems and </w:t>
      </w:r>
      <w:proofErr w:type="spellStart"/>
      <w:r w:rsidRPr="00E12C7E">
        <w:t>organisational</w:t>
      </w:r>
      <w:proofErr w:type="spellEnd"/>
      <w:r w:rsidRPr="00E12C7E">
        <w:t xml:space="preserve"> culture and not on a single, easy to copy technology.</w:t>
      </w:r>
    </w:p>
    <w:p w14:paraId="7E09B9FC" w14:textId="7E42541B" w:rsidR="00E12C7E" w:rsidRDefault="00E12C7E" w:rsidP="00E12C7E">
      <w:pPr>
        <w:spacing w:after="120" w:line="360" w:lineRule="auto"/>
        <w:jc w:val="both"/>
      </w:pPr>
      <w:r w:rsidRPr="00E12C7E">
        <w:lastRenderedPageBreak/>
        <w:t>There are true location benefits to Canada. It is wealthier, urbanised, politically stable and is now facing grocery affordability pressure. It is not a single market in Canada because the country is a vast land with provincial market variations. The location advantage lies most in the high density urban and suburban corridors, particularly Ontario and British Columbian areas and least in areas where the density of distribution would be low. This is the key reason why ALDI needs to view Canada as a staged regional opportunity, and not as a national rollout.</w:t>
      </w:r>
    </w:p>
    <w:p w14:paraId="3CEC16DC" w14:textId="77777777" w:rsidR="00E12C7E" w:rsidRDefault="00E12C7E" w:rsidP="00E12C7E">
      <w:pPr>
        <w:spacing w:after="120" w:line="360" w:lineRule="auto"/>
        <w:jc w:val="both"/>
      </w:pPr>
      <w:r w:rsidRPr="00E12C7E">
        <w:t xml:space="preserve">There are also benefits of </w:t>
      </w:r>
      <w:proofErr w:type="spellStart"/>
      <w:r w:rsidRPr="00E12C7E">
        <w:t>internalisation</w:t>
      </w:r>
      <w:proofErr w:type="spellEnd"/>
      <w:r w:rsidRPr="00E12C7E">
        <w:t xml:space="preserve">. The competitive strength of ALDI relies on store format, supplier specifications, quality of its own products, rotation of stock, and price structure. Licensing or franchising would be a watering down of these practices and would wreak havoc on brand trust in case a partner neglects to achieve the desired price-quality relationship. A joint venture could help lessen unfamiliarity in the market but it would introduce an element of complexity in governance and may limit the hard-discount model. </w:t>
      </w:r>
      <w:proofErr w:type="spellStart"/>
      <w:r w:rsidRPr="00E12C7E">
        <w:t>Internalised</w:t>
      </w:r>
      <w:proofErr w:type="spellEnd"/>
      <w:r w:rsidRPr="00E12C7E">
        <w:t xml:space="preserve"> ownership is thus better though there is still a possibility of ALDI resorting to local sourcing partnerships, property advisers, and logistics contracts and selective acquisition of assets in order to lower entry friction.</w:t>
      </w:r>
    </w:p>
    <w:p w14:paraId="6930623A" w14:textId="77777777" w:rsidR="00E12C7E" w:rsidRDefault="00E12C7E" w:rsidP="00E12C7E">
      <w:pPr>
        <w:spacing w:after="120" w:line="360" w:lineRule="auto"/>
        <w:jc w:val="both"/>
      </w:pPr>
      <w:r w:rsidRPr="00E12C7E">
        <w:t xml:space="preserve">The OLI conclusion is good but conditional. </w:t>
      </w:r>
      <w:proofErr w:type="spellStart"/>
      <w:r w:rsidRPr="00E12C7E">
        <w:t>Internalisation</w:t>
      </w:r>
      <w:proofErr w:type="spellEnd"/>
      <w:r w:rsidRPr="00E12C7E">
        <w:t xml:space="preserve"> and ownership benefits are also strong and location benefits are also </w:t>
      </w:r>
      <w:proofErr w:type="spellStart"/>
      <w:r w:rsidRPr="00E12C7E">
        <w:t>favourable</w:t>
      </w:r>
      <w:proofErr w:type="spellEnd"/>
      <w:r w:rsidRPr="00E12C7E">
        <w:t xml:space="preserve"> to the chosen regions. The terms are that ALDI has to lock store clusters, a distribution platform and sufficient Canadian-adapted private-label products to support price leadership. In their absence, the high operating costs in Canada may turn potential opportunity in weak margins and slow consumer adoption.</w:t>
      </w:r>
    </w:p>
    <w:p w14:paraId="59D69DAF" w14:textId="77777777" w:rsidR="00FE6929" w:rsidRDefault="00000000">
      <w:pPr>
        <w:pStyle w:val="Heading3"/>
        <w:spacing w:before="0" w:after="120" w:line="360" w:lineRule="auto"/>
      </w:pPr>
      <w:bookmarkStart w:id="17" w:name="_Toc234098159"/>
      <w:r>
        <w:rPr>
          <w:rFonts w:ascii="Arial" w:eastAsia="Arial" w:hAnsi="Arial"/>
        </w:rPr>
        <w:t>2.6 Market attractiveness judgement</w:t>
      </w:r>
      <w:bookmarkEnd w:id="17"/>
    </w:p>
    <w:p w14:paraId="77011260" w14:textId="77777777" w:rsidR="008333AD" w:rsidRDefault="008333AD" w:rsidP="008333AD">
      <w:pPr>
        <w:spacing w:after="120" w:line="360" w:lineRule="auto"/>
        <w:jc w:val="both"/>
      </w:pPr>
      <w:r w:rsidRPr="008333AD">
        <w:t xml:space="preserve">The general market attractiveness rating is fairly attractive although only to a disciplined entry player with the patience to achieve local scale. The existing structure is appealing since it leaves space to have a retailer that can make a credible and repeated promise relating to the price and quality. The findings of the Competition Bureau based on the necessity of the grocery competitions being even higher and the evidence provided by Statistics Canada based on the long-term food prices pressure enables developing a </w:t>
      </w:r>
      <w:r w:rsidRPr="008333AD">
        <w:lastRenderedPageBreak/>
        <w:t>favourable demand-side argument. Consumers have an incentive to seek alternatives, and policy-makers to embrace plausible competition.</w:t>
      </w:r>
    </w:p>
    <w:p w14:paraId="23EACB35" w14:textId="77777777" w:rsidR="008333AD" w:rsidRDefault="008333AD" w:rsidP="008333AD">
      <w:pPr>
        <w:spacing w:after="120" w:line="360" w:lineRule="auto"/>
        <w:jc w:val="both"/>
      </w:pPr>
      <w:r w:rsidRPr="008333AD">
        <w:t>Nevertheless, the attractiveness score would fall if ALDI pursued Canada as a whole from the outset. Grocery discounting relies on frequent store visits, rapid replenishment, rapid turnover of fresh-food and radii distribution. It is because of this reason that the market which will be targeted at the first stage will not be the entire Canada but the desired metropolitan corridors where the density economics can be experimented. An Ontario cluster would enable ALDI to gain knowledge on how the Canadians respond, gauge reliability of suppliers, access to labour and planning limitations without being diluted in too many provinces.</w:t>
      </w:r>
    </w:p>
    <w:p w14:paraId="4DB87EAE" w14:textId="7D5B7EB8" w:rsidR="008333AD" w:rsidRDefault="008333AD" w:rsidP="008333AD">
      <w:pPr>
        <w:spacing w:after="120" w:line="360" w:lineRule="auto"/>
        <w:jc w:val="both"/>
      </w:pPr>
      <w:r w:rsidRPr="008333AD">
        <w:t>There are already competitors of both Loblaw No Frills and Metro discount banners, as well as Walmart and Costco, that are competing with value-seeking consumers. Their pointier postulation is a edited weekly store with a reduced number of options, speedy shops, robust home brand and exhibited discounts. The studies on the discount grocery retailing internationally offers that the victorious model is based on the consistency in operations, store straightforwardness and a reputable price-quality equation as opposed to isolated price reductions (Colla, 2003). It can be made to work in Canada provided there is quality assurance and localness.</w:t>
      </w:r>
    </w:p>
    <w:p w14:paraId="29D48E0D" w14:textId="7D10C660" w:rsidR="008333AD" w:rsidRDefault="008333AD" w:rsidP="008333AD">
      <w:pPr>
        <w:spacing w:after="120" w:line="360" w:lineRule="auto"/>
        <w:jc w:val="both"/>
      </w:pPr>
      <w:r w:rsidRPr="008333AD">
        <w:t>From a risk perspective, Canada should be classified as a low political risk but medium operational risk market. It has a stable and transparent legal system, but compliance and property availability may be challenging, namely cost-to-serve and cold-chain reliability and food import compliance. The first stage should aim at generating evidence: whether the Canadian consumers will accept the offer, whether the process of sourcing locally can be profitable enough to reach the margins goals, and whether distribution expenses can leave ALDI with a significant price difference.</w:t>
      </w:r>
    </w:p>
    <w:p w14:paraId="3B7BFEDA" w14:textId="77777777" w:rsidR="00FE6929" w:rsidRDefault="00000000">
      <w:pPr>
        <w:pStyle w:val="Heading2"/>
        <w:spacing w:before="0" w:after="120" w:line="360" w:lineRule="auto"/>
      </w:pPr>
      <w:bookmarkStart w:id="18" w:name="_Toc234069183"/>
      <w:bookmarkStart w:id="19" w:name="_Toc234098160"/>
      <w:bookmarkStart w:id="20" w:name="_Toc234100254"/>
      <w:r>
        <w:rPr>
          <w:rFonts w:ascii="Arial" w:eastAsia="Arial" w:hAnsi="Arial"/>
        </w:rPr>
        <w:t>3. Entry mode strategy and strategic synthesis</w:t>
      </w:r>
      <w:bookmarkEnd w:id="18"/>
      <w:bookmarkEnd w:id="19"/>
      <w:bookmarkEnd w:id="20"/>
    </w:p>
    <w:p w14:paraId="1EECD528" w14:textId="77777777" w:rsidR="00FE6929" w:rsidRDefault="00000000" w:rsidP="008333AD">
      <w:pPr>
        <w:pStyle w:val="Heading3"/>
        <w:spacing w:before="0" w:after="120" w:line="360" w:lineRule="auto"/>
        <w:jc w:val="both"/>
      </w:pPr>
      <w:bookmarkStart w:id="21" w:name="_Toc234098161"/>
      <w:r>
        <w:rPr>
          <w:rFonts w:ascii="Arial" w:eastAsia="Arial" w:hAnsi="Arial"/>
        </w:rPr>
        <w:t>3.1 Historical pattern recognition</w:t>
      </w:r>
      <w:bookmarkEnd w:id="21"/>
    </w:p>
    <w:p w14:paraId="533B9F43" w14:textId="08089C26" w:rsidR="008333AD" w:rsidRDefault="008333AD" w:rsidP="008333AD">
      <w:pPr>
        <w:spacing w:after="120" w:line="360" w:lineRule="auto"/>
        <w:jc w:val="both"/>
      </w:pPr>
      <w:r w:rsidRPr="008333AD">
        <w:t xml:space="preserve">The developments in the history of ALDI Süd revolve aroundoasescent entry and storeholding. The company is more inclined towards the protection of its operating </w:t>
      </w:r>
      <w:r w:rsidRPr="008333AD">
        <w:lastRenderedPageBreak/>
        <w:t>formula as opposed to internationalisation via loose franchise. This corresponds with the internalisation theory that asserts that firms internalise cross-border activity when the control safeguards firm-specific skills and minimise transaction expenses (Buckley and Casson, 1976). In the case of ALDI, the firm-specific assets are low-cost processes, store standards and logistics routines as well as the private specifications of the labels.</w:t>
      </w:r>
    </w:p>
    <w:p w14:paraId="45EBE6D1" w14:textId="77777777" w:rsidR="008333AD" w:rsidRDefault="008333AD" w:rsidP="008333AD">
      <w:pPr>
        <w:spacing w:after="120" w:line="360" w:lineRule="auto"/>
        <w:jc w:val="both"/>
      </w:pPr>
      <w:r w:rsidRPr="008333AD">
        <w:t>Organic expansion is an old strategy of ALDI, which in 2025 had over 225 new stores in its 2025 plan combining organic expansion with conversion of specific Winn-Dixie and Harveys stores purchased by Southeastern Grocers (ALDI U.S., 2025). This demonstrates that there is no ideological position on only greenfield entry by ALDI. It will employ acquisition where assets are convertible into its form as well as where this hastens density.</w:t>
      </w:r>
    </w:p>
    <w:p w14:paraId="2F8682A9" w14:textId="77777777" w:rsidR="00FE6929" w:rsidRDefault="00000000">
      <w:pPr>
        <w:pStyle w:val="Heading3"/>
        <w:spacing w:before="0" w:after="120" w:line="360" w:lineRule="auto"/>
      </w:pPr>
      <w:bookmarkStart w:id="22" w:name="_Toc234098162"/>
      <w:r>
        <w:rPr>
          <w:rFonts w:ascii="Arial" w:eastAsia="Arial" w:hAnsi="Arial"/>
        </w:rPr>
        <w:t>3.2 Entry mode options for Canada</w:t>
      </w:r>
      <w:bookmarkEnd w:id="22"/>
    </w:p>
    <w:p w14:paraId="556B833B" w14:textId="77777777" w:rsidR="008333AD" w:rsidRDefault="008333AD" w:rsidP="00D34028">
      <w:pPr>
        <w:spacing w:after="120" w:line="360" w:lineRule="auto"/>
        <w:jc w:val="both"/>
      </w:pPr>
      <w:r w:rsidRPr="008333AD">
        <w:t>A pure green field entry would provide ALDI with maximum control of store design, systems, recruitment and supplier standards. In Canada, accessibility to property, planning approvals and construction in the distribution of products may slow the growth, and incumbents might react by offering prices and engaged in banner of discounts more intensive investment prior to ALDI achieving scale.</w:t>
      </w:r>
    </w:p>
    <w:p w14:paraId="0B17C6B0" w14:textId="77777777" w:rsidR="00D34028" w:rsidRDefault="008333AD" w:rsidP="00D34028">
      <w:pPr>
        <w:spacing w:after="120" w:line="360" w:lineRule="auto"/>
        <w:jc w:val="both"/>
      </w:pPr>
      <w:r w:rsidRPr="008333AD">
        <w:t>Acquisition would provide rapidity, sites and potentially supplier connections. What is more important, several standard grocery holdings might not fit into the format of ALDI without substantial conversion. Store, complicated stores, unionization of the work force or unsound leasing could hamper the cost model. A takeover is only rational when the target offers small locations, the density or logistics of the region markets that may be re-purposed without bringing the structural inefficiency of the target into the ALDI model.</w:t>
      </w:r>
    </w:p>
    <w:p w14:paraId="5648C446" w14:textId="77777777" w:rsidR="00D34028" w:rsidRDefault="00D34028" w:rsidP="00D34028">
      <w:pPr>
        <w:spacing w:after="120" w:line="360" w:lineRule="auto"/>
        <w:jc w:val="both"/>
      </w:pPr>
      <w:r w:rsidRPr="00D34028">
        <w:t xml:space="preserve">A joint venture with a Canadian retailer, property group or distribution partner could reduce local unfamiliarity. Retail joint venture would, however, result in conflict in the areas of assortment, margins, choice of supplier and brand. The idea of sharing power with a partner could be undermining very routines that have rendered the company competitive. The more satisfactory middle ground is to have not an equity joint venture but contractual logistical, local sourcing, property development and compliance advice </w:t>
      </w:r>
      <w:r w:rsidRPr="00D34028">
        <w:lastRenderedPageBreak/>
        <w:t>partnerships. These minimize the risk locally, and there is not a loss of control over the customer proposition.</w:t>
      </w:r>
    </w:p>
    <w:p w14:paraId="214C138D" w14:textId="77777777" w:rsidR="00FE6929" w:rsidRPr="00D34028" w:rsidRDefault="00000000">
      <w:pPr>
        <w:pStyle w:val="CaptionCustom"/>
        <w:spacing w:after="120" w:line="360" w:lineRule="auto"/>
        <w:rPr>
          <w:b/>
          <w:bCs/>
          <w:i w:val="0"/>
          <w:iCs/>
        </w:rPr>
      </w:pPr>
      <w:r w:rsidRPr="00D34028">
        <w:rPr>
          <w:b/>
          <w:bCs/>
          <w:i w:val="0"/>
          <w:iCs/>
        </w:rPr>
        <w:t>Table 3. Entry mode evaluation for ALDI Süd in Canada</w:t>
      </w:r>
    </w:p>
    <w:tbl>
      <w:tblPr>
        <w:tblStyle w:val="TableGrid"/>
        <w:tblW w:w="0" w:type="auto"/>
        <w:jc w:val="center"/>
        <w:tblLook w:val="04A0" w:firstRow="1" w:lastRow="0" w:firstColumn="1" w:lastColumn="0" w:noHBand="0" w:noVBand="1"/>
      </w:tblPr>
      <w:tblGrid>
        <w:gridCol w:w="2337"/>
        <w:gridCol w:w="2337"/>
        <w:gridCol w:w="2338"/>
        <w:gridCol w:w="2338"/>
      </w:tblGrid>
      <w:tr w:rsidR="00FE6929" w14:paraId="7C5B4239" w14:textId="77777777">
        <w:trPr>
          <w:jc w:val="center"/>
        </w:trPr>
        <w:tc>
          <w:tcPr>
            <w:tcW w:w="2340" w:type="dxa"/>
            <w:vAlign w:val="center"/>
          </w:tcPr>
          <w:p w14:paraId="7E96DE29" w14:textId="77777777" w:rsidR="00FE6929" w:rsidRDefault="00000000">
            <w:pPr>
              <w:spacing w:after="60" w:line="360" w:lineRule="auto"/>
            </w:pPr>
            <w:r>
              <w:rPr>
                <w:b/>
              </w:rPr>
              <w:t>Entry mode option</w:t>
            </w:r>
          </w:p>
        </w:tc>
        <w:tc>
          <w:tcPr>
            <w:tcW w:w="2340" w:type="dxa"/>
            <w:vAlign w:val="center"/>
          </w:tcPr>
          <w:p w14:paraId="7CD5D835" w14:textId="77777777" w:rsidR="00FE6929" w:rsidRDefault="00000000">
            <w:pPr>
              <w:spacing w:after="60" w:line="360" w:lineRule="auto"/>
            </w:pPr>
            <w:r>
              <w:rPr>
                <w:b/>
              </w:rPr>
              <w:t>Strengths</w:t>
            </w:r>
          </w:p>
        </w:tc>
        <w:tc>
          <w:tcPr>
            <w:tcW w:w="2340" w:type="dxa"/>
            <w:vAlign w:val="center"/>
          </w:tcPr>
          <w:p w14:paraId="32D45946" w14:textId="77777777" w:rsidR="00FE6929" w:rsidRDefault="00000000">
            <w:pPr>
              <w:spacing w:after="60" w:line="360" w:lineRule="auto"/>
            </w:pPr>
            <w:r>
              <w:rPr>
                <w:b/>
              </w:rPr>
              <w:t>Weaknesses</w:t>
            </w:r>
          </w:p>
        </w:tc>
        <w:tc>
          <w:tcPr>
            <w:tcW w:w="2340" w:type="dxa"/>
            <w:vAlign w:val="center"/>
          </w:tcPr>
          <w:p w14:paraId="17719B30" w14:textId="77777777" w:rsidR="00FE6929" w:rsidRDefault="00000000">
            <w:pPr>
              <w:spacing w:after="60" w:line="360" w:lineRule="auto"/>
            </w:pPr>
            <w:r>
              <w:rPr>
                <w:b/>
              </w:rPr>
              <w:t>Assessment for ALDI in Canada</w:t>
            </w:r>
          </w:p>
        </w:tc>
      </w:tr>
      <w:tr w:rsidR="00FE6929" w14:paraId="328F17F9" w14:textId="77777777">
        <w:trPr>
          <w:jc w:val="center"/>
        </w:trPr>
        <w:tc>
          <w:tcPr>
            <w:tcW w:w="2340" w:type="dxa"/>
            <w:vAlign w:val="center"/>
          </w:tcPr>
          <w:p w14:paraId="540870FA" w14:textId="77777777" w:rsidR="00FE6929" w:rsidRDefault="00000000">
            <w:pPr>
              <w:spacing w:after="60" w:line="360" w:lineRule="auto"/>
            </w:pPr>
            <w:r>
              <w:t>Greenfield stores with owned operations</w:t>
            </w:r>
          </w:p>
        </w:tc>
        <w:tc>
          <w:tcPr>
            <w:tcW w:w="2340" w:type="dxa"/>
            <w:vAlign w:val="center"/>
          </w:tcPr>
          <w:p w14:paraId="62E312CA" w14:textId="77777777" w:rsidR="00FE6929" w:rsidRDefault="00000000">
            <w:pPr>
              <w:spacing w:after="60" w:line="360" w:lineRule="auto"/>
            </w:pPr>
            <w:r>
              <w:t>Maximum control, clean format, direct culture building and full protection of the discount model.</w:t>
            </w:r>
          </w:p>
        </w:tc>
        <w:tc>
          <w:tcPr>
            <w:tcW w:w="2340" w:type="dxa"/>
            <w:vAlign w:val="center"/>
          </w:tcPr>
          <w:p w14:paraId="3C54C5C5" w14:textId="77777777" w:rsidR="00FE6929" w:rsidRDefault="00000000">
            <w:pPr>
              <w:spacing w:after="60" w:line="360" w:lineRule="auto"/>
            </w:pPr>
            <w:r>
              <w:t>Slow site acquisition, high upfront logistics cost and delayed scale economies.</w:t>
            </w:r>
          </w:p>
        </w:tc>
        <w:tc>
          <w:tcPr>
            <w:tcW w:w="2340" w:type="dxa"/>
            <w:vAlign w:val="center"/>
          </w:tcPr>
          <w:p w14:paraId="1B33F01C" w14:textId="77777777" w:rsidR="00FE6929" w:rsidRDefault="00000000">
            <w:pPr>
              <w:spacing w:after="60" w:line="360" w:lineRule="auto"/>
            </w:pPr>
            <w:r>
              <w:t>Best core mode, but only through regional clustering rather than national launch.</w:t>
            </w:r>
          </w:p>
        </w:tc>
      </w:tr>
      <w:tr w:rsidR="00FE6929" w14:paraId="60EF01C8" w14:textId="77777777">
        <w:trPr>
          <w:jc w:val="center"/>
        </w:trPr>
        <w:tc>
          <w:tcPr>
            <w:tcW w:w="2340" w:type="dxa"/>
            <w:vAlign w:val="center"/>
          </w:tcPr>
          <w:p w14:paraId="36976EF8" w14:textId="77777777" w:rsidR="00FE6929" w:rsidRDefault="00000000">
            <w:pPr>
              <w:spacing w:after="60" w:line="360" w:lineRule="auto"/>
            </w:pPr>
            <w:r>
              <w:t>Acquisition and conversion</w:t>
            </w:r>
          </w:p>
        </w:tc>
        <w:tc>
          <w:tcPr>
            <w:tcW w:w="2340" w:type="dxa"/>
            <w:vAlign w:val="center"/>
          </w:tcPr>
          <w:p w14:paraId="6A88ECD1" w14:textId="77777777" w:rsidR="00FE6929" w:rsidRDefault="00000000">
            <w:pPr>
              <w:spacing w:after="60" w:line="360" w:lineRule="auto"/>
            </w:pPr>
            <w:r>
              <w:t>Faster access to sites, staff and regional presence.</w:t>
            </w:r>
          </w:p>
        </w:tc>
        <w:tc>
          <w:tcPr>
            <w:tcW w:w="2340" w:type="dxa"/>
            <w:vAlign w:val="center"/>
          </w:tcPr>
          <w:p w14:paraId="21F20E21" w14:textId="77777777" w:rsidR="00FE6929" w:rsidRDefault="00000000">
            <w:pPr>
              <w:spacing w:after="60" w:line="360" w:lineRule="auto"/>
            </w:pPr>
            <w:r>
              <w:t>Legacy costs, poor format fit and possible competition review issues.</w:t>
            </w:r>
          </w:p>
        </w:tc>
        <w:tc>
          <w:tcPr>
            <w:tcW w:w="2340" w:type="dxa"/>
            <w:vAlign w:val="center"/>
          </w:tcPr>
          <w:p w14:paraId="5E14D9A9" w14:textId="77777777" w:rsidR="00FE6929" w:rsidRDefault="00000000">
            <w:pPr>
              <w:spacing w:after="60" w:line="360" w:lineRule="auto"/>
            </w:pPr>
            <w:r>
              <w:t>Useful selectively for compact sites or logistics assets, not as a large takeover strategy.</w:t>
            </w:r>
          </w:p>
        </w:tc>
      </w:tr>
      <w:tr w:rsidR="00FE6929" w14:paraId="2EA7851D" w14:textId="77777777">
        <w:trPr>
          <w:jc w:val="center"/>
        </w:trPr>
        <w:tc>
          <w:tcPr>
            <w:tcW w:w="2340" w:type="dxa"/>
            <w:vAlign w:val="center"/>
          </w:tcPr>
          <w:p w14:paraId="4C244A3F" w14:textId="77777777" w:rsidR="00FE6929" w:rsidRDefault="00000000">
            <w:pPr>
              <w:spacing w:after="60" w:line="360" w:lineRule="auto"/>
            </w:pPr>
            <w:r>
              <w:t>Retail joint venture</w:t>
            </w:r>
          </w:p>
        </w:tc>
        <w:tc>
          <w:tcPr>
            <w:tcW w:w="2340" w:type="dxa"/>
            <w:vAlign w:val="center"/>
          </w:tcPr>
          <w:p w14:paraId="27411EA4" w14:textId="77777777" w:rsidR="00FE6929" w:rsidRDefault="00000000">
            <w:pPr>
              <w:spacing w:after="60" w:line="360" w:lineRule="auto"/>
            </w:pPr>
            <w:r>
              <w:t>Local knowledge, political legitimacy and shared risk.</w:t>
            </w:r>
          </w:p>
        </w:tc>
        <w:tc>
          <w:tcPr>
            <w:tcW w:w="2340" w:type="dxa"/>
            <w:vAlign w:val="center"/>
          </w:tcPr>
          <w:p w14:paraId="0841458F" w14:textId="77777777" w:rsidR="00FE6929" w:rsidRDefault="00000000">
            <w:pPr>
              <w:spacing w:after="60" w:line="360" w:lineRule="auto"/>
            </w:pPr>
            <w:r>
              <w:t>Lower control and possible conflict with Aldi’s private-label and low-cost system.</w:t>
            </w:r>
          </w:p>
        </w:tc>
        <w:tc>
          <w:tcPr>
            <w:tcW w:w="2340" w:type="dxa"/>
            <w:vAlign w:val="center"/>
          </w:tcPr>
          <w:p w14:paraId="4B163978" w14:textId="77777777" w:rsidR="00FE6929" w:rsidRDefault="00000000">
            <w:pPr>
              <w:spacing w:after="60" w:line="360" w:lineRule="auto"/>
            </w:pPr>
            <w:r>
              <w:t>Not recommended as the main mode because control is essential.</w:t>
            </w:r>
          </w:p>
        </w:tc>
      </w:tr>
      <w:tr w:rsidR="00FE6929" w14:paraId="26C2E731" w14:textId="77777777">
        <w:trPr>
          <w:jc w:val="center"/>
        </w:trPr>
        <w:tc>
          <w:tcPr>
            <w:tcW w:w="2340" w:type="dxa"/>
            <w:vAlign w:val="center"/>
          </w:tcPr>
          <w:p w14:paraId="6BAA7F2D" w14:textId="77777777" w:rsidR="00FE6929" w:rsidRDefault="00000000">
            <w:pPr>
              <w:spacing w:after="60" w:line="360" w:lineRule="auto"/>
            </w:pPr>
            <w:r>
              <w:t>Contractual local partnerships</w:t>
            </w:r>
          </w:p>
        </w:tc>
        <w:tc>
          <w:tcPr>
            <w:tcW w:w="2340" w:type="dxa"/>
            <w:vAlign w:val="center"/>
          </w:tcPr>
          <w:p w14:paraId="06DDD2CB" w14:textId="77777777" w:rsidR="00FE6929" w:rsidRDefault="00000000">
            <w:pPr>
              <w:spacing w:after="60" w:line="360" w:lineRule="auto"/>
            </w:pPr>
            <w:r>
              <w:t>Improves sourcing, logistics, compliance and property learning without equity complexity.</w:t>
            </w:r>
          </w:p>
        </w:tc>
        <w:tc>
          <w:tcPr>
            <w:tcW w:w="2340" w:type="dxa"/>
            <w:vAlign w:val="center"/>
          </w:tcPr>
          <w:p w14:paraId="06EC6986" w14:textId="77777777" w:rsidR="00FE6929" w:rsidRDefault="00000000">
            <w:pPr>
              <w:spacing w:after="60" w:line="360" w:lineRule="auto"/>
            </w:pPr>
            <w:r>
              <w:t>Does not solve store scale alone.</w:t>
            </w:r>
          </w:p>
        </w:tc>
        <w:tc>
          <w:tcPr>
            <w:tcW w:w="2340" w:type="dxa"/>
            <w:vAlign w:val="center"/>
          </w:tcPr>
          <w:p w14:paraId="369900DD" w14:textId="77777777" w:rsidR="00FE6929" w:rsidRDefault="00000000">
            <w:pPr>
              <w:spacing w:after="60" w:line="360" w:lineRule="auto"/>
            </w:pPr>
            <w:r>
              <w:t>Recommended as support mechanism alongside owned regional entry.</w:t>
            </w:r>
          </w:p>
        </w:tc>
      </w:tr>
    </w:tbl>
    <w:p w14:paraId="1E2C1287" w14:textId="77777777" w:rsidR="00FE6929" w:rsidRDefault="00000000" w:rsidP="00D34028">
      <w:pPr>
        <w:pStyle w:val="CaptionCustom"/>
        <w:spacing w:after="120" w:line="360" w:lineRule="auto"/>
        <w:jc w:val="center"/>
      </w:pPr>
      <w:r>
        <w:t xml:space="preserve">Source: Author’s analysis based on Dunning (1988), Buckley and Casson (1976), Hill, Hwang and Kim (1990), </w:t>
      </w:r>
      <w:proofErr w:type="spellStart"/>
      <w:r>
        <w:t>Brouthers</w:t>
      </w:r>
      <w:proofErr w:type="spellEnd"/>
      <w:r>
        <w:t xml:space="preserve"> (2002) and ALDI U.S. (2025).</w:t>
      </w:r>
    </w:p>
    <w:p w14:paraId="1BCF82B6" w14:textId="77777777" w:rsidR="00FE6929" w:rsidRDefault="00000000" w:rsidP="00D34028">
      <w:pPr>
        <w:pStyle w:val="Heading3"/>
        <w:spacing w:before="0" w:after="120" w:line="360" w:lineRule="auto"/>
        <w:jc w:val="both"/>
      </w:pPr>
      <w:bookmarkStart w:id="23" w:name="_Toc234098163"/>
      <w:r>
        <w:rPr>
          <w:rFonts w:ascii="Arial" w:eastAsia="Arial" w:hAnsi="Arial"/>
        </w:rPr>
        <w:lastRenderedPageBreak/>
        <w:t>3.3 Recommended strategy</w:t>
      </w:r>
      <w:bookmarkEnd w:id="23"/>
    </w:p>
    <w:p w14:paraId="5C875130" w14:textId="77777777" w:rsidR="00D34028" w:rsidRDefault="00D34028" w:rsidP="00D34028">
      <w:pPr>
        <w:spacing w:after="120" w:line="360" w:lineRule="auto"/>
        <w:jc w:val="both"/>
      </w:pPr>
      <w:r w:rsidRPr="00D34028">
        <w:t>The suggested entry mode is a controlled, wholly owned regional greenfield pilot with contractual local partnerships and selective acquisition of assets in case of availability of appropriate sites. The initial step ought to revolve around Ontario which is ideally the Greater Toronto area and other commuter markets since the area has a population density, multiculturalism demand, media coverage, access to suppliers and closeness to already established US logistics expertise. It should also not be a complete retail joint venture since the control of the private label and the pricing and store operation is too high.</w:t>
      </w:r>
    </w:p>
    <w:p w14:paraId="4D2C07EC" w14:textId="77777777" w:rsidR="00D34028" w:rsidRDefault="00D34028" w:rsidP="00D34028">
      <w:pPr>
        <w:spacing w:after="120" w:line="360" w:lineRule="auto"/>
        <w:jc w:val="both"/>
      </w:pPr>
      <w:r w:rsidRPr="00D34028">
        <w:t>To start with, ALDI ought to have a distribution centre or contracted distribution platform that can sustain a group of stores within a narrow radius. Second, it must prepare a portfolio of Canadian compliant own-label before its launch, labelling in two languages i.e. bilingual, front-of-pack nutrition compliance and the involvement of local suppliers of choice. Third, it ought to make changes to its constrained product range to meet the multicultural need in Canada without letting range variety erode cost leadership. The focus must be on developing a repeatable Canadian operating model and not just establishing token first stores.</w:t>
      </w:r>
    </w:p>
    <w:p w14:paraId="3F9297A8" w14:textId="77777777" w:rsidR="00D34028" w:rsidRDefault="00D34028" w:rsidP="00D34028">
      <w:pPr>
        <w:spacing w:after="120" w:line="360" w:lineRule="auto"/>
        <w:jc w:val="both"/>
      </w:pPr>
      <w:r w:rsidRPr="00D34028">
        <w:t>Canada is appealing since the value proposition of ALDI can address the affordability issue and since more robust grocery competition is a preferred topic in policy discussions. However the same market would be difficult to enter due to the strength of the incumbents, the logistics is expensive and the privacy label trust is earned by new market entrants. A phased wholly owned strategy allows ALDI to preserve its ownership advantages while learning the Canadian market (Johanson and Vahlne, 1977). If the first Ontario cluster proves that sales density and gross margin can support the price promise, ALDI can then expand to additional clusters in Ontario, British Columbia and Alberta.</w:t>
      </w:r>
    </w:p>
    <w:p w14:paraId="1EC5B78B" w14:textId="77777777" w:rsidR="00FE6929" w:rsidRDefault="00000000" w:rsidP="00CF27F6">
      <w:pPr>
        <w:pStyle w:val="Heading3"/>
        <w:spacing w:before="0" w:after="120" w:line="360" w:lineRule="auto"/>
        <w:jc w:val="both"/>
      </w:pPr>
      <w:bookmarkStart w:id="24" w:name="_Toc234098164"/>
      <w:r>
        <w:rPr>
          <w:rFonts w:ascii="Arial" w:eastAsia="Arial" w:hAnsi="Arial"/>
        </w:rPr>
        <w:t>3.4 Implementation priorities</w:t>
      </w:r>
      <w:bookmarkEnd w:id="24"/>
    </w:p>
    <w:p w14:paraId="45492D78" w14:textId="77777777" w:rsidR="00CF27F6" w:rsidRDefault="00CF27F6" w:rsidP="00CF27F6">
      <w:pPr>
        <w:spacing w:after="120" w:line="360" w:lineRule="auto"/>
        <w:jc w:val="both"/>
      </w:pPr>
      <w:r w:rsidRPr="00CF27F6">
        <w:t xml:space="preserve">The initial Canadian stage should be a market-learning experiment with well-defined commercial, operational and institutional tests, which ALDI needs to undertake. The priority of the first year is the consumer catchment research, regulatory product checks, supplier mapping, property negotiations and distribution design. During the second year, </w:t>
      </w:r>
      <w:r w:rsidRPr="00CF27F6">
        <w:lastRenderedPageBreak/>
        <w:t>ALDI will start with an Ontario cluster of approximately 10 to 15 stores, backed by a single distribution platform, instead of declaring a national expansion. During the third year, the expansion process would only happen once the pilot has shown repeat customer behaviour, quality supply, manageable waste and an endearing price difference due to established discount banners and mainstream supermarkets.</w:t>
      </w:r>
    </w:p>
    <w:p w14:paraId="4DC398DF" w14:textId="06AD108D" w:rsidR="00CF27F6" w:rsidRDefault="00CF27F6" w:rsidP="00CF27F6">
      <w:pPr>
        <w:spacing w:after="120" w:line="360" w:lineRule="auto"/>
        <w:jc w:val="both"/>
      </w:pPr>
      <w:r w:rsidRPr="00CF27F6">
        <w:t>The process of stakeholder communication must be considered an implementation workstream too. ALDI should release transparent promises to Canadian employment, connections with its suppliers, food waste, bilingual packaging obligations and community investment. The sustainability targets the company has currently, such as waste minimization and suppliers’ performance targets can be used to legitimize the company provided these are framed as operating business commitments in Canada and not as some global statements (ALDI SOUTH Group, 2026b).</w:t>
      </w:r>
    </w:p>
    <w:p w14:paraId="654FFA39" w14:textId="6B251E08" w:rsidR="00241B92" w:rsidRPr="00CF27F6" w:rsidRDefault="00000000">
      <w:pPr>
        <w:pStyle w:val="CaptionCustom"/>
        <w:spacing w:after="120" w:line="360" w:lineRule="auto"/>
        <w:rPr>
          <w:b/>
          <w:bCs/>
          <w:i w:val="0"/>
          <w:iCs/>
          <w:color w:val="000000" w:themeColor="text1"/>
        </w:rPr>
      </w:pPr>
      <w:r w:rsidRPr="00CF27F6">
        <w:rPr>
          <w:b/>
          <w:bCs/>
          <w:i w:val="0"/>
          <w:iCs/>
          <w:color w:val="000000" w:themeColor="text1"/>
        </w:rPr>
        <w:t>Table 4. Three-year Ontario pilot implementation scorecard</w:t>
      </w:r>
    </w:p>
    <w:tbl>
      <w:tblPr>
        <w:tblStyle w:val="TableGrid"/>
        <w:tblW w:w="0" w:type="auto"/>
        <w:jc w:val="center"/>
        <w:tblLook w:val="04A0" w:firstRow="1" w:lastRow="0" w:firstColumn="1" w:lastColumn="0" w:noHBand="0" w:noVBand="1"/>
      </w:tblPr>
      <w:tblGrid>
        <w:gridCol w:w="3116"/>
        <w:gridCol w:w="3117"/>
        <w:gridCol w:w="3117"/>
      </w:tblGrid>
      <w:tr w:rsidR="00241B92" w14:paraId="37BD04B0" w14:textId="77777777" w:rsidTr="00CF27F6">
        <w:trPr>
          <w:jc w:val="center"/>
        </w:trPr>
        <w:tc>
          <w:tcPr>
            <w:tcW w:w="3116" w:type="dxa"/>
            <w:vAlign w:val="center"/>
          </w:tcPr>
          <w:p w14:paraId="483F4575" w14:textId="77777777" w:rsidR="00241B92" w:rsidRDefault="00000000">
            <w:pPr>
              <w:spacing w:after="40" w:line="360" w:lineRule="auto"/>
            </w:pPr>
            <w:r>
              <w:rPr>
                <w:b/>
              </w:rPr>
              <w:t>Phase and timing</w:t>
            </w:r>
          </w:p>
        </w:tc>
        <w:tc>
          <w:tcPr>
            <w:tcW w:w="3117" w:type="dxa"/>
            <w:vAlign w:val="center"/>
          </w:tcPr>
          <w:p w14:paraId="3E5870CC" w14:textId="77777777" w:rsidR="00241B92" w:rsidRDefault="00000000">
            <w:pPr>
              <w:spacing w:after="40" w:line="360" w:lineRule="auto"/>
            </w:pPr>
            <w:r>
              <w:rPr>
                <w:b/>
              </w:rPr>
              <w:t>Actions and measurable targets</w:t>
            </w:r>
          </w:p>
        </w:tc>
        <w:tc>
          <w:tcPr>
            <w:tcW w:w="3117" w:type="dxa"/>
            <w:vAlign w:val="center"/>
          </w:tcPr>
          <w:p w14:paraId="61EC0D09" w14:textId="77777777" w:rsidR="00241B92" w:rsidRDefault="00000000">
            <w:pPr>
              <w:spacing w:after="40" w:line="360" w:lineRule="auto"/>
            </w:pPr>
            <w:r>
              <w:rPr>
                <w:b/>
              </w:rPr>
              <w:t>Expansion decision</w:t>
            </w:r>
          </w:p>
        </w:tc>
      </w:tr>
      <w:tr w:rsidR="00241B92" w14:paraId="54244696" w14:textId="77777777" w:rsidTr="00CF27F6">
        <w:trPr>
          <w:jc w:val="center"/>
        </w:trPr>
        <w:tc>
          <w:tcPr>
            <w:tcW w:w="3116" w:type="dxa"/>
            <w:vAlign w:val="center"/>
          </w:tcPr>
          <w:p w14:paraId="6969956C" w14:textId="77777777" w:rsidR="00241B92" w:rsidRDefault="00000000">
            <w:pPr>
              <w:spacing w:after="40" w:line="360" w:lineRule="auto"/>
            </w:pPr>
            <w:r>
              <w:t>Market design</w:t>
            </w:r>
            <w:r>
              <w:br/>
              <w:t>0-6 months</w:t>
            </w:r>
          </w:p>
        </w:tc>
        <w:tc>
          <w:tcPr>
            <w:tcW w:w="3117" w:type="dxa"/>
            <w:vAlign w:val="center"/>
          </w:tcPr>
          <w:p w14:paraId="12964700" w14:textId="77777777" w:rsidR="00241B92" w:rsidRDefault="00000000">
            <w:pPr>
              <w:spacing w:after="40" w:line="360" w:lineRule="auto"/>
            </w:pPr>
            <w:r>
              <w:t>Select Ontario catchments, complete compliance checks, shortlist suppliers, secure 10-15 suitable sites and approve one distribution option.</w:t>
            </w:r>
          </w:p>
        </w:tc>
        <w:tc>
          <w:tcPr>
            <w:tcW w:w="3117" w:type="dxa"/>
            <w:vAlign w:val="center"/>
          </w:tcPr>
          <w:p w14:paraId="2A2E7AA8" w14:textId="77777777" w:rsidR="00241B92" w:rsidRDefault="00000000">
            <w:pPr>
              <w:spacing w:after="40" w:line="360" w:lineRule="auto"/>
            </w:pPr>
            <w:r>
              <w:t>Proceed only if compliance, property and supplier costs support ALDI’s low-cost model.</w:t>
            </w:r>
          </w:p>
        </w:tc>
      </w:tr>
      <w:tr w:rsidR="00241B92" w14:paraId="13D54FB9" w14:textId="77777777" w:rsidTr="00CF27F6">
        <w:trPr>
          <w:jc w:val="center"/>
        </w:trPr>
        <w:tc>
          <w:tcPr>
            <w:tcW w:w="3116" w:type="dxa"/>
            <w:vAlign w:val="center"/>
          </w:tcPr>
          <w:p w14:paraId="0EB4D43E" w14:textId="77777777" w:rsidR="00241B92" w:rsidRDefault="00000000">
            <w:pPr>
              <w:spacing w:after="40" w:line="360" w:lineRule="auto"/>
            </w:pPr>
            <w:r>
              <w:t>Pilot launch</w:t>
            </w:r>
            <w:r>
              <w:br/>
              <w:t>6-18 months</w:t>
            </w:r>
          </w:p>
        </w:tc>
        <w:tc>
          <w:tcPr>
            <w:tcW w:w="3117" w:type="dxa"/>
            <w:vAlign w:val="center"/>
          </w:tcPr>
          <w:p w14:paraId="4A3F09A4" w14:textId="77777777" w:rsidR="00241B92" w:rsidRDefault="00000000">
            <w:pPr>
              <w:spacing w:after="40" w:line="360" w:lineRule="auto"/>
            </w:pPr>
            <w:r>
              <w:t>Open 10-15 GTA and commuter-market stores; monitor availability at 95%+, a 10-15% basket price gap versus mainstream supermarkets and fresh shrink within budget.</w:t>
            </w:r>
          </w:p>
        </w:tc>
        <w:tc>
          <w:tcPr>
            <w:tcW w:w="3117" w:type="dxa"/>
            <w:vAlign w:val="center"/>
          </w:tcPr>
          <w:p w14:paraId="6F61BE7A" w14:textId="77777777" w:rsidR="00241B92" w:rsidRDefault="00000000">
            <w:pPr>
              <w:spacing w:after="40" w:line="360" w:lineRule="auto"/>
            </w:pPr>
            <w:r>
              <w:t>Continue only if repeat visits, availability and margin evidence remain stable after two trading quarters.</w:t>
            </w:r>
          </w:p>
        </w:tc>
      </w:tr>
      <w:tr w:rsidR="00241B92" w14:paraId="3530DA05" w14:textId="77777777" w:rsidTr="00CF27F6">
        <w:trPr>
          <w:jc w:val="center"/>
        </w:trPr>
        <w:tc>
          <w:tcPr>
            <w:tcW w:w="3116" w:type="dxa"/>
            <w:vAlign w:val="center"/>
          </w:tcPr>
          <w:p w14:paraId="79603A5B" w14:textId="77777777" w:rsidR="00241B92" w:rsidRDefault="00000000">
            <w:pPr>
              <w:spacing w:after="40" w:line="360" w:lineRule="auto"/>
            </w:pPr>
            <w:r>
              <w:lastRenderedPageBreak/>
              <w:t>Scale decision</w:t>
            </w:r>
            <w:r>
              <w:br/>
              <w:t>18-36 months</w:t>
            </w:r>
          </w:p>
        </w:tc>
        <w:tc>
          <w:tcPr>
            <w:tcW w:w="3117" w:type="dxa"/>
            <w:vAlign w:val="center"/>
          </w:tcPr>
          <w:p w14:paraId="7BABA034" w14:textId="77777777" w:rsidR="00241B92" w:rsidRDefault="00000000">
            <w:pPr>
              <w:spacing w:after="40" w:line="360" w:lineRule="auto"/>
            </w:pPr>
            <w:proofErr w:type="spellStart"/>
            <w:r>
              <w:t>Optimise</w:t>
            </w:r>
            <w:proofErr w:type="spellEnd"/>
            <w:r>
              <w:t xml:space="preserve"> private label, local sourcing and fresh availability; prepare a second cluster only after the pilot is commercially proven.</w:t>
            </w:r>
          </w:p>
        </w:tc>
        <w:tc>
          <w:tcPr>
            <w:tcW w:w="3117" w:type="dxa"/>
            <w:vAlign w:val="center"/>
          </w:tcPr>
          <w:p w14:paraId="022DE182" w14:textId="77777777" w:rsidR="00241B92" w:rsidRDefault="00000000">
            <w:pPr>
              <w:spacing w:after="40" w:line="360" w:lineRule="auto"/>
            </w:pPr>
            <w:r>
              <w:t>Expand to wider Ontario, British Columbia or Alberta only if supplier service exceeds 92% and distribution cost per case remains within plan.</w:t>
            </w:r>
          </w:p>
        </w:tc>
      </w:tr>
    </w:tbl>
    <w:p w14:paraId="1976171B" w14:textId="7A3C5A7F" w:rsidR="00CF27F6" w:rsidRDefault="00CF27F6" w:rsidP="00CF27F6">
      <w:pPr>
        <w:jc w:val="center"/>
      </w:pPr>
      <w:r>
        <w:t xml:space="preserve">Source: Author’s proposed implementation framework based on Dunning (1988), Hill, Hwang and Kim (1990), </w:t>
      </w:r>
      <w:proofErr w:type="spellStart"/>
      <w:r>
        <w:t>Brouthers</w:t>
      </w:r>
      <w:proofErr w:type="spellEnd"/>
      <w:r>
        <w:t xml:space="preserve"> (2002), ALDI SOUTH Group (2026a) and Canadian Food Inspection Agency (2025).</w:t>
      </w:r>
    </w:p>
    <w:p w14:paraId="2E28C896" w14:textId="381BB185" w:rsidR="00241B92" w:rsidRDefault="00000000">
      <w:pPr>
        <w:pStyle w:val="Heading3"/>
        <w:spacing w:before="0" w:after="120" w:line="360" w:lineRule="auto"/>
        <w:rPr>
          <w:rFonts w:ascii="Arial" w:eastAsia="Arial" w:hAnsi="Arial"/>
        </w:rPr>
      </w:pPr>
      <w:bookmarkStart w:id="25" w:name="_Toc234098165"/>
      <w:r>
        <w:rPr>
          <w:rFonts w:ascii="Arial" w:eastAsia="Arial" w:hAnsi="Arial"/>
        </w:rPr>
        <w:t>3.5 Pilot risk controls and go/no-go criteria</w:t>
      </w:r>
      <w:bookmarkEnd w:id="25"/>
    </w:p>
    <w:p w14:paraId="7DD676A1" w14:textId="26934324" w:rsidR="00EE310F" w:rsidRPr="00CF27F6" w:rsidRDefault="00EE310F" w:rsidP="00EE310F">
      <w:pPr>
        <w:spacing w:line="360" w:lineRule="auto"/>
        <w:jc w:val="both"/>
      </w:pPr>
      <w:r w:rsidRPr="00EE310F">
        <w:t>They need to control the pilot with clear risk triggers since a poor initial launch would destroy consumer confidence and landlord assurance or supplier assurance. The Board needs to approve expansion only when it is confirmed that the price promise of ALDI is being fulfilled by structural economy, and not by short-term promotional subsidy.</w:t>
      </w:r>
    </w:p>
    <w:p w14:paraId="29A0CFA1" w14:textId="4D5B1986" w:rsidR="00EE310F" w:rsidRPr="006E7113" w:rsidRDefault="00000000">
      <w:pPr>
        <w:pStyle w:val="CaptionCustom"/>
        <w:spacing w:after="120" w:line="360" w:lineRule="auto"/>
        <w:rPr>
          <w:b/>
          <w:bCs/>
          <w:i w:val="0"/>
          <w:iCs/>
        </w:rPr>
      </w:pPr>
      <w:r w:rsidRPr="00EE310F">
        <w:rPr>
          <w:b/>
          <w:bCs/>
          <w:i w:val="0"/>
          <w:iCs/>
        </w:rPr>
        <w:t>Table 5. Key pilot risks, mitigations and decision triggers</w:t>
      </w:r>
    </w:p>
    <w:tbl>
      <w:tblPr>
        <w:tblStyle w:val="TableGrid"/>
        <w:tblW w:w="0" w:type="auto"/>
        <w:jc w:val="center"/>
        <w:tblLook w:val="04A0" w:firstRow="1" w:lastRow="0" w:firstColumn="1" w:lastColumn="0" w:noHBand="0" w:noVBand="1"/>
      </w:tblPr>
      <w:tblGrid>
        <w:gridCol w:w="3116"/>
        <w:gridCol w:w="3117"/>
        <w:gridCol w:w="3117"/>
      </w:tblGrid>
      <w:tr w:rsidR="00241B92" w14:paraId="11224F21" w14:textId="77777777" w:rsidTr="00EE310F">
        <w:trPr>
          <w:jc w:val="center"/>
        </w:trPr>
        <w:tc>
          <w:tcPr>
            <w:tcW w:w="3116" w:type="dxa"/>
            <w:vAlign w:val="center"/>
          </w:tcPr>
          <w:p w14:paraId="2757BAD9" w14:textId="77777777" w:rsidR="00241B92" w:rsidRDefault="00000000">
            <w:pPr>
              <w:spacing w:after="40" w:line="360" w:lineRule="auto"/>
            </w:pPr>
            <w:r>
              <w:rPr>
                <w:b/>
              </w:rPr>
              <w:t>Risk</w:t>
            </w:r>
          </w:p>
        </w:tc>
        <w:tc>
          <w:tcPr>
            <w:tcW w:w="3117" w:type="dxa"/>
            <w:vAlign w:val="center"/>
          </w:tcPr>
          <w:p w14:paraId="6BA7D88B" w14:textId="77777777" w:rsidR="00241B92" w:rsidRDefault="00000000">
            <w:pPr>
              <w:spacing w:after="40" w:line="360" w:lineRule="auto"/>
            </w:pPr>
            <w:r>
              <w:rPr>
                <w:b/>
              </w:rPr>
              <w:t>Mitigation</w:t>
            </w:r>
          </w:p>
        </w:tc>
        <w:tc>
          <w:tcPr>
            <w:tcW w:w="3117" w:type="dxa"/>
            <w:vAlign w:val="center"/>
          </w:tcPr>
          <w:p w14:paraId="212B31CD" w14:textId="77777777" w:rsidR="00241B92" w:rsidRDefault="00000000">
            <w:pPr>
              <w:spacing w:after="40" w:line="360" w:lineRule="auto"/>
            </w:pPr>
            <w:r>
              <w:rPr>
                <w:b/>
              </w:rPr>
              <w:t>Decision trigger</w:t>
            </w:r>
          </w:p>
        </w:tc>
      </w:tr>
      <w:tr w:rsidR="00241B92" w14:paraId="6C0A772D" w14:textId="77777777" w:rsidTr="00EE310F">
        <w:trPr>
          <w:jc w:val="center"/>
        </w:trPr>
        <w:tc>
          <w:tcPr>
            <w:tcW w:w="3116" w:type="dxa"/>
            <w:vAlign w:val="center"/>
          </w:tcPr>
          <w:p w14:paraId="6C426DAB" w14:textId="77777777" w:rsidR="00241B92" w:rsidRDefault="00000000">
            <w:pPr>
              <w:spacing w:after="40" w:line="360" w:lineRule="auto"/>
            </w:pPr>
            <w:r>
              <w:t>Incumbent price retaliation</w:t>
            </w:r>
          </w:p>
        </w:tc>
        <w:tc>
          <w:tcPr>
            <w:tcW w:w="3117" w:type="dxa"/>
            <w:vAlign w:val="center"/>
          </w:tcPr>
          <w:p w14:paraId="4B761A4D" w14:textId="77777777" w:rsidR="00241B92" w:rsidRDefault="00000000">
            <w:pPr>
              <w:spacing w:after="40" w:line="360" w:lineRule="auto"/>
            </w:pPr>
            <w:r>
              <w:t>Track comparable baskets and avoid launch discounts that cannot be sustained.</w:t>
            </w:r>
          </w:p>
        </w:tc>
        <w:tc>
          <w:tcPr>
            <w:tcW w:w="3117" w:type="dxa"/>
            <w:vAlign w:val="center"/>
          </w:tcPr>
          <w:p w14:paraId="0CDBEC72" w14:textId="77777777" w:rsidR="00241B92" w:rsidRDefault="00000000">
            <w:pPr>
              <w:spacing w:after="40" w:line="360" w:lineRule="auto"/>
            </w:pPr>
            <w:r>
              <w:t>Pause expansion if the price gap fails after two trading quarters.</w:t>
            </w:r>
          </w:p>
        </w:tc>
      </w:tr>
      <w:tr w:rsidR="00241B92" w14:paraId="302EFE34" w14:textId="77777777" w:rsidTr="00EE310F">
        <w:trPr>
          <w:jc w:val="center"/>
        </w:trPr>
        <w:tc>
          <w:tcPr>
            <w:tcW w:w="3116" w:type="dxa"/>
            <w:vAlign w:val="center"/>
          </w:tcPr>
          <w:p w14:paraId="688AE82A" w14:textId="77777777" w:rsidR="00241B92" w:rsidRDefault="00000000">
            <w:pPr>
              <w:spacing w:after="40" w:line="360" w:lineRule="auto"/>
            </w:pPr>
            <w:r>
              <w:t>Distribution and cold-chain cost</w:t>
            </w:r>
          </w:p>
        </w:tc>
        <w:tc>
          <w:tcPr>
            <w:tcW w:w="3117" w:type="dxa"/>
            <w:vAlign w:val="center"/>
          </w:tcPr>
          <w:p w14:paraId="33F985F9" w14:textId="77777777" w:rsidR="00241B92" w:rsidRDefault="00000000">
            <w:pPr>
              <w:spacing w:after="40" w:line="360" w:lineRule="auto"/>
            </w:pPr>
            <w:r>
              <w:t>Keep stores clustered around one platform and test fresh availability before adding new regions.</w:t>
            </w:r>
          </w:p>
        </w:tc>
        <w:tc>
          <w:tcPr>
            <w:tcW w:w="3117" w:type="dxa"/>
            <w:vAlign w:val="center"/>
          </w:tcPr>
          <w:p w14:paraId="06957ED2" w14:textId="77777777" w:rsidR="00241B92" w:rsidRDefault="00000000">
            <w:pPr>
              <w:spacing w:after="40" w:line="360" w:lineRule="auto"/>
            </w:pPr>
            <w:r>
              <w:t>Do not scale if availability falls below 95% or distribution cost exceeds pilot plan.</w:t>
            </w:r>
          </w:p>
        </w:tc>
      </w:tr>
      <w:tr w:rsidR="00241B92" w14:paraId="20B932F8" w14:textId="77777777" w:rsidTr="00EE310F">
        <w:trPr>
          <w:jc w:val="center"/>
        </w:trPr>
        <w:tc>
          <w:tcPr>
            <w:tcW w:w="3116" w:type="dxa"/>
            <w:vAlign w:val="center"/>
          </w:tcPr>
          <w:p w14:paraId="15DAE869" w14:textId="77777777" w:rsidR="00241B92" w:rsidRDefault="00000000">
            <w:pPr>
              <w:spacing w:after="40" w:line="360" w:lineRule="auto"/>
            </w:pPr>
            <w:r>
              <w:t>Private-label trust gap</w:t>
            </w:r>
          </w:p>
        </w:tc>
        <w:tc>
          <w:tcPr>
            <w:tcW w:w="3117" w:type="dxa"/>
            <w:vAlign w:val="center"/>
          </w:tcPr>
          <w:p w14:paraId="0A12BD9E" w14:textId="77777777" w:rsidR="00241B92" w:rsidRDefault="00000000">
            <w:pPr>
              <w:spacing w:after="40" w:line="360" w:lineRule="auto"/>
            </w:pPr>
            <w:r>
              <w:t>Use sampling, quality guarantees and locally relevant ranges in fresh, bakery, halal, vegetarian and frozen categories.</w:t>
            </w:r>
          </w:p>
        </w:tc>
        <w:tc>
          <w:tcPr>
            <w:tcW w:w="3117" w:type="dxa"/>
            <w:vAlign w:val="center"/>
          </w:tcPr>
          <w:p w14:paraId="0C011617" w14:textId="77777777" w:rsidR="00241B92" w:rsidRDefault="00000000">
            <w:pPr>
              <w:spacing w:after="40" w:line="360" w:lineRule="auto"/>
            </w:pPr>
            <w:r>
              <w:t>Redesign assortment if repeat purchase is weak after six months.</w:t>
            </w:r>
          </w:p>
        </w:tc>
      </w:tr>
      <w:tr w:rsidR="00241B92" w14:paraId="6CF212FF" w14:textId="77777777" w:rsidTr="00EE310F">
        <w:trPr>
          <w:jc w:val="center"/>
        </w:trPr>
        <w:tc>
          <w:tcPr>
            <w:tcW w:w="3116" w:type="dxa"/>
            <w:vAlign w:val="center"/>
          </w:tcPr>
          <w:p w14:paraId="7BE519EC" w14:textId="77777777" w:rsidR="00241B92" w:rsidRDefault="00000000">
            <w:pPr>
              <w:spacing w:after="40" w:line="360" w:lineRule="auto"/>
            </w:pPr>
            <w:r>
              <w:lastRenderedPageBreak/>
              <w:t>Regulatory or labelling error</w:t>
            </w:r>
          </w:p>
        </w:tc>
        <w:tc>
          <w:tcPr>
            <w:tcW w:w="3117" w:type="dxa"/>
            <w:vAlign w:val="center"/>
          </w:tcPr>
          <w:p w14:paraId="1F207E07" w14:textId="77777777" w:rsidR="00241B92" w:rsidRDefault="00000000">
            <w:pPr>
              <w:spacing w:after="40" w:line="360" w:lineRule="auto"/>
            </w:pPr>
            <w:r>
              <w:t>Require bilingual labelling, allergen, nutrition and origin-claim sign-off before launch.</w:t>
            </w:r>
          </w:p>
        </w:tc>
        <w:tc>
          <w:tcPr>
            <w:tcW w:w="3117" w:type="dxa"/>
            <w:vAlign w:val="center"/>
          </w:tcPr>
          <w:p w14:paraId="3C8F9FCB" w14:textId="77777777" w:rsidR="00241B92" w:rsidRDefault="00000000">
            <w:pPr>
              <w:spacing w:after="40" w:line="360" w:lineRule="auto"/>
            </w:pPr>
            <w:r>
              <w:t>Block any private-label SKU without signed compliance approval.</w:t>
            </w:r>
          </w:p>
        </w:tc>
      </w:tr>
    </w:tbl>
    <w:p w14:paraId="4C105454" w14:textId="2C27603C" w:rsidR="00EE310F" w:rsidRDefault="00EE310F" w:rsidP="00EE310F">
      <w:pPr>
        <w:pStyle w:val="CaptionCustom"/>
        <w:spacing w:after="120" w:line="360" w:lineRule="auto"/>
      </w:pPr>
      <w:r>
        <w:t>Source: Author’s risk synthesis based on Buckley and Casson (1976), Dunning (1988), Zaheer (1995), Competition Bureau Canada (2023), Government of Canada (2026) and USDA Foreign Agricultural Service (2025).</w:t>
      </w:r>
    </w:p>
    <w:p w14:paraId="1DCFC231" w14:textId="194A223E" w:rsidR="00FE6929" w:rsidRDefault="00000000" w:rsidP="00EE310F">
      <w:pPr>
        <w:pStyle w:val="Heading3"/>
        <w:spacing w:before="0" w:after="120" w:line="360" w:lineRule="auto"/>
        <w:jc w:val="both"/>
      </w:pPr>
      <w:bookmarkStart w:id="26" w:name="_Toc234098166"/>
      <w:r>
        <w:rPr>
          <w:rFonts w:ascii="Arial" w:eastAsia="Arial" w:hAnsi="Arial"/>
        </w:rPr>
        <w:t>Conclusion</w:t>
      </w:r>
      <w:bookmarkEnd w:id="26"/>
    </w:p>
    <w:p w14:paraId="288BDB55" w14:textId="3AEEFA9A" w:rsidR="00EE310F" w:rsidRDefault="00EE310F" w:rsidP="00EE310F">
      <w:pPr>
        <w:spacing w:after="120" w:line="360" w:lineRule="auto"/>
        <w:jc w:val="both"/>
      </w:pPr>
      <w:r w:rsidRPr="00EE310F">
        <w:t xml:space="preserve">In general, Canada is a strategically attractive, yet operationally challenging market that should be regarded by ALDI Süd. It is not simply that the price of groceries is high and Canada is rich, so this is the best argument to enter. The superior argumentation is that the benefits of ownership with regards to ALDI are consistent with a particular Canadian issue: customers should be provided with viable counterpoints to price in a monopolistic grocery market. The last and most significant argument against entry is equally significant: the cost structure and geography of Canada, the local adaption of the regulations and end-of-market-banners may undermine the Aldi price advantage prior to the attainment of the scale. Overall, the most appropriate suggestion is a gradual and full ownership Ontario pilot with domestic sourcing alliances, excellent compliance preparation, and quantifiable go / no -go limits and selective modifications of the offer. </w:t>
      </w:r>
    </w:p>
    <w:p w14:paraId="73B10295" w14:textId="77777777" w:rsidR="00FE6929" w:rsidRDefault="00000000">
      <w:pPr>
        <w:spacing w:after="120" w:line="360" w:lineRule="auto"/>
      </w:pPr>
      <w:r>
        <w:br w:type="page"/>
      </w:r>
    </w:p>
    <w:p w14:paraId="68BD0556" w14:textId="77777777" w:rsidR="00FE6929" w:rsidRPr="00EE310F" w:rsidRDefault="00000000">
      <w:pPr>
        <w:pStyle w:val="Heading1"/>
        <w:spacing w:before="0" w:after="120" w:line="360" w:lineRule="auto"/>
        <w:rPr>
          <w:sz w:val="28"/>
          <w:szCs w:val="32"/>
        </w:rPr>
      </w:pPr>
      <w:bookmarkStart w:id="27" w:name="_Toc234069184"/>
      <w:bookmarkStart w:id="28" w:name="_Toc234098167"/>
      <w:bookmarkStart w:id="29" w:name="_Toc234100255"/>
      <w:r w:rsidRPr="00EE310F">
        <w:rPr>
          <w:rFonts w:ascii="Arial" w:eastAsia="Arial" w:hAnsi="Arial"/>
          <w:sz w:val="28"/>
          <w:szCs w:val="32"/>
        </w:rPr>
        <w:lastRenderedPageBreak/>
        <w:t>Section 2: Reflective Account Using Gibbs’ Reflective Cycle</w:t>
      </w:r>
      <w:bookmarkEnd w:id="27"/>
      <w:bookmarkEnd w:id="28"/>
      <w:bookmarkEnd w:id="29"/>
    </w:p>
    <w:p w14:paraId="1316040E" w14:textId="77777777" w:rsidR="00EE310F" w:rsidRDefault="00EE310F" w:rsidP="00EE310F">
      <w:pPr>
        <w:spacing w:after="120" w:line="360" w:lineRule="auto"/>
        <w:jc w:val="both"/>
      </w:pPr>
      <w:r w:rsidRPr="00EE310F">
        <w:t>This reflective account uses Gibbs’ reflective cycle to evaluate the process followed in researching, analysing and preparing the market entry report (Gibbs, 1988). The objective is to demonstrate how the learning process evolved between the first topic choice to a more critical and evidence-based international business analysis.</w:t>
      </w:r>
    </w:p>
    <w:p w14:paraId="4F45CB9A" w14:textId="77777777" w:rsidR="00FE6929" w:rsidRDefault="00000000" w:rsidP="00EE310F">
      <w:pPr>
        <w:pStyle w:val="Heading2"/>
        <w:spacing w:before="0" w:after="120" w:line="360" w:lineRule="auto"/>
        <w:jc w:val="both"/>
      </w:pPr>
      <w:bookmarkStart w:id="30" w:name="_Toc234069185"/>
      <w:bookmarkStart w:id="31" w:name="_Toc234098168"/>
      <w:bookmarkStart w:id="32" w:name="_Toc234100256"/>
      <w:r>
        <w:rPr>
          <w:rFonts w:ascii="Arial" w:eastAsia="Arial" w:hAnsi="Arial"/>
        </w:rPr>
        <w:t>Description</w:t>
      </w:r>
      <w:bookmarkEnd w:id="30"/>
      <w:bookmarkEnd w:id="31"/>
      <w:bookmarkEnd w:id="32"/>
    </w:p>
    <w:p w14:paraId="49BCF255" w14:textId="77777777" w:rsidR="00EE310F" w:rsidRDefault="00EE310F" w:rsidP="00EE310F">
      <w:pPr>
        <w:spacing w:after="120" w:line="360" w:lineRule="auto"/>
        <w:jc w:val="both"/>
      </w:pPr>
      <w:r w:rsidRPr="00EE310F">
        <w:t>The assignment involved the choice of an MNC or TNC and a target country that the firm had not established an important operational base. I started with a comparison of various combinations of companies and countries, such as fashion, retail and consumer goods companies. The entry of ALDI Süd in Canada was picked on the basis of the operational presence condition and posed an intricate strategic issue than the straightforward case that a large market is an attractive market. The research process involved academic sources on international strategy and market entry, public sources on ALDI’s international footprint, and government or institutional sources on Canada’s economic, regulatory and grocery market conditions.</w:t>
      </w:r>
    </w:p>
    <w:p w14:paraId="08789105" w14:textId="77777777" w:rsidR="00FE6929" w:rsidRDefault="00000000" w:rsidP="00EE310F">
      <w:pPr>
        <w:pStyle w:val="Heading2"/>
        <w:spacing w:before="0" w:after="120" w:line="360" w:lineRule="auto"/>
        <w:jc w:val="both"/>
      </w:pPr>
      <w:bookmarkStart w:id="33" w:name="_Toc234069186"/>
      <w:bookmarkStart w:id="34" w:name="_Toc234098169"/>
      <w:bookmarkStart w:id="35" w:name="_Toc234100257"/>
      <w:r>
        <w:rPr>
          <w:rFonts w:ascii="Arial" w:eastAsia="Arial" w:hAnsi="Arial"/>
        </w:rPr>
        <w:t>Feelings</w:t>
      </w:r>
      <w:bookmarkEnd w:id="33"/>
      <w:bookmarkEnd w:id="34"/>
      <w:bookmarkEnd w:id="35"/>
    </w:p>
    <w:p w14:paraId="426469C2" w14:textId="77777777" w:rsidR="00EE310F" w:rsidRDefault="00EE310F" w:rsidP="00EE310F">
      <w:pPr>
        <w:spacing w:after="120" w:line="360" w:lineRule="auto"/>
        <w:jc w:val="both"/>
      </w:pPr>
      <w:r w:rsidRPr="00EE310F">
        <w:t>In the initial stages, the case was easy to comprehend due to the fact that ALDI low-price model appeared to respond to the issue of grocery affordability in Canada. The attractiveness of Canada was offset by high logistics expenses, powerful existing retailers, bilingual labelling regulations and the challenge of establishing personal label loyalty in a market where local retailers already have strong value brands. This transformed the research to a descriptive market opportunity report to a more critical entry mode decision. The key lesson was that thinking of international business strategy should neither begin with euphoria about a market; it ought to explore whether the benefits that run in the firm are worth retaining once the limitations of the locals are taken into account.</w:t>
      </w:r>
    </w:p>
    <w:p w14:paraId="46C3AEEB" w14:textId="77777777" w:rsidR="00FE6929" w:rsidRDefault="00000000" w:rsidP="00EE310F">
      <w:pPr>
        <w:pStyle w:val="Heading2"/>
        <w:spacing w:before="0" w:after="120" w:line="360" w:lineRule="auto"/>
        <w:jc w:val="both"/>
      </w:pPr>
      <w:bookmarkStart w:id="36" w:name="_Toc234069187"/>
      <w:bookmarkStart w:id="37" w:name="_Toc234098170"/>
      <w:bookmarkStart w:id="38" w:name="_Toc234100258"/>
      <w:r>
        <w:rPr>
          <w:rFonts w:ascii="Arial" w:eastAsia="Arial" w:hAnsi="Arial"/>
        </w:rPr>
        <w:t>Evaluation</w:t>
      </w:r>
      <w:bookmarkEnd w:id="36"/>
      <w:bookmarkEnd w:id="37"/>
      <w:bookmarkEnd w:id="38"/>
    </w:p>
    <w:p w14:paraId="202D2045" w14:textId="77777777" w:rsidR="00EE310F" w:rsidRDefault="00EE310F" w:rsidP="00EE310F">
      <w:pPr>
        <w:spacing w:after="120" w:line="360" w:lineRule="auto"/>
        <w:jc w:val="both"/>
      </w:pPr>
      <w:r w:rsidRPr="00EE310F">
        <w:t xml:space="preserve">The use of several types of evidence was the strongest aspect of the process. The academic theory served to organize the argument, whereas sources like Competition Bureau, Statistics Canada, OECD, World Bank, CFIA and USDA FAS served to base the </w:t>
      </w:r>
      <w:r w:rsidRPr="00EE310F">
        <w:lastRenderedPageBreak/>
        <w:t>analysis on the existing public statistics. The framework developed by Bartlett and Ghoshal became handy in coding the strategy of ALDI Süd, and the framework of OLI developed by Dunning was used to relate the benefits of ownership to the local conditions in Canada and internalisation logic. The most challenging aspect of doing so was the lack of complete information about the company as ALDI is a privately-owned firm and does not share the same information as listed companies do. It was a weakness that had to be overcome by making good use of formal company profile data and other public sustainability information as well as market evidence and overstating financial details.</w:t>
      </w:r>
    </w:p>
    <w:p w14:paraId="77197510" w14:textId="77777777" w:rsidR="00FE6929" w:rsidRDefault="00000000" w:rsidP="00EE310F">
      <w:pPr>
        <w:pStyle w:val="Heading2"/>
        <w:spacing w:before="0" w:after="120" w:line="360" w:lineRule="auto"/>
        <w:jc w:val="both"/>
      </w:pPr>
      <w:bookmarkStart w:id="39" w:name="_Toc234069188"/>
      <w:bookmarkStart w:id="40" w:name="_Toc234098171"/>
      <w:bookmarkStart w:id="41" w:name="_Toc234100259"/>
      <w:r>
        <w:rPr>
          <w:rFonts w:ascii="Arial" w:eastAsia="Arial" w:hAnsi="Arial"/>
        </w:rPr>
        <w:t>Analysis</w:t>
      </w:r>
      <w:bookmarkEnd w:id="39"/>
      <w:bookmarkEnd w:id="40"/>
      <w:bookmarkEnd w:id="41"/>
    </w:p>
    <w:p w14:paraId="28A96BF4" w14:textId="77777777" w:rsidR="00EE310F" w:rsidRDefault="00EE310F" w:rsidP="00EE310F">
      <w:pPr>
        <w:spacing w:after="120" w:line="360" w:lineRule="auto"/>
        <w:jc w:val="both"/>
      </w:pPr>
      <w:r w:rsidRPr="00EE310F">
        <w:t xml:space="preserve">The module learning influenced the report by encouraging the integration of theory with practice. The PELC analysis aimed to target the issues most pertinent to the grocery retailing instead of encompassing all the potential macro factors. This was critical as a wide PESTLE-like list would have been descriptive and not useful in the decision-making process. The OLI framework also contributed to preventing a typical flaw of market entry reports: not to consider market attractiveness and firm capability as distinct. Only when ALDI can </w:t>
      </w:r>
      <w:proofErr w:type="spellStart"/>
      <w:r w:rsidRPr="00EE310F">
        <w:t>internalise</w:t>
      </w:r>
      <w:proofErr w:type="spellEnd"/>
      <w:r w:rsidRPr="00EE310F">
        <w:t xml:space="preserve"> its low-cost model, as well as establish sufficient regional density, is Canada appealing. </w:t>
      </w:r>
    </w:p>
    <w:p w14:paraId="3B17979E" w14:textId="3771ED4D" w:rsidR="00EE310F" w:rsidRDefault="00EE310F" w:rsidP="00EE310F">
      <w:pPr>
        <w:spacing w:after="120" w:line="360" w:lineRule="auto"/>
        <w:jc w:val="both"/>
      </w:pPr>
      <w:r w:rsidRPr="00EE310F">
        <w:t>This understanding informed the ultimate proposal of a gradual Ontario pilot as opposed to national explosion. The high prices of grocery in Canada are a challenge to the entry by discounts and can be interpreted as structural issues like transportation prices, dependence on imports and concentration of the market. Likewise, high consumer value demand would favour ALDI, yet the presence of discount banners incumbent would imply ALDI would not be launching a vacuum in the value sector. The last solution was more delicate, as it emitted entry but in a limited, selective and evidence-proven way.</w:t>
      </w:r>
    </w:p>
    <w:p w14:paraId="4E6CFF71" w14:textId="77777777" w:rsidR="00FE6929" w:rsidRDefault="00000000" w:rsidP="00EE310F">
      <w:pPr>
        <w:pStyle w:val="Heading2"/>
        <w:spacing w:before="0" w:after="120" w:line="360" w:lineRule="auto"/>
        <w:jc w:val="both"/>
      </w:pPr>
      <w:bookmarkStart w:id="42" w:name="_Toc234069189"/>
      <w:bookmarkStart w:id="43" w:name="_Toc234098172"/>
      <w:bookmarkStart w:id="44" w:name="_Toc234100260"/>
      <w:r>
        <w:rPr>
          <w:rFonts w:ascii="Arial" w:eastAsia="Arial" w:hAnsi="Arial"/>
        </w:rPr>
        <w:t>Conclusion</w:t>
      </w:r>
      <w:bookmarkEnd w:id="42"/>
      <w:bookmarkEnd w:id="43"/>
      <w:bookmarkEnd w:id="44"/>
    </w:p>
    <w:p w14:paraId="3F90AA31" w14:textId="77777777" w:rsidR="00EE310F" w:rsidRDefault="00EE310F" w:rsidP="00EE310F">
      <w:pPr>
        <w:spacing w:after="120" w:line="360" w:lineRule="auto"/>
        <w:jc w:val="both"/>
      </w:pPr>
      <w:r w:rsidRPr="00EE310F">
        <w:t xml:space="preserve">The assignment enhanced my knowledge on international business strategy when I realized that effective market entry decisions ought to be harmonized concerning the capabilities of the company, host-country environment, and mode of entry control. I understood that a believable analysis is based on the comparison of options instead of supporting an answer people prefer at the outset. The identification of uncertainty, source </w:t>
      </w:r>
      <w:r w:rsidRPr="00EE310F">
        <w:lastRenderedPageBreak/>
        <w:t>limitations and conflicting interpretations lead to creating a more powerful recommendation. Without the use of regulation, culture, logistics and incumbent response, the report would have been less sound, despite it being based on market size and food inflation data.</w:t>
      </w:r>
    </w:p>
    <w:p w14:paraId="2C1DABCC" w14:textId="77777777" w:rsidR="00FE6929" w:rsidRDefault="00000000" w:rsidP="00EE310F">
      <w:pPr>
        <w:pStyle w:val="Heading2"/>
        <w:spacing w:before="0" w:after="120" w:line="360" w:lineRule="auto"/>
        <w:jc w:val="both"/>
      </w:pPr>
      <w:bookmarkStart w:id="45" w:name="_Toc234069190"/>
      <w:bookmarkStart w:id="46" w:name="_Toc234098173"/>
      <w:bookmarkStart w:id="47" w:name="_Toc234100261"/>
      <w:r>
        <w:rPr>
          <w:rFonts w:ascii="Arial" w:eastAsia="Arial" w:hAnsi="Arial"/>
        </w:rPr>
        <w:t>Action plan</w:t>
      </w:r>
      <w:bookmarkEnd w:id="45"/>
      <w:bookmarkEnd w:id="46"/>
      <w:bookmarkEnd w:id="47"/>
    </w:p>
    <w:p w14:paraId="724CCB76" w14:textId="77777777" w:rsidR="00EE310F" w:rsidRDefault="00EE310F" w:rsidP="00EE310F">
      <w:pPr>
        <w:spacing w:after="120" w:line="360" w:lineRule="auto"/>
        <w:jc w:val="both"/>
      </w:pPr>
      <w:r w:rsidRPr="00EE310F">
        <w:t xml:space="preserve">The most important lessons that I will apply in future international business research would be to start with a better evidence matrix that distinguishes the capability of the company, its market attractiveness, risk and entry mode options. I would also document the credibility of source more systematically where there may not be much sign of credibility of company information or where it may be privately owned. Lastly, I would evaluate recommendations with other scenarios, including higher incumbency price retaliation or slower planning </w:t>
      </w:r>
      <w:proofErr w:type="spellStart"/>
      <w:r w:rsidRPr="00EE310F">
        <w:t>authorisation</w:t>
      </w:r>
      <w:proofErr w:type="spellEnd"/>
      <w:r w:rsidRPr="00EE310F">
        <w:t>, prior to conducting the final strategy. Such actions would assist in rendering future work to be more critical, more defensible and more beneficial in making decisions responsive to the professionals.</w:t>
      </w:r>
    </w:p>
    <w:p w14:paraId="53CD278F" w14:textId="77777777" w:rsidR="00EE310F" w:rsidRDefault="00EE310F" w:rsidP="00EE310F">
      <w:pPr>
        <w:jc w:val="both"/>
        <w:rPr>
          <w:rFonts w:cstheme="majorBidi"/>
          <w:b/>
          <w:bCs/>
          <w:color w:val="000000"/>
          <w:szCs w:val="28"/>
        </w:rPr>
      </w:pPr>
      <w:bookmarkStart w:id="48" w:name="_Toc234069191"/>
      <w:r>
        <w:br w:type="page"/>
      </w:r>
    </w:p>
    <w:p w14:paraId="08A5FD82" w14:textId="670C0949" w:rsidR="00FE6929" w:rsidRDefault="00000000">
      <w:pPr>
        <w:pStyle w:val="Heading1"/>
        <w:spacing w:before="0" w:after="120" w:line="360" w:lineRule="auto"/>
      </w:pPr>
      <w:bookmarkStart w:id="49" w:name="_Toc234098174"/>
      <w:bookmarkStart w:id="50" w:name="_Toc234100262"/>
      <w:r>
        <w:rPr>
          <w:rFonts w:ascii="Arial" w:eastAsia="Arial" w:hAnsi="Arial"/>
        </w:rPr>
        <w:lastRenderedPageBreak/>
        <w:t>Reference List</w:t>
      </w:r>
      <w:bookmarkEnd w:id="48"/>
      <w:bookmarkEnd w:id="49"/>
      <w:bookmarkEnd w:id="50"/>
    </w:p>
    <w:p w14:paraId="10A9FBAD" w14:textId="3859798C" w:rsidR="00806302" w:rsidRPr="00806302" w:rsidRDefault="00806302" w:rsidP="00173044">
      <w:pPr>
        <w:spacing w:before="240" w:after="120" w:line="360" w:lineRule="auto"/>
      </w:pPr>
      <w:r>
        <w:t xml:space="preserve">Agriculture and Agri-Food Canada (2025) </w:t>
      </w:r>
      <w:r>
        <w:rPr>
          <w:i/>
        </w:rPr>
        <w:t>Grocery Code of Conduct</w:t>
      </w:r>
      <w:r>
        <w:t xml:space="preserve">. Government of Canada question period note. Available at: </w:t>
      </w:r>
      <w:hyperlink r:id="rId10">
        <w:r>
          <w:rPr>
            <w:color w:val="0000FF"/>
            <w:u w:val="single"/>
          </w:rPr>
          <w:t>https://search.open.canada.ca/qpnotes/record/aafc-aac%2CAAFC-2025-QP-00069</w:t>
        </w:r>
      </w:hyperlink>
      <w:r>
        <w:t xml:space="preserve"> (Accessed: 1 July 2026).</w:t>
      </w:r>
    </w:p>
    <w:p w14:paraId="6428CD4C" w14:textId="0CAD2A2A" w:rsidR="00806302" w:rsidRPr="00806302" w:rsidRDefault="00806302" w:rsidP="00173044">
      <w:pPr>
        <w:spacing w:before="240" w:after="120" w:line="360" w:lineRule="auto"/>
      </w:pPr>
      <w:r>
        <w:t xml:space="preserve">ALDI SOUTH Group (2026a) </w:t>
      </w:r>
      <w:r>
        <w:rPr>
          <w:i/>
        </w:rPr>
        <w:t>Company Profile</w:t>
      </w:r>
      <w:r>
        <w:t xml:space="preserve">. Available at: </w:t>
      </w:r>
      <w:hyperlink r:id="rId11">
        <w:r>
          <w:rPr>
            <w:color w:val="0000FF"/>
            <w:u w:val="single"/>
          </w:rPr>
          <w:t>https://sustainability.aldisouthgroup.com/about-aldi/company-profile</w:t>
        </w:r>
      </w:hyperlink>
      <w:r>
        <w:t xml:space="preserve"> (Accessed: 1 July 2026).</w:t>
      </w:r>
    </w:p>
    <w:p w14:paraId="0C58D852" w14:textId="64736133" w:rsidR="00806302" w:rsidRPr="00806302" w:rsidRDefault="00806302" w:rsidP="00173044">
      <w:pPr>
        <w:spacing w:before="240" w:after="120" w:line="360" w:lineRule="auto"/>
      </w:pPr>
      <w:r>
        <w:t xml:space="preserve">ALDI SOUTH Group (2026b) </w:t>
      </w:r>
      <w:r>
        <w:rPr>
          <w:i/>
        </w:rPr>
        <w:t>Sustainability Progress</w:t>
      </w:r>
      <w:r>
        <w:t xml:space="preserve">. Available at: </w:t>
      </w:r>
      <w:hyperlink r:id="rId12">
        <w:r>
          <w:rPr>
            <w:color w:val="0000FF"/>
            <w:u w:val="single"/>
          </w:rPr>
          <w:t>https://sustainability.aldisouthgroup.com/sustainability/sustainability-progress</w:t>
        </w:r>
      </w:hyperlink>
      <w:r>
        <w:t xml:space="preserve"> (Accessed: 1 July 2026).</w:t>
      </w:r>
    </w:p>
    <w:p w14:paraId="476F70FE" w14:textId="6C548A33" w:rsidR="00806302" w:rsidRPr="00806302" w:rsidRDefault="00806302" w:rsidP="00173044">
      <w:pPr>
        <w:spacing w:before="240" w:after="120" w:line="360" w:lineRule="auto"/>
      </w:pPr>
      <w:r>
        <w:t xml:space="preserve">ALDI U.S. (2025) </w:t>
      </w:r>
      <w:r>
        <w:rPr>
          <w:i/>
        </w:rPr>
        <w:t>ALDI Announces Plans to Open a Record-Breaking 225+ New Stores in 2025</w:t>
      </w:r>
      <w:r>
        <w:t xml:space="preserve">. Available at: </w:t>
      </w:r>
      <w:hyperlink r:id="rId13">
        <w:r>
          <w:rPr>
            <w:color w:val="0000FF"/>
            <w:u w:val="single"/>
          </w:rPr>
          <w:t>https://dm.cms.aldi.cx/is/content/prod1amer/ALDI_Announces_Plans_to_Open_a_Record-Breaking_225__New_Stores_in_2025pdf</w:t>
        </w:r>
      </w:hyperlink>
      <w:r>
        <w:t xml:space="preserve"> (Accessed: 1 July 2026).</w:t>
      </w:r>
    </w:p>
    <w:p w14:paraId="194EAAC0" w14:textId="6FD86A8A" w:rsidR="00806302" w:rsidRPr="00806302" w:rsidRDefault="00806302" w:rsidP="00173044">
      <w:pPr>
        <w:spacing w:before="240" w:after="120" w:line="360" w:lineRule="auto"/>
      </w:pPr>
      <w:r>
        <w:t xml:space="preserve">Bank of Canada (2026) </w:t>
      </w:r>
      <w:r>
        <w:rPr>
          <w:i/>
        </w:rPr>
        <w:t>Understanding the Resurgence of Food Inflation in 2025</w:t>
      </w:r>
      <w:r>
        <w:t xml:space="preserve">. Available at: </w:t>
      </w:r>
      <w:hyperlink r:id="rId14">
        <w:r>
          <w:rPr>
            <w:color w:val="0000FF"/>
            <w:u w:val="single"/>
          </w:rPr>
          <w:t>https://www.bankofcanada.ca/2026/02/sparks-at-bank-article-2026-3/</w:t>
        </w:r>
      </w:hyperlink>
      <w:r>
        <w:t xml:space="preserve"> (Accessed: 1 July 2026).</w:t>
      </w:r>
    </w:p>
    <w:p w14:paraId="79F93F7E" w14:textId="77777777" w:rsidR="00806302" w:rsidRPr="00806302" w:rsidRDefault="00806302" w:rsidP="00173044">
      <w:pPr>
        <w:spacing w:before="240" w:after="120" w:line="360" w:lineRule="auto"/>
      </w:pPr>
      <w:r>
        <w:t xml:space="preserve">Bartlett, C.A. and Ghoshal, S. (1989) </w:t>
      </w:r>
      <w:r>
        <w:rPr>
          <w:i/>
        </w:rPr>
        <w:t>Managing Across Borders: The Transnational Solution</w:t>
      </w:r>
      <w:r>
        <w:t>. Boston: Harvard Business School Press.</w:t>
      </w:r>
    </w:p>
    <w:p w14:paraId="6A05CA5E" w14:textId="1F77889D" w:rsidR="00806302" w:rsidRPr="00806302" w:rsidRDefault="00806302" w:rsidP="00173044">
      <w:pPr>
        <w:spacing w:before="240" w:after="120" w:line="360" w:lineRule="auto"/>
      </w:pPr>
      <w:r>
        <w:t xml:space="preserve">Brouthers, K.D. (2002) ‘Institutional, cultural and transaction cost influences on entry mode choice and performance’, </w:t>
      </w:r>
      <w:r>
        <w:rPr>
          <w:i/>
        </w:rPr>
        <w:t>Journal of International Business Studies</w:t>
      </w:r>
      <w:r>
        <w:t xml:space="preserve">, 33(2), pp. 203–221. Available at: </w:t>
      </w:r>
      <w:hyperlink r:id="rId15">
        <w:r>
          <w:rPr>
            <w:color w:val="0000FF"/>
            <w:u w:val="single"/>
          </w:rPr>
          <w:t>https://doi.org/10.1057/palgrave.jibs.8491013</w:t>
        </w:r>
      </w:hyperlink>
      <w:r>
        <w:t xml:space="preserve"> (Accessed: 1 July 2026).</w:t>
      </w:r>
    </w:p>
    <w:p w14:paraId="7B317341" w14:textId="77777777" w:rsidR="00806302" w:rsidRPr="00806302" w:rsidRDefault="00806302" w:rsidP="00173044">
      <w:pPr>
        <w:spacing w:before="240" w:after="120" w:line="360" w:lineRule="auto"/>
      </w:pPr>
      <w:r>
        <w:t xml:space="preserve">Buckley, P.J. and Casson, M. (1976) </w:t>
      </w:r>
      <w:r>
        <w:rPr>
          <w:i/>
        </w:rPr>
        <w:t>The Future of the Multinational Enterprise</w:t>
      </w:r>
      <w:r>
        <w:t>. London: Macmillan.</w:t>
      </w:r>
    </w:p>
    <w:p w14:paraId="331F6F2A" w14:textId="441EADA6" w:rsidR="00806302" w:rsidRPr="00806302" w:rsidRDefault="00806302" w:rsidP="00173044">
      <w:pPr>
        <w:spacing w:before="240" w:after="120" w:line="360" w:lineRule="auto"/>
      </w:pPr>
      <w:r>
        <w:lastRenderedPageBreak/>
        <w:t xml:space="preserve">Canada Grocery Code (2026) </w:t>
      </w:r>
      <w:r>
        <w:rPr>
          <w:i/>
        </w:rPr>
        <w:t>Code of Conduct</w:t>
      </w:r>
      <w:r>
        <w:t xml:space="preserve">. Available at: </w:t>
      </w:r>
      <w:hyperlink r:id="rId16">
        <w:r>
          <w:rPr>
            <w:color w:val="0000FF"/>
            <w:u w:val="single"/>
          </w:rPr>
          <w:t>https://canadacode.org/code/code-of-conduct/</w:t>
        </w:r>
      </w:hyperlink>
      <w:r>
        <w:t xml:space="preserve"> (Accessed: 1 July 2026).</w:t>
      </w:r>
    </w:p>
    <w:p w14:paraId="57F85D1F" w14:textId="47FACF8D" w:rsidR="00806302" w:rsidRPr="00806302" w:rsidRDefault="00806302" w:rsidP="00173044">
      <w:pPr>
        <w:spacing w:before="240" w:after="120" w:line="360" w:lineRule="auto"/>
      </w:pPr>
      <w:r>
        <w:t xml:space="preserve">Canadian Food Inspection Agency (2025) </w:t>
      </w:r>
      <w:r>
        <w:rPr>
          <w:i/>
        </w:rPr>
        <w:t>Food Labelling for Industry</w:t>
      </w:r>
      <w:r>
        <w:t xml:space="preserve">. Available at: </w:t>
      </w:r>
      <w:hyperlink r:id="rId17">
        <w:r>
          <w:rPr>
            <w:color w:val="0000FF"/>
            <w:u w:val="single"/>
          </w:rPr>
          <w:t>https://inspection.canada.ca/en/food-labels/labelling/industry</w:t>
        </w:r>
      </w:hyperlink>
      <w:r>
        <w:t xml:space="preserve"> (Accessed: 1 July 2026).</w:t>
      </w:r>
    </w:p>
    <w:p w14:paraId="6E19574F" w14:textId="20E1D391" w:rsidR="00806302" w:rsidRPr="00806302" w:rsidRDefault="00806302" w:rsidP="00173044">
      <w:pPr>
        <w:spacing w:before="240" w:after="120" w:line="360" w:lineRule="auto"/>
      </w:pPr>
      <w:r>
        <w:t xml:space="preserve">Colla, E. (2003) ‘International expansion and strategies of discount grocery retailers: the winning models’, </w:t>
      </w:r>
      <w:r>
        <w:rPr>
          <w:i/>
        </w:rPr>
        <w:t>International Journal of Retail &amp; Distribution Management</w:t>
      </w:r>
      <w:r>
        <w:t xml:space="preserve">, 31(1), pp. 55–66. Available at: </w:t>
      </w:r>
      <w:hyperlink r:id="rId18">
        <w:r>
          <w:rPr>
            <w:color w:val="0000FF"/>
            <w:u w:val="single"/>
          </w:rPr>
          <w:t>https://doi.org/10.1108/09590550310457845</w:t>
        </w:r>
      </w:hyperlink>
      <w:r>
        <w:t xml:space="preserve"> (Accessed: 1 July 2026).</w:t>
      </w:r>
    </w:p>
    <w:p w14:paraId="5D3764DD" w14:textId="0A37C842" w:rsidR="00806302" w:rsidRPr="00806302" w:rsidRDefault="00806302" w:rsidP="00173044">
      <w:pPr>
        <w:spacing w:before="240" w:after="120" w:line="360" w:lineRule="auto"/>
      </w:pPr>
      <w:r>
        <w:t xml:space="preserve">Competition Bureau Canada (2023) </w:t>
      </w:r>
      <w:r>
        <w:rPr>
          <w:i/>
        </w:rPr>
        <w:t>Canada Needs More Grocery Competition: Competition Bureau Retail Grocery Market Study Report</w:t>
      </w:r>
      <w:r>
        <w:t xml:space="preserve">. Available at: </w:t>
      </w:r>
      <w:hyperlink r:id="rId19">
        <w:r>
          <w:rPr>
            <w:color w:val="0000FF"/>
            <w:u w:val="single"/>
          </w:rPr>
          <w:t>https://competition-bureau.canada.ca/en/retail-grocery-market-study</w:t>
        </w:r>
      </w:hyperlink>
      <w:r>
        <w:t xml:space="preserve"> (Accessed: 1 July 2026).</w:t>
      </w:r>
    </w:p>
    <w:p w14:paraId="3125532B" w14:textId="3845616B" w:rsidR="00806302" w:rsidRPr="00806302" w:rsidRDefault="00806302" w:rsidP="00173044">
      <w:pPr>
        <w:spacing w:before="240" w:after="120" w:line="360" w:lineRule="auto"/>
      </w:pPr>
      <w:r>
        <w:t xml:space="preserve">Dunning, J.H. (1988) ‘The eclectic paradigm of international production: a restatement and some possible extensions’, </w:t>
      </w:r>
      <w:r>
        <w:rPr>
          <w:i/>
        </w:rPr>
        <w:t>Journal of International Business Studies</w:t>
      </w:r>
      <w:r>
        <w:t xml:space="preserve">, 19(1), pp. 1–31. Available at: </w:t>
      </w:r>
      <w:hyperlink r:id="rId20">
        <w:r>
          <w:rPr>
            <w:color w:val="0000FF"/>
            <w:u w:val="single"/>
          </w:rPr>
          <w:t>https://doi.org/10.1057/palgrave.jibs.8490372</w:t>
        </w:r>
      </w:hyperlink>
      <w:r>
        <w:t xml:space="preserve"> (Accessed: 1 July 2026).</w:t>
      </w:r>
    </w:p>
    <w:p w14:paraId="7FF46D23" w14:textId="77777777" w:rsidR="00806302" w:rsidRPr="00806302" w:rsidRDefault="00806302" w:rsidP="00173044">
      <w:pPr>
        <w:spacing w:before="240" w:after="120" w:line="360" w:lineRule="auto"/>
      </w:pPr>
      <w:r>
        <w:t xml:space="preserve">Ghemawat, P. (2007) </w:t>
      </w:r>
      <w:r>
        <w:rPr>
          <w:i/>
        </w:rPr>
        <w:t>Redefining Global Strategy: Crossing Borders in a World Where Differences Still Matter</w:t>
      </w:r>
      <w:r>
        <w:t>. Boston: Harvard Business School Press.</w:t>
      </w:r>
    </w:p>
    <w:p w14:paraId="5F0BD3B8" w14:textId="77777777" w:rsidR="00806302" w:rsidRPr="00806302" w:rsidRDefault="00806302" w:rsidP="00173044">
      <w:pPr>
        <w:spacing w:before="240" w:after="120" w:line="360" w:lineRule="auto"/>
      </w:pPr>
      <w:r>
        <w:t xml:space="preserve">Gibbs, G. (1988) </w:t>
      </w:r>
      <w:r>
        <w:rPr>
          <w:i/>
        </w:rPr>
        <w:t>Learning by Doing: A Guide to Teaching and Learning Methods</w:t>
      </w:r>
      <w:r>
        <w:t>. Oxford: Oxford Polytechnic.</w:t>
      </w:r>
    </w:p>
    <w:p w14:paraId="63C62B5C" w14:textId="031D683E" w:rsidR="00806302" w:rsidRPr="00806302" w:rsidRDefault="00806302" w:rsidP="00173044">
      <w:pPr>
        <w:spacing w:before="240" w:after="120" w:line="360" w:lineRule="auto"/>
      </w:pPr>
      <w:r>
        <w:t xml:space="preserve">Government of Canada (2026) </w:t>
      </w:r>
      <w:r>
        <w:rPr>
          <w:i/>
        </w:rPr>
        <w:t>Safe Food for Canadians Regulations (SOR/2018-108)</w:t>
      </w:r>
      <w:r>
        <w:t xml:space="preserve">. Available at: </w:t>
      </w:r>
      <w:hyperlink r:id="rId21">
        <w:r>
          <w:rPr>
            <w:color w:val="0000FF"/>
            <w:u w:val="single"/>
          </w:rPr>
          <w:t>https://laws-lois.justice.gc.ca/eng/regulations/SOR-2018-108/index.html</w:t>
        </w:r>
      </w:hyperlink>
      <w:r>
        <w:t xml:space="preserve"> (Accessed: 1 July 2026).</w:t>
      </w:r>
    </w:p>
    <w:p w14:paraId="447A4961" w14:textId="76887511" w:rsidR="00806302" w:rsidRPr="00806302" w:rsidRDefault="00806302" w:rsidP="00173044">
      <w:pPr>
        <w:spacing w:before="240" w:after="120" w:line="360" w:lineRule="auto"/>
      </w:pPr>
      <w:r>
        <w:t xml:space="preserve">Hill, C.W.L., Hwang, P. and Kim, W.C. (1990) ‘An eclectic theory of the choice of international entry mode’, </w:t>
      </w:r>
      <w:r>
        <w:rPr>
          <w:i/>
        </w:rPr>
        <w:t>Strategic Management Journal</w:t>
      </w:r>
      <w:r>
        <w:t xml:space="preserve">, 11(2), pp. 117–128. Available at: </w:t>
      </w:r>
      <w:hyperlink r:id="rId22">
        <w:r>
          <w:rPr>
            <w:color w:val="0000FF"/>
            <w:u w:val="single"/>
          </w:rPr>
          <w:t>https://doi.org/10.1002/smj.4250110204</w:t>
        </w:r>
      </w:hyperlink>
      <w:r>
        <w:t xml:space="preserve"> (Accessed: 1 July 2026).</w:t>
      </w:r>
    </w:p>
    <w:p w14:paraId="225DE9BA" w14:textId="57C942AC" w:rsidR="00806302" w:rsidRPr="00806302" w:rsidRDefault="00806302" w:rsidP="00173044">
      <w:pPr>
        <w:spacing w:before="240" w:after="120" w:line="360" w:lineRule="auto"/>
      </w:pPr>
      <w:r>
        <w:lastRenderedPageBreak/>
        <w:t xml:space="preserve">Johanson, J. and Vahlne, J.E. (1977) ‘The internationalization process of the firm: a model of knowledge development and increasing foreign market commitments’, </w:t>
      </w:r>
      <w:r>
        <w:rPr>
          <w:i/>
        </w:rPr>
        <w:t>Journal of International Business Studies</w:t>
      </w:r>
      <w:r>
        <w:t xml:space="preserve">, 8(1), pp. 23–32. Available at: </w:t>
      </w:r>
      <w:hyperlink r:id="rId23">
        <w:r>
          <w:rPr>
            <w:color w:val="0000FF"/>
            <w:u w:val="single"/>
          </w:rPr>
          <w:t>https://doi.org/10.1057/palgrave.jibs.8490676</w:t>
        </w:r>
      </w:hyperlink>
      <w:r>
        <w:t xml:space="preserve"> (Accessed: 1 July 2026).</w:t>
      </w:r>
    </w:p>
    <w:p w14:paraId="07DC5619" w14:textId="7774933B" w:rsidR="00806302" w:rsidRPr="00806302" w:rsidRDefault="00806302" w:rsidP="00173044">
      <w:pPr>
        <w:spacing w:before="240" w:after="120" w:line="360" w:lineRule="auto"/>
      </w:pPr>
      <w:r>
        <w:t xml:space="preserve">McKinsey &amp; Company (2024) </w:t>
      </w:r>
      <w:r>
        <w:rPr>
          <w:i/>
        </w:rPr>
        <w:t>A Turning Point for Private Brands: How Retailers Can Seize the Opportunity</w:t>
      </w:r>
      <w:r>
        <w:t xml:space="preserve">. Available at: </w:t>
      </w:r>
      <w:hyperlink r:id="rId24">
        <w:r>
          <w:rPr>
            <w:color w:val="0000FF"/>
            <w:u w:val="single"/>
          </w:rPr>
          <w:t>https://www.mckinsey.com/industries/retail/our-insights/a-turning-point-for-private-brands-how-retailers-can-seize-the-opportunity</w:t>
        </w:r>
      </w:hyperlink>
      <w:r>
        <w:t xml:space="preserve"> (Accessed: 1 July 2026).</w:t>
      </w:r>
    </w:p>
    <w:p w14:paraId="2ADFA22C" w14:textId="37940A65" w:rsidR="00806302" w:rsidRPr="00806302" w:rsidRDefault="00806302" w:rsidP="00173044">
      <w:pPr>
        <w:spacing w:before="240" w:after="120" w:line="360" w:lineRule="auto"/>
      </w:pPr>
      <w:r>
        <w:t xml:space="preserve">OECD (2026) </w:t>
      </w:r>
      <w:r>
        <w:rPr>
          <w:i/>
        </w:rPr>
        <w:t>Canada: OECD Economic Outlook, Volume 2026 Issue 1</w:t>
      </w:r>
      <w:r>
        <w:t xml:space="preserve">. Available at: </w:t>
      </w:r>
      <w:hyperlink r:id="rId25">
        <w:r>
          <w:rPr>
            <w:color w:val="0000FF"/>
            <w:u w:val="single"/>
          </w:rPr>
          <w:t>https://www.oecd.org/en/publications/2026/06/oecd-economic-outlook-volume-2026-issue-1_8be0dba6/full-report/canada_ec57eeac.html</w:t>
        </w:r>
      </w:hyperlink>
      <w:r>
        <w:t xml:space="preserve"> (Accessed: 1 July 2026).</w:t>
      </w:r>
    </w:p>
    <w:p w14:paraId="605D4873" w14:textId="77777777" w:rsidR="00806302" w:rsidRPr="00806302" w:rsidRDefault="00806302" w:rsidP="00173044">
      <w:pPr>
        <w:spacing w:before="240" w:after="120" w:line="360" w:lineRule="auto"/>
      </w:pPr>
      <w:r>
        <w:t xml:space="preserve">Porter, M.E. (1985) </w:t>
      </w:r>
      <w:r>
        <w:rPr>
          <w:i/>
        </w:rPr>
        <w:t>Competitive Advantage: Creating and Sustaining Superior Performance</w:t>
      </w:r>
      <w:r>
        <w:t>. New York: Free Press.</w:t>
      </w:r>
    </w:p>
    <w:p w14:paraId="75B15524" w14:textId="7E7D0E28" w:rsidR="00806302" w:rsidRPr="00806302" w:rsidRDefault="00806302" w:rsidP="00173044">
      <w:pPr>
        <w:spacing w:before="240" w:after="120" w:line="360" w:lineRule="auto"/>
      </w:pPr>
      <w:r>
        <w:t xml:space="preserve">Statistics Canada (2022) </w:t>
      </w:r>
      <w:r>
        <w:rPr>
          <w:i/>
        </w:rPr>
        <w:t>Immigrants Make Up the Largest Share of the Population in Over 150 Years and Continue to Shape Who We Are as Canadians</w:t>
      </w:r>
      <w:r>
        <w:t xml:space="preserve">. Available at: </w:t>
      </w:r>
      <w:hyperlink r:id="rId26">
        <w:r>
          <w:rPr>
            <w:color w:val="0000FF"/>
            <w:u w:val="single"/>
          </w:rPr>
          <w:t>https://www150.statcan.gc.ca/n1/daily-quotidien/221026/dq221026a-eng.htm</w:t>
        </w:r>
      </w:hyperlink>
      <w:r>
        <w:t xml:space="preserve"> (Accessed: 1 July 2026).</w:t>
      </w:r>
    </w:p>
    <w:p w14:paraId="2F1C3F77" w14:textId="5566835B" w:rsidR="00806302" w:rsidRPr="00806302" w:rsidRDefault="00806302" w:rsidP="00173044">
      <w:pPr>
        <w:spacing w:before="240" w:after="120" w:line="360" w:lineRule="auto"/>
      </w:pPr>
      <w:r>
        <w:t xml:space="preserve">Statistics Canada (2025) </w:t>
      </w:r>
      <w:r>
        <w:rPr>
          <w:i/>
        </w:rPr>
        <w:t>Shedding Light on 2021 Census Data on Non-Official Languages</w:t>
      </w:r>
      <w:r>
        <w:t xml:space="preserve">. Available at: </w:t>
      </w:r>
      <w:hyperlink r:id="rId27">
        <w:r>
          <w:rPr>
            <w:color w:val="0000FF"/>
            <w:u w:val="single"/>
          </w:rPr>
          <w:t>https://www150.statcan.gc.ca/n1/daily-quotidien/250122/dq250122b-eng.htm</w:t>
        </w:r>
      </w:hyperlink>
      <w:r>
        <w:t xml:space="preserve"> (Accessed: 1 July 2026).</w:t>
      </w:r>
    </w:p>
    <w:p w14:paraId="69BB7598" w14:textId="5B2DD2F1" w:rsidR="00806302" w:rsidRPr="00806302" w:rsidRDefault="00806302" w:rsidP="00173044">
      <w:pPr>
        <w:spacing w:before="240" w:after="120" w:line="360" w:lineRule="auto"/>
      </w:pPr>
      <w:r>
        <w:t xml:space="preserve">Statistics Canada (2026a) </w:t>
      </w:r>
      <w:r>
        <w:rPr>
          <w:i/>
        </w:rPr>
        <w:t>Consumer Price Index, December 2025</w:t>
      </w:r>
      <w:r>
        <w:t xml:space="preserve">. Available at: </w:t>
      </w:r>
      <w:hyperlink r:id="rId28">
        <w:r>
          <w:rPr>
            <w:color w:val="0000FF"/>
            <w:u w:val="single"/>
          </w:rPr>
          <w:t>https://www150.statcan.gc.ca/n1/daily-quotidien/260119/dq260119a-eng.htm</w:t>
        </w:r>
      </w:hyperlink>
      <w:r>
        <w:t xml:space="preserve"> (Accessed: 1 July 2026).</w:t>
      </w:r>
    </w:p>
    <w:p w14:paraId="579B3F5B" w14:textId="5AFABAD5" w:rsidR="00806302" w:rsidRPr="00806302" w:rsidRDefault="00806302" w:rsidP="00173044">
      <w:pPr>
        <w:spacing w:before="240" w:after="120" w:line="360" w:lineRule="auto"/>
      </w:pPr>
      <w:r>
        <w:t xml:space="preserve">Statistics Canada (2026b) </w:t>
      </w:r>
      <w:r>
        <w:rPr>
          <w:i/>
        </w:rPr>
        <w:t>Consumer Price Index, February 2026</w:t>
      </w:r>
      <w:r>
        <w:t xml:space="preserve">. Available at: </w:t>
      </w:r>
      <w:hyperlink r:id="rId29">
        <w:r>
          <w:rPr>
            <w:color w:val="0000FF"/>
            <w:u w:val="single"/>
          </w:rPr>
          <w:t>https://www150.statcan.gc.ca/n1/daily-quotidien/260316/dq260316a-eng.htm</w:t>
        </w:r>
      </w:hyperlink>
      <w:r>
        <w:t xml:space="preserve"> (Accessed: 1 July 2026).</w:t>
      </w:r>
    </w:p>
    <w:p w14:paraId="79DA588D" w14:textId="72FDCBE5" w:rsidR="00806302" w:rsidRPr="00806302" w:rsidRDefault="00806302" w:rsidP="00173044">
      <w:pPr>
        <w:spacing w:before="240" w:after="120" w:line="360" w:lineRule="auto"/>
      </w:pPr>
      <w:r>
        <w:lastRenderedPageBreak/>
        <w:t xml:space="preserve">Statistics Canada (2026c) </w:t>
      </w:r>
      <w:r>
        <w:rPr>
          <w:i/>
        </w:rPr>
        <w:t>Consumer Price Index, April 2026</w:t>
      </w:r>
      <w:r>
        <w:t xml:space="preserve">. Available at: </w:t>
      </w:r>
      <w:hyperlink r:id="rId30">
        <w:r>
          <w:rPr>
            <w:color w:val="0000FF"/>
            <w:u w:val="single"/>
          </w:rPr>
          <w:t>https://www150.statcan.gc.ca/n1/daily-quotidien/260519/dq260519a-eng.htm</w:t>
        </w:r>
      </w:hyperlink>
      <w:r>
        <w:t xml:space="preserve"> (Accessed: 1 July 2026).</w:t>
      </w:r>
    </w:p>
    <w:p w14:paraId="488418E6" w14:textId="1F5E99E4" w:rsidR="00806302" w:rsidRPr="00806302" w:rsidRDefault="00806302" w:rsidP="00173044">
      <w:pPr>
        <w:spacing w:before="240" w:after="120" w:line="360" w:lineRule="auto"/>
      </w:pPr>
      <w:r>
        <w:t xml:space="preserve">USDA Foreign Agricultural Service (2025) </w:t>
      </w:r>
      <w:r>
        <w:rPr>
          <w:i/>
        </w:rPr>
        <w:t>Canada: Retail Foods Annual</w:t>
      </w:r>
      <w:r>
        <w:t xml:space="preserve">. Available at: </w:t>
      </w:r>
      <w:hyperlink r:id="rId31">
        <w:r>
          <w:rPr>
            <w:color w:val="0000FF"/>
            <w:u w:val="single"/>
          </w:rPr>
          <w:t>https://www.fas.usda.gov/data/gain/2025/12/canada-retail-foods-annual</w:t>
        </w:r>
      </w:hyperlink>
      <w:r>
        <w:t xml:space="preserve"> (Accessed: 1 July 2026).</w:t>
      </w:r>
    </w:p>
    <w:p w14:paraId="0EBC1D2E" w14:textId="10F4D600" w:rsidR="00806302" w:rsidRPr="00806302" w:rsidRDefault="00806302" w:rsidP="00173044">
      <w:pPr>
        <w:spacing w:before="240" w:after="120" w:line="360" w:lineRule="auto"/>
      </w:pPr>
      <w:r>
        <w:t xml:space="preserve">World Bank (2025) </w:t>
      </w:r>
      <w:r>
        <w:rPr>
          <w:i/>
        </w:rPr>
        <w:t>Canada: Data</w:t>
      </w:r>
      <w:r>
        <w:t xml:space="preserve">. Available at: </w:t>
      </w:r>
      <w:hyperlink r:id="rId32">
        <w:r>
          <w:rPr>
            <w:color w:val="0000FF"/>
            <w:u w:val="single"/>
          </w:rPr>
          <w:t>https://data.worldbank.org/country/canada</w:t>
        </w:r>
      </w:hyperlink>
      <w:r>
        <w:t xml:space="preserve"> (Accessed: 1 July 2026).</w:t>
      </w:r>
    </w:p>
    <w:p w14:paraId="61B81738" w14:textId="0EAA79EF" w:rsidR="00806302" w:rsidRPr="00806302" w:rsidRDefault="00806302" w:rsidP="00173044">
      <w:pPr>
        <w:spacing w:before="240" w:after="120" w:line="360" w:lineRule="auto"/>
      </w:pPr>
      <w:r>
        <w:t xml:space="preserve">Zaheer, S. (1995) ‘Overcoming the liability of foreignness’, </w:t>
      </w:r>
      <w:r>
        <w:rPr>
          <w:i/>
        </w:rPr>
        <w:t>Academy of Management Journal</w:t>
      </w:r>
      <w:r>
        <w:t xml:space="preserve">, 38(2), pp. 341–363. Available at: </w:t>
      </w:r>
      <w:hyperlink r:id="rId33">
        <w:r>
          <w:rPr>
            <w:color w:val="0000FF"/>
            <w:u w:val="single"/>
          </w:rPr>
          <w:t>https://doi.org/10.2307/256683</w:t>
        </w:r>
      </w:hyperlink>
      <w:r>
        <w:t xml:space="preserve"> (Accessed: 1 July 2026).</w:t>
      </w:r>
    </w:p>
    <w:p w14:paraId="3ADCF7F3" w14:textId="5B1ADF4F" w:rsidR="00241B92" w:rsidRDefault="00241B92">
      <w:pPr>
        <w:spacing w:after="120" w:line="360" w:lineRule="auto"/>
      </w:pPr>
    </w:p>
    <w:sectPr w:rsidR="00241B92">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81D2B" w14:textId="77777777" w:rsidR="003D38BC" w:rsidRDefault="003D38BC">
      <w:pPr>
        <w:spacing w:after="0" w:line="240" w:lineRule="auto"/>
      </w:pPr>
      <w:r>
        <w:separator/>
      </w:r>
    </w:p>
  </w:endnote>
  <w:endnote w:type="continuationSeparator" w:id="0">
    <w:p w14:paraId="0E895C06" w14:textId="77777777" w:rsidR="003D38BC" w:rsidRDefault="003D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D1C5E" w14:textId="77777777" w:rsidR="00FE6929" w:rsidRDefault="00000000">
    <w:pPr>
      <w:pStyle w:val="Footer"/>
      <w:jc w:val="center"/>
    </w:pPr>
    <w:r>
      <w:fldChar w:fldCharType="begin"/>
    </w:r>
    <w:r>
      <w:instrText xml:space="preserve"> PAGE </w:instrText>
    </w:r>
    <w:r>
      <w:fldChar w:fldCharType="separate"/>
    </w:r>
    <w:r w:rsidR="002D05C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AE846" w14:textId="77777777" w:rsidR="003D38BC" w:rsidRDefault="003D38BC">
      <w:pPr>
        <w:spacing w:after="0" w:line="240" w:lineRule="auto"/>
      </w:pPr>
      <w:r>
        <w:separator/>
      </w:r>
    </w:p>
  </w:footnote>
  <w:footnote w:type="continuationSeparator" w:id="0">
    <w:p w14:paraId="72C4EEE5" w14:textId="77777777" w:rsidR="003D38BC" w:rsidRDefault="003D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55719732">
    <w:abstractNumId w:val="8"/>
  </w:num>
  <w:num w:numId="2" w16cid:durableId="470632096">
    <w:abstractNumId w:val="6"/>
  </w:num>
  <w:num w:numId="3" w16cid:durableId="873731003">
    <w:abstractNumId w:val="5"/>
  </w:num>
  <w:num w:numId="4" w16cid:durableId="1607617318">
    <w:abstractNumId w:val="4"/>
  </w:num>
  <w:num w:numId="5" w16cid:durableId="2074430210">
    <w:abstractNumId w:val="7"/>
  </w:num>
  <w:num w:numId="6" w16cid:durableId="1146630746">
    <w:abstractNumId w:val="3"/>
  </w:num>
  <w:num w:numId="7" w16cid:durableId="322245767">
    <w:abstractNumId w:val="2"/>
  </w:num>
  <w:num w:numId="8" w16cid:durableId="2071995935">
    <w:abstractNumId w:val="1"/>
  </w:num>
  <w:num w:numId="9" w16cid:durableId="2005232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BED"/>
    <w:rsid w:val="00034616"/>
    <w:rsid w:val="0006063C"/>
    <w:rsid w:val="0015074B"/>
    <w:rsid w:val="00173044"/>
    <w:rsid w:val="00241B92"/>
    <w:rsid w:val="0029639D"/>
    <w:rsid w:val="002D05C1"/>
    <w:rsid w:val="00326F90"/>
    <w:rsid w:val="003D38BC"/>
    <w:rsid w:val="003E6D92"/>
    <w:rsid w:val="00425DBF"/>
    <w:rsid w:val="00463F74"/>
    <w:rsid w:val="00537FB1"/>
    <w:rsid w:val="006B6A68"/>
    <w:rsid w:val="006C2ED0"/>
    <w:rsid w:val="006C53DB"/>
    <w:rsid w:val="006E7113"/>
    <w:rsid w:val="00765148"/>
    <w:rsid w:val="00782EB7"/>
    <w:rsid w:val="00806302"/>
    <w:rsid w:val="008333AD"/>
    <w:rsid w:val="00A91CC3"/>
    <w:rsid w:val="00AA1D8D"/>
    <w:rsid w:val="00B23324"/>
    <w:rsid w:val="00B47730"/>
    <w:rsid w:val="00C036CB"/>
    <w:rsid w:val="00CB0664"/>
    <w:rsid w:val="00CF27F6"/>
    <w:rsid w:val="00D34028"/>
    <w:rsid w:val="00E12C7E"/>
    <w:rsid w:val="00EE310F"/>
    <w:rsid w:val="00F8393E"/>
    <w:rsid w:val="00F97A1B"/>
    <w:rsid w:val="00FC693F"/>
    <w:rsid w:val="00FE69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136CFB"/>
  <w14:defaultImageDpi w14:val="300"/>
  <w15:docId w15:val="{4055724F-F899-436E-A230-6A3A85CC1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rPr>
      <w:rFonts w:ascii="Arial" w:eastAsia="Arial" w:hAnsi="Arial"/>
      <w:sz w:val="24"/>
    </w:r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rPr>
      <w:rFonts w:ascii="Arial" w:eastAsia="Arial" w:hAnsi="Arial"/>
      <w:sz w:val="24"/>
    </w:rPr>
  </w:style>
  <w:style w:type="paragraph" w:styleId="NoSpacing">
    <w:name w:val="No Spacing"/>
    <w:uiPriority w:val="1"/>
    <w:qFormat/>
    <w:rsid w:val="00FC693F"/>
    <w:pPr>
      <w:spacing w:after="0" w:line="240" w:lineRule="auto"/>
    </w:pPr>
    <w:rPr>
      <w:rFonts w:ascii="Arial" w:eastAsia="Arial" w:hAnsi="Arial"/>
      <w:sz w:val="24"/>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4"/>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24"/>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rPr>
      <w:rFonts w:ascii="Arial" w:eastAsia="Arial" w:hAnsi="Arial"/>
      <w:sz w:val="24"/>
    </w:rPr>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rPr>
      <w:rFonts w:ascii="Arial" w:eastAsia="Arial" w:hAnsi="Arial"/>
      <w:sz w:val="24"/>
    </w:rPr>
  </w:style>
  <w:style w:type="paragraph" w:styleId="BodyText3">
    <w:name w:val="Body Text 3"/>
    <w:basedOn w:val="Normal"/>
    <w:link w:val="BodyText3Char"/>
    <w:uiPriority w:val="99"/>
    <w:unhideWhenUsed/>
    <w:rsid w:val="00AA1D8D"/>
    <w:pPr>
      <w:spacing w:after="120"/>
    </w:pPr>
    <w:rPr>
      <w:szCs w:val="16"/>
    </w:rPr>
  </w:style>
  <w:style w:type="character" w:customStyle="1" w:styleId="BodyText3Char">
    <w:name w:val="Body Text 3 Char"/>
    <w:basedOn w:val="DefaultParagraphFont"/>
    <w:link w:val="BodyText3"/>
    <w:uiPriority w:val="99"/>
    <w:rsid w:val="00AA1D8D"/>
    <w:rPr>
      <w:rFonts w:ascii="Arial" w:eastAsia="Arial" w:hAnsi="Arial"/>
      <w:sz w:val="24"/>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eastAsia="Arial" w:hAnsi="Arial"/>
      <w:sz w:val="24"/>
      <w:szCs w:val="20"/>
    </w:rPr>
  </w:style>
  <w:style w:type="character" w:customStyle="1" w:styleId="MacroTextChar">
    <w:name w:val="Macro Text Char"/>
    <w:basedOn w:val="DefaultParagraphFont"/>
    <w:link w:val="MacroText"/>
    <w:uiPriority w:val="99"/>
    <w:rsid w:val="0029639D"/>
    <w:rPr>
      <w:rFonts w:ascii="Arial" w:eastAsia="Arial" w:hAnsi="Arial"/>
      <w:sz w:val="24"/>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eastAsia="Arial" w:hAnsi="Arial"/>
      <w:i/>
      <w:iCs/>
      <w:color w:val="000000" w:themeColor="text1"/>
      <w:sz w:val="24"/>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4"/>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4"/>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Cs w:val="18"/>
    </w:rPr>
  </w:style>
  <w:style w:type="character" w:styleId="Strong">
    <w:name w:val="Strong"/>
    <w:basedOn w:val="DefaultParagraphFont"/>
    <w:uiPriority w:val="22"/>
    <w:qFormat/>
    <w:rsid w:val="00FC693F"/>
    <w:rPr>
      <w:rFonts w:ascii="Arial" w:eastAsia="Arial" w:hAnsi="Arial"/>
      <w:b/>
      <w:bCs/>
      <w:sz w:val="24"/>
    </w:rPr>
  </w:style>
  <w:style w:type="character" w:styleId="Emphasis">
    <w:name w:val="Emphasis"/>
    <w:basedOn w:val="DefaultParagraphFont"/>
    <w:uiPriority w:val="20"/>
    <w:qFormat/>
    <w:rsid w:val="00FC693F"/>
    <w:rPr>
      <w:rFonts w:ascii="Arial" w:eastAsia="Arial" w:hAnsi="Arial"/>
      <w:i/>
      <w:iCs/>
      <w:sz w:val="24"/>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eastAsia="Arial" w:hAnsi="Arial"/>
      <w:b/>
      <w:bCs/>
      <w:i/>
      <w:iCs/>
      <w:color w:val="4F81BD" w:themeColor="accent1"/>
      <w:sz w:val="24"/>
    </w:rPr>
  </w:style>
  <w:style w:type="character" w:styleId="SubtleEmphasis">
    <w:name w:val="Subtle Emphasis"/>
    <w:basedOn w:val="DefaultParagraphFont"/>
    <w:uiPriority w:val="19"/>
    <w:qFormat/>
    <w:rsid w:val="00FC693F"/>
    <w:rPr>
      <w:rFonts w:ascii="Arial" w:eastAsia="Arial" w:hAnsi="Arial"/>
      <w:i/>
      <w:iCs/>
      <w:color w:val="808080" w:themeColor="text1" w:themeTint="7F"/>
      <w:sz w:val="24"/>
    </w:rPr>
  </w:style>
  <w:style w:type="character" w:styleId="IntenseEmphasis">
    <w:name w:val="Intense Emphasis"/>
    <w:basedOn w:val="DefaultParagraphFont"/>
    <w:uiPriority w:val="21"/>
    <w:qFormat/>
    <w:rsid w:val="00FC693F"/>
    <w:rPr>
      <w:rFonts w:ascii="Arial" w:eastAsia="Arial" w:hAnsi="Arial"/>
      <w:b/>
      <w:bCs/>
      <w:i/>
      <w:iCs/>
      <w:color w:val="4F81BD" w:themeColor="accent1"/>
      <w:sz w:val="24"/>
    </w:rPr>
  </w:style>
  <w:style w:type="character" w:styleId="SubtleReference">
    <w:name w:val="Subtle Reference"/>
    <w:basedOn w:val="DefaultParagraphFont"/>
    <w:uiPriority w:val="31"/>
    <w:qFormat/>
    <w:rsid w:val="00FC693F"/>
    <w:rPr>
      <w:rFonts w:ascii="Arial" w:eastAsia="Arial" w:hAnsi="Arial"/>
      <w:smallCaps/>
      <w:color w:val="C0504D" w:themeColor="accent2"/>
      <w:sz w:val="24"/>
      <w:u w:val="single"/>
    </w:rPr>
  </w:style>
  <w:style w:type="character" w:styleId="IntenseReference">
    <w:name w:val="Intense Reference"/>
    <w:basedOn w:val="DefaultParagraphFont"/>
    <w:uiPriority w:val="32"/>
    <w:qFormat/>
    <w:rsid w:val="00FC693F"/>
    <w:rPr>
      <w:rFonts w:ascii="Arial" w:eastAsia="Arial" w:hAnsi="Arial"/>
      <w:b/>
      <w:bCs/>
      <w:smallCaps/>
      <w:color w:val="C0504D" w:themeColor="accent2"/>
      <w:spacing w:val="5"/>
      <w:sz w:val="24"/>
      <w:u w:val="single"/>
    </w:rPr>
  </w:style>
  <w:style w:type="character" w:styleId="BookTitle">
    <w:name w:val="Book Title"/>
    <w:basedOn w:val="DefaultParagraphFont"/>
    <w:uiPriority w:val="33"/>
    <w:qFormat/>
    <w:rsid w:val="00FC693F"/>
    <w:rPr>
      <w:rFonts w:ascii="Arial" w:eastAsia="Arial" w:hAnsi="Arial"/>
      <w:b/>
      <w:bCs/>
      <w:smallCaps/>
      <w:spacing w:val="5"/>
      <w:sz w:val="24"/>
    </w:rPr>
  </w:style>
  <w:style w:type="paragraph" w:styleId="TOCHeading">
    <w:name w:val="TOC Heading"/>
    <w:basedOn w:val="Heading1"/>
    <w:next w:val="Normal"/>
    <w:uiPriority w:val="39"/>
    <w:unhideWhenUsed/>
    <w:qFormat/>
    <w:rsid w:val="00FC693F"/>
    <w:pPr>
      <w:outlineLvl w:val="9"/>
    </w:pPr>
    <w:rPr>
      <w:rFonts w:ascii="Arial" w:eastAsia="Arial" w:hAnsi="Arial"/>
    </w:r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Custom"/>
    <w:rPr>
      <w:rFonts w:ascii="Arial" w:eastAsia="Arial" w:hAnsi="Arial"/>
      <w:i/>
      <w:sz w:val="24"/>
    </w:rPr>
  </w:style>
  <w:style w:type="paragraph" w:styleId="TOC1">
    <w:name w:val="toc 1"/>
    <w:basedOn w:val="Normal"/>
    <w:next w:val="Normal"/>
    <w:autoRedefine/>
    <w:uiPriority w:val="39"/>
    <w:unhideWhenUsed/>
    <w:rsid w:val="002D05C1"/>
    <w:pPr>
      <w:spacing w:after="100"/>
    </w:pPr>
  </w:style>
  <w:style w:type="paragraph" w:styleId="TOC2">
    <w:name w:val="toc 2"/>
    <w:basedOn w:val="Normal"/>
    <w:next w:val="Normal"/>
    <w:autoRedefine/>
    <w:uiPriority w:val="39"/>
    <w:unhideWhenUsed/>
    <w:rsid w:val="002D05C1"/>
    <w:pPr>
      <w:spacing w:after="100"/>
      <w:ind w:left="240"/>
    </w:pPr>
  </w:style>
  <w:style w:type="character" w:styleId="Hyperlink">
    <w:name w:val="Hyperlink"/>
    <w:basedOn w:val="DefaultParagraphFont"/>
    <w:uiPriority w:val="99"/>
    <w:unhideWhenUsed/>
    <w:rsid w:val="002D05C1"/>
    <w:rPr>
      <w:color w:val="0000FF" w:themeColor="hyperlink"/>
      <w:u w:val="single"/>
    </w:rPr>
  </w:style>
  <w:style w:type="paragraph" w:styleId="TOC3">
    <w:name w:val="toc 3"/>
    <w:basedOn w:val="Normal"/>
    <w:next w:val="Normal"/>
    <w:autoRedefine/>
    <w:uiPriority w:val="39"/>
    <w:unhideWhenUsed/>
    <w:rsid w:val="006E7113"/>
    <w:pPr>
      <w:spacing w:after="100"/>
      <w:ind w:left="480"/>
    </w:pPr>
  </w:style>
  <w:style w:type="character" w:styleId="UnresolvedMention">
    <w:name w:val="Unresolved Mention"/>
    <w:basedOn w:val="DefaultParagraphFont"/>
    <w:uiPriority w:val="99"/>
    <w:semiHidden/>
    <w:unhideWhenUsed/>
    <w:rsid w:val="00806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m.cms.aldi.cx/is/content/prod1amer/ALDI_Announces_Plans_to_Open_a_Record-Breaking_225__New_Stores_in_2025pdf" TargetMode="External"/><Relationship Id="rId18" Type="http://schemas.openxmlformats.org/officeDocument/2006/relationships/hyperlink" Target="https://doi.org/10.1108/09590550310457845" TargetMode="External"/><Relationship Id="rId26" Type="http://schemas.openxmlformats.org/officeDocument/2006/relationships/hyperlink" Target="https://www150.statcan.gc.ca/n1/daily-quotidien/221026/dq221026a-eng.htm" TargetMode="External"/><Relationship Id="rId3" Type="http://schemas.openxmlformats.org/officeDocument/2006/relationships/styles" Target="styles.xml"/><Relationship Id="rId21" Type="http://schemas.openxmlformats.org/officeDocument/2006/relationships/hyperlink" Target="https://laws-lois.justice.gc.ca/eng/regulations/SOR-2018-108/index.htm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ustainability.aldisouthgroup.com/sustainability/sustainability-progress" TargetMode="External"/><Relationship Id="rId17" Type="http://schemas.openxmlformats.org/officeDocument/2006/relationships/hyperlink" Target="https://inspection.canada.ca/en/food-labels/labelling/industry" TargetMode="External"/><Relationship Id="rId25" Type="http://schemas.openxmlformats.org/officeDocument/2006/relationships/hyperlink" Target="https://www.oecd.org/en/publications/2026/06/oecd-economic-outlook-volume-2026-issue-1_8be0dba6/full-report/canada_ec57eeac.html" TargetMode="External"/><Relationship Id="rId33" Type="http://schemas.openxmlformats.org/officeDocument/2006/relationships/hyperlink" Target="https://doi.org/10.2307/256683" TargetMode="External"/><Relationship Id="rId2" Type="http://schemas.openxmlformats.org/officeDocument/2006/relationships/numbering" Target="numbering.xml"/><Relationship Id="rId16" Type="http://schemas.openxmlformats.org/officeDocument/2006/relationships/hyperlink" Target="https://canadacode.org/code/code-of-conduct/" TargetMode="External"/><Relationship Id="rId20" Type="http://schemas.openxmlformats.org/officeDocument/2006/relationships/hyperlink" Target="https://doi.org/10.1057/palgrave.jibs.8490372" TargetMode="External"/><Relationship Id="rId29" Type="http://schemas.openxmlformats.org/officeDocument/2006/relationships/hyperlink" Target="https://www150.statcan.gc.ca/n1/daily-quotidien/260316/dq260316a-eng.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stainability.aldisouthgroup.com/about-aldi/company-profile" TargetMode="External"/><Relationship Id="rId24" Type="http://schemas.openxmlformats.org/officeDocument/2006/relationships/hyperlink" Target="https://www.mckinsey.com/industries/retail/our-insights/a-turning-point-for-private-brands-how-retailers-can-seize-the-opportunity" TargetMode="External"/><Relationship Id="rId32" Type="http://schemas.openxmlformats.org/officeDocument/2006/relationships/hyperlink" Target="https://data.worldbank.org/country/canada" TargetMode="External"/><Relationship Id="rId5" Type="http://schemas.openxmlformats.org/officeDocument/2006/relationships/webSettings" Target="webSettings.xml"/><Relationship Id="rId15" Type="http://schemas.openxmlformats.org/officeDocument/2006/relationships/hyperlink" Target="https://doi.org/10.1057/palgrave.jibs.8491013" TargetMode="External"/><Relationship Id="rId23" Type="http://schemas.openxmlformats.org/officeDocument/2006/relationships/hyperlink" Target="https://doi.org/10.1057/palgrave.jibs.8490676" TargetMode="External"/><Relationship Id="rId28" Type="http://schemas.openxmlformats.org/officeDocument/2006/relationships/hyperlink" Target="https://www150.statcan.gc.ca/n1/daily-quotidien/260119/dq260119a-eng.htm" TargetMode="External"/><Relationship Id="rId36" Type="http://schemas.openxmlformats.org/officeDocument/2006/relationships/theme" Target="theme/theme1.xml"/><Relationship Id="rId10" Type="http://schemas.openxmlformats.org/officeDocument/2006/relationships/hyperlink" Target="https://search.open.canada.ca/qpnotes/record/aafc-aac%2CAAFC-2025-QP-00069" TargetMode="External"/><Relationship Id="rId19" Type="http://schemas.openxmlformats.org/officeDocument/2006/relationships/hyperlink" Target="https://competition-bureau.canada.ca/en/retail-grocery-market-study" TargetMode="External"/><Relationship Id="rId31" Type="http://schemas.openxmlformats.org/officeDocument/2006/relationships/hyperlink" Target="https://www.fas.usda.gov/data/gain/2025/12/canada-retail-foods-annua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nkofcanada.ca/2026/02/sparks-at-bank-article-2026-3/" TargetMode="External"/><Relationship Id="rId22" Type="http://schemas.openxmlformats.org/officeDocument/2006/relationships/hyperlink" Target="https://doi.org/10.1002/smj.4250110204" TargetMode="External"/><Relationship Id="rId27" Type="http://schemas.openxmlformats.org/officeDocument/2006/relationships/hyperlink" Target="https://www150.statcan.gc.ca/n1/daily-quotidien/250122/dq250122b-eng.htm" TargetMode="External"/><Relationship Id="rId30" Type="http://schemas.openxmlformats.org/officeDocument/2006/relationships/hyperlink" Target="https://www150.statcan.gc.ca/n1/daily-quotidien/260519/dq260519a-eng.ht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7127</Words>
  <Characters>40629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47661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generated by python-docx</dc:description>
  <cp:lastModifiedBy>Ritu Panna Saha</cp:lastModifiedBy>
  <cp:revision>4</cp:revision>
  <dcterms:created xsi:type="dcterms:W3CDTF">2026-07-21T20:03:00Z</dcterms:created>
  <dcterms:modified xsi:type="dcterms:W3CDTF">2026-07-21T20:06:00Z</dcterms:modified>
  <cp:category/>
</cp:coreProperties>
</file>