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502E9" w:rsidP="003502E9" w:rsidRDefault="003502E9" w14:paraId="2B26C77F" w14:textId="6D29C568">
      <w:pPr>
        <w:spacing w:line="360" w:lineRule="auto"/>
        <w:jc w:val="both"/>
        <w:rPr>
          <w:rFonts w:ascii="Arial" w:hAnsi="Arial" w:cs="Arial"/>
          <w:b/>
          <w:bCs/>
          <w:sz w:val="22"/>
          <w:szCs w:val="22"/>
        </w:rPr>
      </w:pPr>
      <w:r w:rsidRPr="00A406E5">
        <w:rPr>
          <w:rFonts w:ascii="Arial" w:hAnsi="Arial" w:cs="Arial"/>
          <w:noProof/>
        </w:rPr>
        <w:drawing>
          <wp:anchor distT="0" distB="0" distL="114300" distR="114300" simplePos="0" relativeHeight="251680768" behindDoc="0" locked="0" layoutInCell="1" allowOverlap="1" wp14:anchorId="710A0296" wp14:editId="2953389C">
            <wp:simplePos x="0" y="0"/>
            <wp:positionH relativeFrom="column">
              <wp:posOffset>-314325</wp:posOffset>
            </wp:positionH>
            <wp:positionV relativeFrom="paragraph">
              <wp:posOffset>8890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3502E9" w:rsidP="003502E9" w:rsidRDefault="003502E9" w14:paraId="38F82E6B" w14:textId="77777777">
      <w:pPr>
        <w:spacing w:line="360" w:lineRule="auto"/>
        <w:jc w:val="both"/>
        <w:rPr>
          <w:rFonts w:ascii="Arial" w:hAnsi="Arial" w:cs="Arial"/>
          <w:b/>
          <w:bCs/>
          <w:sz w:val="22"/>
          <w:szCs w:val="22"/>
        </w:rPr>
      </w:pPr>
    </w:p>
    <w:p w:rsidR="003502E9" w:rsidP="003502E9" w:rsidRDefault="003502E9" w14:paraId="01A036D9" w14:textId="77777777">
      <w:pPr>
        <w:spacing w:line="360" w:lineRule="auto"/>
        <w:jc w:val="both"/>
        <w:rPr>
          <w:rFonts w:ascii="Arial" w:hAnsi="Arial" w:cs="Arial"/>
          <w:b/>
          <w:bCs/>
          <w:sz w:val="22"/>
          <w:szCs w:val="22"/>
        </w:rPr>
      </w:pPr>
    </w:p>
    <w:p w:rsidR="003502E9" w:rsidP="003502E9" w:rsidRDefault="003502E9" w14:paraId="0BF6C9ED" w14:textId="77777777">
      <w:pPr>
        <w:spacing w:line="360" w:lineRule="auto"/>
        <w:jc w:val="both"/>
        <w:rPr>
          <w:rFonts w:ascii="Arial" w:hAnsi="Arial" w:cs="Arial"/>
          <w:b/>
          <w:bCs/>
          <w:sz w:val="22"/>
          <w:szCs w:val="22"/>
        </w:rPr>
      </w:pPr>
    </w:p>
    <w:p w:rsidR="003502E9" w:rsidP="003502E9" w:rsidRDefault="003502E9" w14:paraId="2FFFBBD6" w14:textId="77777777">
      <w:pPr>
        <w:spacing w:line="360" w:lineRule="auto"/>
        <w:jc w:val="both"/>
        <w:rPr>
          <w:rFonts w:ascii="Arial" w:hAnsi="Arial" w:cs="Arial"/>
          <w:b/>
          <w:bCs/>
          <w:sz w:val="22"/>
          <w:szCs w:val="22"/>
        </w:rPr>
      </w:pPr>
    </w:p>
    <w:p w:rsidRPr="003502E9" w:rsidR="003502E9" w:rsidP="003502E9" w:rsidRDefault="003502E9" w14:paraId="79EBED28" w14:textId="77777777">
      <w:pPr>
        <w:spacing w:line="360" w:lineRule="auto"/>
        <w:jc w:val="both"/>
        <w:rPr>
          <w:rFonts w:ascii="Arial" w:hAnsi="Arial" w:cs="Arial"/>
          <w:b/>
          <w:bCs/>
          <w:i/>
          <w:iCs/>
          <w:sz w:val="22"/>
          <w:szCs w:val="22"/>
        </w:rPr>
      </w:pPr>
    </w:p>
    <w:p w:rsidRPr="003502E9" w:rsidR="003502E9" w:rsidP="003502E9" w:rsidRDefault="003502E9" w14:paraId="6AF606A6" w14:textId="77777777">
      <w:pPr>
        <w:spacing w:line="360" w:lineRule="auto"/>
        <w:jc w:val="both"/>
        <w:rPr>
          <w:rFonts w:ascii="Arial" w:hAnsi="Arial" w:cs="Arial"/>
          <w:b/>
          <w:bCs/>
          <w:i/>
          <w:iCs/>
          <w:sz w:val="22"/>
          <w:szCs w:val="22"/>
        </w:rPr>
      </w:pPr>
    </w:p>
    <w:p w:rsidRPr="003502E9" w:rsidR="003502E9" w:rsidP="003502E9" w:rsidRDefault="003502E9" w14:paraId="7B69F687" w14:textId="77777777">
      <w:pPr>
        <w:spacing w:line="360" w:lineRule="auto"/>
        <w:jc w:val="both"/>
        <w:rPr>
          <w:rFonts w:ascii="Arial" w:hAnsi="Arial" w:cs="Arial"/>
          <w:b/>
          <w:bCs/>
          <w:i/>
          <w:iCs/>
          <w:sz w:val="22"/>
          <w:szCs w:val="22"/>
        </w:rPr>
      </w:pPr>
    </w:p>
    <w:p w:rsidRPr="003502E9" w:rsidR="003502E9" w:rsidP="003502E9" w:rsidRDefault="003502E9" w14:paraId="2B238C5C" w14:textId="77777777">
      <w:pPr>
        <w:spacing w:line="360" w:lineRule="auto"/>
        <w:jc w:val="both"/>
        <w:rPr>
          <w:rFonts w:ascii="Arial" w:hAnsi="Arial" w:cs="Arial"/>
          <w:b/>
          <w:bCs/>
          <w:i/>
          <w:iCs/>
          <w:sz w:val="22"/>
          <w:szCs w:val="22"/>
        </w:rPr>
      </w:pPr>
    </w:p>
    <w:p w:rsidRPr="003502E9" w:rsidR="003502E9" w:rsidP="003502E9" w:rsidRDefault="003502E9" w14:paraId="0DCC6DE2" w14:textId="77777777">
      <w:pPr>
        <w:spacing w:line="360" w:lineRule="auto"/>
        <w:jc w:val="center"/>
        <w:rPr>
          <w:rFonts w:ascii="Arial" w:hAnsi="Arial" w:cs="Arial"/>
          <w:b/>
          <w:bCs/>
          <w:i/>
          <w:iCs/>
          <w:sz w:val="22"/>
          <w:szCs w:val="22"/>
        </w:rPr>
      </w:pPr>
      <w:r w:rsidRPr="003502E9">
        <w:rPr>
          <w:rFonts w:ascii="Arial" w:hAnsi="Arial" w:cs="Arial"/>
          <w:b/>
          <w:bCs/>
          <w:i/>
          <w:iCs/>
          <w:sz w:val="22"/>
          <w:szCs w:val="22"/>
        </w:rPr>
        <w:t>BSc (Hons) Health and Social Care</w:t>
      </w:r>
    </w:p>
    <w:p w:rsidRPr="003502E9" w:rsidR="003502E9" w:rsidP="003502E9" w:rsidRDefault="003502E9" w14:paraId="76A01D03" w14:textId="77777777">
      <w:pPr>
        <w:spacing w:line="360" w:lineRule="auto"/>
        <w:jc w:val="center"/>
        <w:rPr>
          <w:rFonts w:ascii="Arial" w:hAnsi="Arial" w:cs="Arial"/>
          <w:b/>
          <w:bCs/>
          <w:i/>
          <w:iCs/>
          <w:sz w:val="22"/>
          <w:szCs w:val="22"/>
        </w:rPr>
      </w:pPr>
      <w:r w:rsidRPr="003502E9">
        <w:rPr>
          <w:rFonts w:ascii="Arial" w:hAnsi="Arial" w:cs="Arial"/>
          <w:b/>
          <w:bCs/>
          <w:i/>
          <w:iCs/>
          <w:sz w:val="22"/>
          <w:szCs w:val="22"/>
        </w:rPr>
        <w:t>Independent Project</w:t>
      </w:r>
    </w:p>
    <w:p w:rsidRPr="003502E9" w:rsidR="003502E9" w:rsidP="003502E9" w:rsidRDefault="003502E9" w14:paraId="54F80B44" w14:textId="4AD510CF">
      <w:pPr>
        <w:spacing w:line="360" w:lineRule="auto"/>
        <w:jc w:val="center"/>
        <w:rPr>
          <w:rFonts w:asciiTheme="minorBidi" w:hAnsiTheme="minorBidi"/>
          <w:b/>
          <w:bCs/>
          <w:i/>
          <w:iCs/>
          <w:sz w:val="22"/>
          <w:szCs w:val="22"/>
          <w:lang w:val="fr-FR"/>
        </w:rPr>
      </w:pPr>
      <w:r w:rsidRPr="003502E9">
        <w:rPr>
          <w:rFonts w:asciiTheme="minorBidi" w:hAnsiTheme="minorBidi"/>
          <w:b/>
          <w:bCs/>
          <w:i/>
          <w:iCs/>
          <w:sz w:val="22"/>
          <w:szCs w:val="22"/>
          <w:lang w:val="fr-FR"/>
        </w:rPr>
        <w:t xml:space="preserve">Element </w:t>
      </w:r>
      <w:proofErr w:type="gramStart"/>
      <w:r w:rsidRPr="003502E9">
        <w:rPr>
          <w:rFonts w:asciiTheme="minorBidi" w:hAnsiTheme="minorBidi"/>
          <w:b/>
          <w:bCs/>
          <w:i/>
          <w:iCs/>
          <w:sz w:val="22"/>
          <w:szCs w:val="22"/>
          <w:lang w:val="fr-FR"/>
        </w:rPr>
        <w:t>3:</w:t>
      </w:r>
      <w:proofErr w:type="gramEnd"/>
      <w:r w:rsidRPr="003502E9">
        <w:rPr>
          <w:rFonts w:asciiTheme="minorBidi" w:hAnsiTheme="minorBidi"/>
          <w:b/>
          <w:bCs/>
          <w:i/>
          <w:iCs/>
          <w:sz w:val="22"/>
          <w:szCs w:val="22"/>
          <w:lang w:val="fr-FR"/>
        </w:rPr>
        <w:t xml:space="preserve"> Dissertation</w:t>
      </w:r>
    </w:p>
    <w:p w:rsidRPr="003502E9" w:rsidR="003502E9" w:rsidP="003502E9" w:rsidRDefault="003502E9" w14:paraId="69A860F1" w14:textId="0B4E469F">
      <w:pPr>
        <w:spacing w:line="360" w:lineRule="auto"/>
        <w:jc w:val="center"/>
        <w:rPr>
          <w:rFonts w:ascii="Arial" w:hAnsi="Arial" w:cs="Arial"/>
          <w:b/>
          <w:bCs/>
          <w:i/>
          <w:iCs/>
          <w:sz w:val="22"/>
          <w:szCs w:val="22"/>
        </w:rPr>
      </w:pPr>
      <w:r w:rsidRPr="003502E9">
        <w:rPr>
          <w:rFonts w:ascii="Arial" w:hAnsi="Arial" w:cs="Arial"/>
          <w:b/>
          <w:bCs/>
          <w:i/>
          <w:iCs/>
          <w:sz w:val="22"/>
          <w:szCs w:val="22"/>
        </w:rPr>
        <w:t>The Role of Family Support in the Recovery of Mental Health Service Users in the UK</w:t>
      </w:r>
    </w:p>
    <w:p w:rsidRPr="003502E9" w:rsidR="003502E9" w:rsidP="0EB7295C" w:rsidRDefault="003502E9" w14:paraId="7B9BDBBB" w14:textId="1EF71E7D">
      <w:pPr>
        <w:spacing w:line="360" w:lineRule="auto"/>
        <w:jc w:val="center"/>
        <w:rPr>
          <w:rFonts w:ascii="Arial" w:hAnsi="Arial" w:cs="Arial"/>
          <w:b w:val="1"/>
          <w:bCs w:val="1"/>
          <w:i w:val="1"/>
          <w:iCs w:val="1"/>
          <w:sz w:val="22"/>
          <w:szCs w:val="22"/>
        </w:rPr>
      </w:pPr>
      <w:r w:rsidRPr="0EB7295C" w:rsidR="003502E9">
        <w:rPr>
          <w:rFonts w:ascii="Arial" w:hAnsi="Arial" w:cs="Arial"/>
          <w:b w:val="1"/>
          <w:bCs w:val="1"/>
          <w:i w:val="1"/>
          <w:iCs w:val="1"/>
          <w:sz w:val="22"/>
          <w:szCs w:val="22"/>
        </w:rPr>
        <w:t>Student Name</w:t>
      </w:r>
      <w:r w:rsidRPr="0EB7295C" w:rsidR="6895F3F2">
        <w:rPr>
          <w:rFonts w:ascii="Arial" w:hAnsi="Arial" w:cs="Arial"/>
          <w:b w:val="1"/>
          <w:bCs w:val="1"/>
          <w:i w:val="1"/>
          <w:iCs w:val="1"/>
          <w:sz w:val="22"/>
          <w:szCs w:val="22"/>
        </w:rPr>
        <w:t>: Tati Bangoura</w:t>
      </w:r>
    </w:p>
    <w:p w:rsidR="004A27DF" w:rsidP="0EB7295C" w:rsidRDefault="003502E9" w14:paraId="0ED5F023" w14:textId="508EBE37">
      <w:pPr>
        <w:spacing w:line="360" w:lineRule="auto"/>
        <w:jc w:val="center"/>
        <w:rPr>
          <w:rFonts w:ascii="Arial" w:hAnsi="Arial" w:cs="Arial"/>
          <w:b w:val="1"/>
          <w:bCs w:val="1"/>
          <w:sz w:val="22"/>
          <w:szCs w:val="22"/>
        </w:rPr>
      </w:pPr>
      <w:r w:rsidRPr="0EB7295C" w:rsidR="003502E9">
        <w:rPr>
          <w:rFonts w:ascii="Arial" w:hAnsi="Arial" w:cs="Arial"/>
          <w:b w:val="1"/>
          <w:bCs w:val="1"/>
          <w:i w:val="1"/>
          <w:iCs w:val="1"/>
          <w:sz w:val="22"/>
          <w:szCs w:val="22"/>
        </w:rPr>
        <w:t>Student Id</w:t>
      </w:r>
      <w:r w:rsidRPr="0EB7295C" w:rsidR="382047FA">
        <w:rPr>
          <w:rFonts w:ascii="Arial" w:hAnsi="Arial" w:cs="Arial"/>
          <w:b w:val="1"/>
          <w:bCs w:val="1"/>
          <w:i w:val="1"/>
          <w:iCs w:val="1"/>
          <w:sz w:val="22"/>
          <w:szCs w:val="22"/>
        </w:rPr>
        <w:t>: 21204</w:t>
      </w:r>
      <w:r w:rsidRPr="0EB7295C" w:rsidR="71248F01">
        <w:rPr>
          <w:rFonts w:ascii="Arial" w:hAnsi="Arial" w:cs="Arial"/>
          <w:b w:val="1"/>
          <w:bCs w:val="1"/>
          <w:i w:val="1"/>
          <w:iCs w:val="1"/>
          <w:sz w:val="22"/>
          <w:szCs w:val="22"/>
        </w:rPr>
        <w:t>69</w:t>
      </w:r>
    </w:p>
    <w:p w:rsidR="004A27DF" w:rsidP="0EB7295C" w:rsidRDefault="003502E9" w14:paraId="1B8F4CA8" w14:textId="6C9E98BD">
      <w:pPr>
        <w:spacing w:line="360" w:lineRule="auto"/>
        <w:jc w:val="center"/>
        <w:rPr>
          <w:rFonts w:ascii="Arial" w:hAnsi="Arial" w:cs="Arial"/>
          <w:b w:val="1"/>
          <w:bCs w:val="1"/>
          <w:i w:val="1"/>
          <w:iCs w:val="1"/>
          <w:sz w:val="22"/>
          <w:szCs w:val="22"/>
        </w:rPr>
      </w:pPr>
      <w:r w:rsidRPr="0EB7295C" w:rsidR="0964F81F">
        <w:rPr>
          <w:rFonts w:ascii="Arial" w:hAnsi="Arial" w:cs="Arial"/>
          <w:b w:val="1"/>
          <w:bCs w:val="1"/>
          <w:i w:val="1"/>
          <w:iCs w:val="1"/>
          <w:sz w:val="22"/>
          <w:szCs w:val="22"/>
        </w:rPr>
        <w:t>Module Code: BMHP6020</w:t>
      </w:r>
    </w:p>
    <w:p w:rsidR="004A27DF" w:rsidP="0EB7295C" w:rsidRDefault="003502E9" w14:paraId="18009BE7" w14:textId="0D7F46AA">
      <w:pPr>
        <w:spacing w:line="360" w:lineRule="auto"/>
        <w:jc w:val="center"/>
        <w:rPr>
          <w:rFonts w:ascii="Arial" w:hAnsi="Arial" w:cs="Arial"/>
          <w:b w:val="1"/>
          <w:bCs w:val="1"/>
          <w:i w:val="1"/>
          <w:iCs w:val="1"/>
          <w:sz w:val="22"/>
          <w:szCs w:val="22"/>
        </w:rPr>
      </w:pPr>
      <w:r w:rsidRPr="0EB7295C" w:rsidR="60716732">
        <w:rPr>
          <w:rFonts w:ascii="Arial" w:hAnsi="Arial" w:cs="Arial"/>
          <w:b w:val="1"/>
          <w:bCs w:val="1"/>
          <w:i w:val="1"/>
          <w:iCs w:val="1"/>
          <w:sz w:val="22"/>
          <w:szCs w:val="22"/>
        </w:rPr>
        <w:t xml:space="preserve">Lecturer: Chloe </w:t>
      </w:r>
      <w:r w:rsidRPr="0EB7295C" w:rsidR="2880D54A">
        <w:rPr>
          <w:rFonts w:ascii="Arial" w:hAnsi="Arial" w:cs="Arial"/>
          <w:b w:val="1"/>
          <w:bCs w:val="1"/>
          <w:i w:val="1"/>
          <w:iCs w:val="1"/>
          <w:sz w:val="22"/>
          <w:szCs w:val="22"/>
        </w:rPr>
        <w:t>Harries, Joanne</w:t>
      </w:r>
      <w:r w:rsidRPr="0EB7295C" w:rsidR="4A4EF694">
        <w:rPr>
          <w:rFonts w:ascii="Arial" w:hAnsi="Arial" w:cs="Arial"/>
          <w:b w:val="1"/>
          <w:bCs w:val="1"/>
          <w:i w:val="1"/>
          <w:iCs w:val="1"/>
          <w:sz w:val="22"/>
          <w:szCs w:val="22"/>
        </w:rPr>
        <w:t xml:space="preserve"> Davies</w:t>
      </w:r>
    </w:p>
    <w:p w:rsidR="004A27DF" w:rsidP="003502E9" w:rsidRDefault="003502E9" w14:paraId="732F195D" w14:textId="22C2D810">
      <w:pPr>
        <w:spacing w:line="360" w:lineRule="auto"/>
        <w:jc w:val="center"/>
        <w:rPr>
          <w:rFonts w:ascii="Arial" w:hAnsi="Arial" w:cs="Arial"/>
          <w:b w:val="1"/>
          <w:bCs w:val="1"/>
          <w:sz w:val="22"/>
          <w:szCs w:val="22"/>
        </w:rPr>
      </w:pPr>
      <w:r w:rsidRPr="0EB7295C">
        <w:rPr>
          <w:rFonts w:ascii="Arial" w:hAnsi="Arial" w:cs="Arial"/>
          <w:b w:val="1"/>
          <w:bCs w:val="1"/>
          <w:sz w:val="22"/>
          <w:szCs w:val="22"/>
        </w:rPr>
        <w:br w:type="page"/>
      </w:r>
    </w:p>
    <w:p w:rsidRPr="00080D6F" w:rsidR="003502E9" w:rsidP="003502E9" w:rsidRDefault="003502E9" w14:paraId="40E67E8E" w14:textId="77777777">
      <w:pPr>
        <w:spacing w:line="360" w:lineRule="auto"/>
        <w:jc w:val="both"/>
        <w:rPr>
          <w:rFonts w:ascii="Arial" w:hAnsi="Arial" w:cs="Arial"/>
          <w:b/>
          <w:bCs/>
          <w:sz w:val="22"/>
          <w:szCs w:val="22"/>
        </w:rPr>
      </w:pPr>
    </w:p>
    <w:sdt>
      <w:sdtPr>
        <w:id w:val="919527271"/>
        <w:docPartObj>
          <w:docPartGallery w:val="Table of Contents"/>
          <w:docPartUnique/>
        </w:docPartObj>
        <w:rPr>
          <w:rFonts w:ascii="Arial" w:hAnsi="Arial" w:cs="Arial" w:asciiTheme="minorBidi" w:hAnsiTheme="minorBidi" w:cstheme="minorBidi"/>
          <w:color w:val="000000" w:themeColor="text1"/>
          <w:sz w:val="22"/>
          <w:szCs w:val="22"/>
        </w:rPr>
      </w:sdtPr>
      <w:sdtEndPr>
        <w:rPr>
          <w:rFonts w:ascii="Arial" w:hAnsi="Arial" w:eastAsia="Calibri" w:cs="Arial" w:asciiTheme="minorBidi" w:hAnsiTheme="minorBidi" w:eastAsiaTheme="minorAscii" w:cstheme="minorBidi"/>
          <w:b w:val="1"/>
          <w:bCs w:val="1"/>
          <w:noProof/>
          <w:color w:val="000000" w:themeColor="text1" w:themeTint="FF" w:themeShade="FF"/>
          <w:kern w:val="2"/>
          <w:sz w:val="22"/>
          <w:szCs w:val="22"/>
          <w14:ligatures w14:val="standardContextual"/>
        </w:rPr>
      </w:sdtEndPr>
      <w:sdtContent>
        <w:p w:rsidRPr="003502E9" w:rsidR="00050094" w:rsidP="003502E9" w:rsidRDefault="00050094" w14:paraId="03FC2466" w14:textId="1815E7BA">
          <w:pPr>
            <w:pStyle w:val="TOCHeading"/>
            <w:spacing w:line="360" w:lineRule="auto"/>
            <w:rPr>
              <w:rFonts w:asciiTheme="minorBidi" w:hAnsiTheme="minorBidi" w:cstheme="minorBidi"/>
              <w:color w:val="000000" w:themeColor="text1"/>
              <w:sz w:val="22"/>
              <w:szCs w:val="22"/>
            </w:rPr>
          </w:pPr>
          <w:r w:rsidRPr="003502E9">
            <w:rPr>
              <w:rFonts w:asciiTheme="minorBidi" w:hAnsiTheme="minorBidi" w:cstheme="minorBidi"/>
              <w:color w:val="000000" w:themeColor="text1"/>
              <w:sz w:val="22"/>
              <w:szCs w:val="22"/>
            </w:rPr>
            <w:t>Table of Contents</w:t>
          </w:r>
        </w:p>
        <w:p w:rsidRPr="003502E9" w:rsidR="003502E9" w:rsidP="003502E9" w:rsidRDefault="00050094" w14:paraId="56A8D173" w14:textId="07F6F52E">
          <w:pPr>
            <w:pStyle w:val="TOC1"/>
            <w:tabs>
              <w:tab w:val="right" w:leader="dot" w:pos="9350"/>
            </w:tabs>
            <w:spacing w:line="360" w:lineRule="auto"/>
            <w:rPr>
              <w:rFonts w:eastAsiaTheme="minorEastAsia"/>
              <w:noProof/>
              <w:color w:val="000000" w:themeColor="text1"/>
              <w:sz w:val="22"/>
              <w:szCs w:val="22"/>
            </w:rPr>
          </w:pPr>
          <w:r w:rsidRPr="003502E9">
            <w:rPr>
              <w:rFonts w:asciiTheme="minorBidi" w:hAnsiTheme="minorBidi"/>
              <w:color w:val="000000" w:themeColor="text1"/>
              <w:sz w:val="22"/>
              <w:szCs w:val="22"/>
            </w:rPr>
            <w:fldChar w:fldCharType="begin"/>
          </w:r>
          <w:r w:rsidRPr="003502E9">
            <w:rPr>
              <w:rFonts w:asciiTheme="minorBidi" w:hAnsiTheme="minorBidi"/>
              <w:color w:val="000000" w:themeColor="text1"/>
              <w:sz w:val="22"/>
              <w:szCs w:val="22"/>
            </w:rPr>
            <w:instrText xml:space="preserve"> TOC \o "1-3" \h \z \u </w:instrText>
          </w:r>
          <w:r w:rsidRPr="003502E9">
            <w:rPr>
              <w:rFonts w:asciiTheme="minorBidi" w:hAnsiTheme="minorBidi"/>
              <w:color w:val="000000" w:themeColor="text1"/>
              <w:sz w:val="22"/>
              <w:szCs w:val="22"/>
            </w:rPr>
            <w:fldChar w:fldCharType="separate"/>
          </w:r>
          <w:hyperlink w:history="1" w:anchor="_Toc225378492">
            <w:r w:rsidRPr="003502E9" w:rsidR="003502E9">
              <w:rPr>
                <w:rStyle w:val="Hyperlink"/>
                <w:rFonts w:ascii="Arial" w:hAnsi="Arial" w:cs="Arial"/>
                <w:b/>
                <w:bCs/>
                <w:noProof/>
                <w:color w:val="000000" w:themeColor="text1"/>
                <w:sz w:val="22"/>
                <w:szCs w:val="22"/>
              </w:rPr>
              <w:t>CHAPTER 1: INTRODUCTION</w:t>
            </w:r>
            <w:r w:rsidRPr="003502E9" w:rsidR="003502E9">
              <w:rPr>
                <w:noProof/>
                <w:webHidden/>
                <w:color w:val="000000" w:themeColor="text1"/>
                <w:sz w:val="22"/>
                <w:szCs w:val="22"/>
              </w:rPr>
              <w:tab/>
            </w:r>
            <w:r w:rsidRPr="003502E9" w:rsidR="003502E9">
              <w:rPr>
                <w:noProof/>
                <w:webHidden/>
                <w:color w:val="000000" w:themeColor="text1"/>
                <w:sz w:val="22"/>
                <w:szCs w:val="22"/>
              </w:rPr>
              <w:fldChar w:fldCharType="begin"/>
            </w:r>
            <w:r w:rsidRPr="003502E9" w:rsidR="003502E9">
              <w:rPr>
                <w:noProof/>
                <w:webHidden/>
                <w:color w:val="000000" w:themeColor="text1"/>
                <w:sz w:val="22"/>
                <w:szCs w:val="22"/>
              </w:rPr>
              <w:instrText xml:space="preserve"> PAGEREF _Toc225378492 \h </w:instrText>
            </w:r>
            <w:r w:rsidRPr="003502E9" w:rsidR="003502E9">
              <w:rPr>
                <w:noProof/>
                <w:webHidden/>
                <w:color w:val="000000" w:themeColor="text1"/>
                <w:sz w:val="22"/>
                <w:szCs w:val="22"/>
              </w:rPr>
            </w:r>
            <w:r w:rsidRPr="003502E9" w:rsidR="003502E9">
              <w:rPr>
                <w:noProof/>
                <w:webHidden/>
                <w:color w:val="000000" w:themeColor="text1"/>
                <w:sz w:val="22"/>
                <w:szCs w:val="22"/>
              </w:rPr>
              <w:fldChar w:fldCharType="separate"/>
            </w:r>
            <w:r w:rsidRPr="003502E9" w:rsidR="003502E9">
              <w:rPr>
                <w:noProof/>
                <w:webHidden/>
                <w:color w:val="000000" w:themeColor="text1"/>
                <w:sz w:val="22"/>
                <w:szCs w:val="22"/>
              </w:rPr>
              <w:t>5</w:t>
            </w:r>
            <w:r w:rsidRPr="003502E9" w:rsidR="003502E9">
              <w:rPr>
                <w:noProof/>
                <w:webHidden/>
                <w:color w:val="000000" w:themeColor="text1"/>
                <w:sz w:val="22"/>
                <w:szCs w:val="22"/>
              </w:rPr>
              <w:fldChar w:fldCharType="end"/>
            </w:r>
          </w:hyperlink>
        </w:p>
        <w:p w:rsidRPr="003502E9" w:rsidR="003502E9" w:rsidP="003502E9" w:rsidRDefault="003502E9" w14:paraId="2577FCEC" w14:textId="3A21C5BF">
          <w:pPr>
            <w:pStyle w:val="TOC2"/>
            <w:tabs>
              <w:tab w:val="right" w:leader="dot" w:pos="9350"/>
            </w:tabs>
            <w:spacing w:line="360" w:lineRule="auto"/>
            <w:rPr>
              <w:rFonts w:eastAsiaTheme="minorEastAsia"/>
              <w:noProof/>
              <w:color w:val="000000" w:themeColor="text1"/>
              <w:sz w:val="22"/>
              <w:szCs w:val="22"/>
            </w:rPr>
          </w:pPr>
          <w:hyperlink w:history="1" w:anchor="_Toc225378493">
            <w:r w:rsidRPr="003502E9">
              <w:rPr>
                <w:rStyle w:val="Hyperlink"/>
                <w:rFonts w:ascii="Arial" w:hAnsi="Arial" w:cs="Arial"/>
                <w:b/>
                <w:bCs/>
                <w:i/>
                <w:iCs/>
                <w:noProof/>
                <w:color w:val="000000" w:themeColor="text1"/>
                <w:sz w:val="22"/>
                <w:szCs w:val="22"/>
              </w:rPr>
              <w:t>1.1 Background of the Study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5</w:t>
            </w:r>
            <w:r w:rsidRPr="003502E9">
              <w:rPr>
                <w:noProof/>
                <w:webHidden/>
                <w:color w:val="000000" w:themeColor="text1"/>
                <w:sz w:val="22"/>
                <w:szCs w:val="22"/>
              </w:rPr>
              <w:fldChar w:fldCharType="end"/>
            </w:r>
          </w:hyperlink>
        </w:p>
        <w:p w:rsidRPr="003502E9" w:rsidR="003502E9" w:rsidP="003502E9" w:rsidRDefault="003502E9" w14:paraId="072EC2E7" w14:textId="2D8A3655">
          <w:pPr>
            <w:pStyle w:val="TOC2"/>
            <w:tabs>
              <w:tab w:val="right" w:leader="dot" w:pos="9350"/>
            </w:tabs>
            <w:spacing w:line="360" w:lineRule="auto"/>
            <w:rPr>
              <w:rFonts w:eastAsiaTheme="minorEastAsia"/>
              <w:noProof/>
              <w:color w:val="000000" w:themeColor="text1"/>
              <w:sz w:val="22"/>
              <w:szCs w:val="22"/>
            </w:rPr>
          </w:pPr>
          <w:hyperlink w:history="1" w:anchor="_Toc225378494">
            <w:r w:rsidRPr="003502E9">
              <w:rPr>
                <w:rStyle w:val="Hyperlink"/>
                <w:rFonts w:ascii="Arial" w:hAnsi="Arial" w:cs="Arial"/>
                <w:b/>
                <w:bCs/>
                <w:i/>
                <w:iCs/>
                <w:noProof/>
                <w:color w:val="000000" w:themeColor="text1"/>
                <w:sz w:val="22"/>
                <w:szCs w:val="22"/>
              </w:rPr>
              <w:t>1.2 Problem Statement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5</w:t>
            </w:r>
            <w:r w:rsidRPr="003502E9">
              <w:rPr>
                <w:noProof/>
                <w:webHidden/>
                <w:color w:val="000000" w:themeColor="text1"/>
                <w:sz w:val="22"/>
                <w:szCs w:val="22"/>
              </w:rPr>
              <w:fldChar w:fldCharType="end"/>
            </w:r>
          </w:hyperlink>
        </w:p>
        <w:p w:rsidRPr="003502E9" w:rsidR="003502E9" w:rsidP="003502E9" w:rsidRDefault="003502E9" w14:paraId="27F7D13D" w14:textId="52CA2328">
          <w:pPr>
            <w:pStyle w:val="TOC2"/>
            <w:tabs>
              <w:tab w:val="right" w:leader="dot" w:pos="9350"/>
            </w:tabs>
            <w:spacing w:line="360" w:lineRule="auto"/>
            <w:rPr>
              <w:rFonts w:eastAsiaTheme="minorEastAsia"/>
              <w:noProof/>
              <w:color w:val="000000" w:themeColor="text1"/>
              <w:sz w:val="22"/>
              <w:szCs w:val="22"/>
            </w:rPr>
          </w:pPr>
          <w:hyperlink w:history="1" w:anchor="_Toc225378495">
            <w:r w:rsidRPr="003502E9">
              <w:rPr>
                <w:rStyle w:val="Hyperlink"/>
                <w:rFonts w:ascii="Arial" w:hAnsi="Arial" w:cs="Arial"/>
                <w:b/>
                <w:bCs/>
                <w:i/>
                <w:iCs/>
                <w:noProof/>
                <w:color w:val="000000" w:themeColor="text1"/>
                <w:sz w:val="22"/>
                <w:szCs w:val="22"/>
              </w:rPr>
              <w:t>1.3. Research Aim and Objectives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5</w:t>
            </w:r>
            <w:r w:rsidRPr="003502E9">
              <w:rPr>
                <w:noProof/>
                <w:webHidden/>
                <w:color w:val="000000" w:themeColor="text1"/>
                <w:sz w:val="22"/>
                <w:szCs w:val="22"/>
              </w:rPr>
              <w:fldChar w:fldCharType="end"/>
            </w:r>
          </w:hyperlink>
        </w:p>
        <w:p w:rsidRPr="003502E9" w:rsidR="003502E9" w:rsidP="003502E9" w:rsidRDefault="003502E9" w14:paraId="6922E946" w14:textId="173C796D">
          <w:pPr>
            <w:pStyle w:val="TOC3"/>
            <w:tabs>
              <w:tab w:val="right" w:leader="dot" w:pos="9350"/>
            </w:tabs>
            <w:spacing w:line="360" w:lineRule="auto"/>
            <w:rPr>
              <w:rFonts w:eastAsiaTheme="minorEastAsia"/>
              <w:noProof/>
              <w:color w:val="000000" w:themeColor="text1"/>
              <w:sz w:val="22"/>
              <w:szCs w:val="22"/>
            </w:rPr>
          </w:pPr>
          <w:hyperlink w:history="1" w:anchor="_Toc225378496">
            <w:r w:rsidRPr="003502E9">
              <w:rPr>
                <w:rStyle w:val="Hyperlink"/>
                <w:rFonts w:ascii="Arial" w:hAnsi="Arial" w:cs="Arial"/>
                <w:i/>
                <w:iCs/>
                <w:noProof/>
                <w:color w:val="000000" w:themeColor="text1"/>
                <w:sz w:val="22"/>
                <w:szCs w:val="22"/>
              </w:rPr>
              <w:t>Aim</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5</w:t>
            </w:r>
            <w:r w:rsidRPr="003502E9">
              <w:rPr>
                <w:noProof/>
                <w:webHidden/>
                <w:color w:val="000000" w:themeColor="text1"/>
                <w:sz w:val="22"/>
                <w:szCs w:val="22"/>
              </w:rPr>
              <w:fldChar w:fldCharType="end"/>
            </w:r>
          </w:hyperlink>
        </w:p>
        <w:p w:rsidRPr="003502E9" w:rsidR="003502E9" w:rsidP="003502E9" w:rsidRDefault="003502E9" w14:paraId="7B5C13A5" w14:textId="71E10C9E">
          <w:pPr>
            <w:pStyle w:val="TOC3"/>
            <w:tabs>
              <w:tab w:val="right" w:leader="dot" w:pos="9350"/>
            </w:tabs>
            <w:spacing w:line="360" w:lineRule="auto"/>
            <w:rPr>
              <w:rFonts w:eastAsiaTheme="minorEastAsia"/>
              <w:noProof/>
              <w:color w:val="000000" w:themeColor="text1"/>
              <w:sz w:val="22"/>
              <w:szCs w:val="22"/>
            </w:rPr>
          </w:pPr>
          <w:hyperlink w:history="1" w:anchor="_Toc225378497">
            <w:r w:rsidRPr="003502E9">
              <w:rPr>
                <w:rStyle w:val="Hyperlink"/>
                <w:rFonts w:ascii="Arial" w:hAnsi="Arial" w:cs="Arial"/>
                <w:i/>
                <w:iCs/>
                <w:noProof/>
                <w:color w:val="000000" w:themeColor="text1"/>
                <w:sz w:val="22"/>
                <w:szCs w:val="22"/>
              </w:rPr>
              <w:t>Objectives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6</w:t>
            </w:r>
            <w:r w:rsidRPr="003502E9">
              <w:rPr>
                <w:noProof/>
                <w:webHidden/>
                <w:color w:val="000000" w:themeColor="text1"/>
                <w:sz w:val="22"/>
                <w:szCs w:val="22"/>
              </w:rPr>
              <w:fldChar w:fldCharType="end"/>
            </w:r>
          </w:hyperlink>
        </w:p>
        <w:p w:rsidRPr="003502E9" w:rsidR="003502E9" w:rsidP="003502E9" w:rsidRDefault="003502E9" w14:paraId="166A8C64" w14:textId="6D6B226A">
          <w:pPr>
            <w:pStyle w:val="TOC3"/>
            <w:tabs>
              <w:tab w:val="right" w:leader="dot" w:pos="9350"/>
            </w:tabs>
            <w:spacing w:line="360" w:lineRule="auto"/>
            <w:rPr>
              <w:rFonts w:eastAsiaTheme="minorEastAsia"/>
              <w:noProof/>
              <w:color w:val="000000" w:themeColor="text1"/>
              <w:sz w:val="22"/>
              <w:szCs w:val="22"/>
            </w:rPr>
          </w:pPr>
          <w:hyperlink w:history="1" w:anchor="_Toc225378498">
            <w:r w:rsidRPr="003502E9">
              <w:rPr>
                <w:rStyle w:val="Hyperlink"/>
                <w:rFonts w:ascii="Arial" w:hAnsi="Arial" w:cs="Arial"/>
                <w:i/>
                <w:iCs/>
                <w:noProof/>
                <w:color w:val="000000" w:themeColor="text1"/>
                <w:sz w:val="22"/>
                <w:szCs w:val="22"/>
              </w:rPr>
              <w:t>Research Questions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6</w:t>
            </w:r>
            <w:r w:rsidRPr="003502E9">
              <w:rPr>
                <w:noProof/>
                <w:webHidden/>
                <w:color w:val="000000" w:themeColor="text1"/>
                <w:sz w:val="22"/>
                <w:szCs w:val="22"/>
              </w:rPr>
              <w:fldChar w:fldCharType="end"/>
            </w:r>
          </w:hyperlink>
        </w:p>
        <w:p w:rsidRPr="003502E9" w:rsidR="003502E9" w:rsidP="003502E9" w:rsidRDefault="003502E9" w14:paraId="10989E17" w14:textId="195C32A1">
          <w:pPr>
            <w:pStyle w:val="TOC2"/>
            <w:tabs>
              <w:tab w:val="right" w:leader="dot" w:pos="9350"/>
            </w:tabs>
            <w:spacing w:line="360" w:lineRule="auto"/>
            <w:rPr>
              <w:rFonts w:eastAsiaTheme="minorEastAsia"/>
              <w:noProof/>
              <w:color w:val="000000" w:themeColor="text1"/>
              <w:sz w:val="22"/>
              <w:szCs w:val="22"/>
            </w:rPr>
          </w:pPr>
          <w:hyperlink w:history="1" w:anchor="_Toc225378499">
            <w:r w:rsidRPr="003502E9">
              <w:rPr>
                <w:rStyle w:val="Hyperlink"/>
                <w:rFonts w:ascii="Arial" w:hAnsi="Arial" w:cs="Arial"/>
                <w:b/>
                <w:bCs/>
                <w:i/>
                <w:iCs/>
                <w:noProof/>
                <w:color w:val="000000" w:themeColor="text1"/>
                <w:sz w:val="22"/>
                <w:szCs w:val="22"/>
              </w:rPr>
              <w:t>1.6 Significance of the Study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_Toc225378499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6</w:t>
            </w:r>
            <w:r w:rsidRPr="003502E9">
              <w:rPr>
                <w:noProof/>
                <w:webHidden/>
                <w:color w:val="000000" w:themeColor="text1"/>
                <w:sz w:val="22"/>
                <w:szCs w:val="22"/>
              </w:rPr>
              <w:fldChar w:fldCharType="end"/>
            </w:r>
          </w:hyperlink>
        </w:p>
        <w:p w:rsidRPr="003502E9" w:rsidR="003502E9" w:rsidP="003502E9" w:rsidRDefault="003502E9" w14:paraId="49F58FF4" w14:textId="37F255BD">
          <w:pPr>
            <w:pStyle w:val="TOC2"/>
            <w:tabs>
              <w:tab w:val="right" w:leader="dot" w:pos="9350"/>
            </w:tabs>
            <w:spacing w:line="360" w:lineRule="auto"/>
            <w:rPr>
              <w:rFonts w:eastAsiaTheme="minorEastAsia"/>
              <w:noProof/>
              <w:color w:val="000000" w:themeColor="text1"/>
              <w:sz w:val="22"/>
              <w:szCs w:val="22"/>
            </w:rPr>
          </w:pPr>
          <w:hyperlink w:history="1" w:anchor="_Toc225378500">
            <w:r w:rsidRPr="003502E9">
              <w:rPr>
                <w:rStyle w:val="Hyperlink"/>
                <w:rFonts w:ascii="Arial" w:hAnsi="Arial" w:cs="Arial"/>
                <w:b/>
                <w:bCs/>
                <w:i/>
                <w:iCs/>
                <w:noProof/>
                <w:color w:val="000000" w:themeColor="text1"/>
                <w:sz w:val="22"/>
                <w:szCs w:val="22"/>
              </w:rPr>
              <w:t>1.7 Structure of the Dissertation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7</w:t>
            </w:r>
            <w:r w:rsidRPr="003502E9">
              <w:rPr>
                <w:noProof/>
                <w:webHidden/>
                <w:color w:val="000000" w:themeColor="text1"/>
                <w:sz w:val="22"/>
                <w:szCs w:val="22"/>
              </w:rPr>
              <w:fldChar w:fldCharType="end"/>
            </w:r>
          </w:hyperlink>
        </w:p>
        <w:p w:rsidRPr="003502E9" w:rsidR="003502E9" w:rsidP="003502E9" w:rsidRDefault="003502E9" w14:paraId="6CA054EF" w14:textId="556F3279">
          <w:pPr>
            <w:pStyle w:val="TOC1"/>
            <w:tabs>
              <w:tab w:val="right" w:leader="dot" w:pos="9350"/>
            </w:tabs>
            <w:spacing w:line="360" w:lineRule="auto"/>
            <w:rPr>
              <w:rFonts w:eastAsiaTheme="minorEastAsia"/>
              <w:noProof/>
              <w:color w:val="000000" w:themeColor="text1"/>
              <w:sz w:val="22"/>
              <w:szCs w:val="22"/>
            </w:rPr>
          </w:pPr>
          <w:hyperlink w:history="1" w:anchor="_Toc225378501">
            <w:r w:rsidRPr="003502E9">
              <w:rPr>
                <w:rStyle w:val="Hyperlink"/>
                <w:rFonts w:ascii="Arial" w:hAnsi="Arial" w:cs="Arial"/>
                <w:b/>
                <w:bCs/>
                <w:noProof/>
                <w:color w:val="000000" w:themeColor="text1"/>
                <w:sz w:val="22"/>
                <w:szCs w:val="22"/>
              </w:rPr>
              <w:t>CHAPTER 2: Background</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8</w:t>
            </w:r>
            <w:r w:rsidRPr="003502E9">
              <w:rPr>
                <w:noProof/>
                <w:webHidden/>
                <w:color w:val="000000" w:themeColor="text1"/>
                <w:sz w:val="22"/>
                <w:szCs w:val="22"/>
              </w:rPr>
              <w:fldChar w:fldCharType="end"/>
            </w:r>
          </w:hyperlink>
        </w:p>
        <w:p w:rsidRPr="003502E9" w:rsidR="003502E9" w:rsidP="003502E9" w:rsidRDefault="003502E9" w14:paraId="5DE75819" w14:textId="0A7942AE">
          <w:pPr>
            <w:pStyle w:val="TOC2"/>
            <w:tabs>
              <w:tab w:val="right" w:leader="dot" w:pos="9350"/>
            </w:tabs>
            <w:spacing w:line="360" w:lineRule="auto"/>
            <w:rPr>
              <w:rFonts w:eastAsiaTheme="minorEastAsia"/>
              <w:noProof/>
              <w:color w:val="000000" w:themeColor="text1"/>
              <w:sz w:val="22"/>
              <w:szCs w:val="22"/>
            </w:rPr>
          </w:pPr>
          <w:hyperlink w:history="1" w:anchor="_Toc225378502">
            <w:r w:rsidRPr="003502E9">
              <w:rPr>
                <w:rStyle w:val="Hyperlink"/>
                <w:rFonts w:ascii="Arial" w:hAnsi="Arial" w:cs="Arial"/>
                <w:b/>
                <w:bCs/>
                <w:i/>
                <w:iCs/>
                <w:noProof/>
                <w:color w:val="000000" w:themeColor="text1"/>
                <w:sz w:val="22"/>
                <w:szCs w:val="22"/>
              </w:rPr>
              <w:t>2.1 Introduction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8</w:t>
            </w:r>
            <w:r w:rsidRPr="003502E9">
              <w:rPr>
                <w:noProof/>
                <w:webHidden/>
                <w:color w:val="000000" w:themeColor="text1"/>
                <w:sz w:val="22"/>
                <w:szCs w:val="22"/>
              </w:rPr>
              <w:fldChar w:fldCharType="end"/>
            </w:r>
          </w:hyperlink>
        </w:p>
        <w:p w:rsidRPr="003502E9" w:rsidR="003502E9" w:rsidP="003502E9" w:rsidRDefault="003502E9" w14:paraId="0F2B99EA" w14:textId="364534F9">
          <w:pPr>
            <w:pStyle w:val="TOC2"/>
            <w:tabs>
              <w:tab w:val="right" w:leader="dot" w:pos="9350"/>
            </w:tabs>
            <w:spacing w:line="360" w:lineRule="auto"/>
            <w:rPr>
              <w:rFonts w:eastAsiaTheme="minorEastAsia"/>
              <w:noProof/>
              <w:color w:val="000000" w:themeColor="text1"/>
              <w:sz w:val="22"/>
              <w:szCs w:val="22"/>
            </w:rPr>
          </w:pPr>
          <w:hyperlink w:history="1" w:anchor="_Toc225378503">
            <w:r w:rsidRPr="003502E9">
              <w:rPr>
                <w:rStyle w:val="Hyperlink"/>
                <w:rFonts w:ascii="Arial" w:hAnsi="Arial" w:cs="Arial"/>
                <w:b/>
                <w:bCs/>
                <w:i/>
                <w:iCs/>
                <w:noProof/>
                <w:color w:val="000000" w:themeColor="text1"/>
                <w:sz w:val="22"/>
                <w:szCs w:val="22"/>
              </w:rPr>
              <w:t>2.2 Concept of Mental Health Recovery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8</w:t>
            </w:r>
            <w:r w:rsidRPr="003502E9">
              <w:rPr>
                <w:noProof/>
                <w:webHidden/>
                <w:color w:val="000000" w:themeColor="text1"/>
                <w:sz w:val="22"/>
                <w:szCs w:val="22"/>
              </w:rPr>
              <w:fldChar w:fldCharType="end"/>
            </w:r>
          </w:hyperlink>
        </w:p>
        <w:p w:rsidRPr="003502E9" w:rsidR="003502E9" w:rsidP="003502E9" w:rsidRDefault="003502E9" w14:paraId="16BC6FE4" w14:textId="6D0559C3">
          <w:pPr>
            <w:pStyle w:val="TOC2"/>
            <w:tabs>
              <w:tab w:val="right" w:leader="dot" w:pos="9350"/>
            </w:tabs>
            <w:spacing w:line="360" w:lineRule="auto"/>
            <w:rPr>
              <w:rFonts w:eastAsiaTheme="minorEastAsia"/>
              <w:noProof/>
              <w:color w:val="000000" w:themeColor="text1"/>
              <w:sz w:val="22"/>
              <w:szCs w:val="22"/>
            </w:rPr>
          </w:pPr>
          <w:hyperlink w:history="1" w:anchor="_Toc225378504">
            <w:r w:rsidRPr="003502E9">
              <w:rPr>
                <w:rStyle w:val="Hyperlink"/>
                <w:rFonts w:ascii="Arial" w:hAnsi="Arial" w:cs="Arial"/>
                <w:b/>
                <w:bCs/>
                <w:i/>
                <w:iCs/>
                <w:noProof/>
                <w:color w:val="000000" w:themeColor="text1"/>
                <w:sz w:val="22"/>
                <w:szCs w:val="22"/>
              </w:rPr>
              <w:t>2.3 Social Support and Recovery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9</w:t>
            </w:r>
            <w:r w:rsidRPr="003502E9">
              <w:rPr>
                <w:noProof/>
                <w:webHidden/>
                <w:color w:val="000000" w:themeColor="text1"/>
                <w:sz w:val="22"/>
                <w:szCs w:val="22"/>
              </w:rPr>
              <w:fldChar w:fldCharType="end"/>
            </w:r>
          </w:hyperlink>
        </w:p>
        <w:p w:rsidRPr="003502E9" w:rsidR="003502E9" w:rsidP="003502E9" w:rsidRDefault="003502E9" w14:paraId="561D350D" w14:textId="30DFCC73">
          <w:pPr>
            <w:pStyle w:val="TOC2"/>
            <w:tabs>
              <w:tab w:val="right" w:leader="dot" w:pos="9350"/>
            </w:tabs>
            <w:spacing w:line="360" w:lineRule="auto"/>
            <w:rPr>
              <w:rFonts w:eastAsiaTheme="minorEastAsia"/>
              <w:noProof/>
              <w:color w:val="000000" w:themeColor="text1"/>
              <w:sz w:val="22"/>
              <w:szCs w:val="22"/>
            </w:rPr>
          </w:pPr>
          <w:hyperlink w:history="1" w:anchor="_Toc225378505">
            <w:r w:rsidRPr="003502E9">
              <w:rPr>
                <w:rStyle w:val="Hyperlink"/>
                <w:rFonts w:ascii="Arial" w:hAnsi="Arial" w:cs="Arial"/>
                <w:b/>
                <w:bCs/>
                <w:i/>
                <w:iCs/>
                <w:noProof/>
                <w:color w:val="000000" w:themeColor="text1"/>
                <w:sz w:val="22"/>
                <w:szCs w:val="22"/>
              </w:rPr>
              <w:t>2.4 Role of Family Support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9</w:t>
            </w:r>
            <w:r w:rsidRPr="003502E9">
              <w:rPr>
                <w:noProof/>
                <w:webHidden/>
                <w:color w:val="000000" w:themeColor="text1"/>
                <w:sz w:val="22"/>
                <w:szCs w:val="22"/>
              </w:rPr>
              <w:fldChar w:fldCharType="end"/>
            </w:r>
          </w:hyperlink>
        </w:p>
        <w:p w:rsidRPr="003502E9" w:rsidR="003502E9" w:rsidP="003502E9" w:rsidRDefault="003502E9" w14:paraId="3989088B" w14:textId="3A10313C">
          <w:pPr>
            <w:pStyle w:val="TOC2"/>
            <w:tabs>
              <w:tab w:val="right" w:leader="dot" w:pos="9350"/>
            </w:tabs>
            <w:spacing w:line="360" w:lineRule="auto"/>
            <w:rPr>
              <w:rFonts w:eastAsiaTheme="minorEastAsia"/>
              <w:noProof/>
              <w:color w:val="000000" w:themeColor="text1"/>
              <w:sz w:val="22"/>
              <w:szCs w:val="22"/>
            </w:rPr>
          </w:pPr>
          <w:hyperlink w:history="1" w:anchor="_Toc225378506">
            <w:r w:rsidRPr="003502E9">
              <w:rPr>
                <w:rStyle w:val="Hyperlink"/>
                <w:rFonts w:ascii="Arial" w:hAnsi="Arial" w:cs="Arial"/>
                <w:b/>
                <w:bCs/>
                <w:i/>
                <w:iCs/>
                <w:noProof/>
                <w:color w:val="000000" w:themeColor="text1"/>
                <w:sz w:val="22"/>
                <w:szCs w:val="22"/>
              </w:rPr>
              <w:t>2.5 Family Involvement in the UK Mental Health System</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10</w:t>
            </w:r>
            <w:r w:rsidRPr="003502E9">
              <w:rPr>
                <w:noProof/>
                <w:webHidden/>
                <w:color w:val="000000" w:themeColor="text1"/>
                <w:sz w:val="22"/>
                <w:szCs w:val="22"/>
              </w:rPr>
              <w:fldChar w:fldCharType="end"/>
            </w:r>
          </w:hyperlink>
        </w:p>
        <w:p w:rsidRPr="003502E9" w:rsidR="003502E9" w:rsidP="003502E9" w:rsidRDefault="003502E9" w14:paraId="591987A6" w14:textId="4A7E7BCD">
          <w:pPr>
            <w:pStyle w:val="TOC2"/>
            <w:tabs>
              <w:tab w:val="right" w:leader="dot" w:pos="9350"/>
            </w:tabs>
            <w:spacing w:line="360" w:lineRule="auto"/>
            <w:rPr>
              <w:rFonts w:eastAsiaTheme="minorEastAsia"/>
              <w:noProof/>
              <w:color w:val="000000" w:themeColor="text1"/>
              <w:sz w:val="22"/>
              <w:szCs w:val="22"/>
            </w:rPr>
          </w:pPr>
          <w:hyperlink w:history="1" w:anchor="_Toc225378507">
            <w:r w:rsidRPr="003502E9">
              <w:rPr>
                <w:rStyle w:val="Hyperlink"/>
                <w:rFonts w:ascii="Arial" w:hAnsi="Arial" w:cs="Arial"/>
                <w:b/>
                <w:bCs/>
                <w:i/>
                <w:iCs/>
                <w:noProof/>
                <w:color w:val="000000" w:themeColor="text1"/>
                <w:sz w:val="22"/>
                <w:szCs w:val="22"/>
              </w:rPr>
              <w:t>2.6 Barriers to Family Involvement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10</w:t>
            </w:r>
            <w:r w:rsidRPr="003502E9">
              <w:rPr>
                <w:noProof/>
                <w:webHidden/>
                <w:color w:val="000000" w:themeColor="text1"/>
                <w:sz w:val="22"/>
                <w:szCs w:val="22"/>
              </w:rPr>
              <w:fldChar w:fldCharType="end"/>
            </w:r>
          </w:hyperlink>
        </w:p>
        <w:p w:rsidRPr="003502E9" w:rsidR="003502E9" w:rsidP="003502E9" w:rsidRDefault="003502E9" w14:paraId="4375CC43" w14:textId="14F5A8E4">
          <w:pPr>
            <w:pStyle w:val="TOC2"/>
            <w:tabs>
              <w:tab w:val="right" w:leader="dot" w:pos="9350"/>
            </w:tabs>
            <w:spacing w:line="360" w:lineRule="auto"/>
            <w:rPr>
              <w:rFonts w:eastAsiaTheme="minorEastAsia"/>
              <w:noProof/>
              <w:color w:val="000000" w:themeColor="text1"/>
              <w:sz w:val="22"/>
              <w:szCs w:val="22"/>
            </w:rPr>
          </w:pPr>
          <w:hyperlink w:history="1" w:anchor="_Toc225378508">
            <w:r w:rsidRPr="003502E9">
              <w:rPr>
                <w:rStyle w:val="Hyperlink"/>
                <w:rFonts w:ascii="Arial" w:hAnsi="Arial" w:cs="Arial"/>
                <w:b/>
                <w:bCs/>
                <w:i/>
                <w:iCs/>
                <w:noProof/>
                <w:color w:val="000000" w:themeColor="text1"/>
                <w:sz w:val="22"/>
                <w:szCs w:val="22"/>
              </w:rPr>
              <w:t>2.7 Critical Analysis and Research Gap</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11</w:t>
            </w:r>
            <w:r w:rsidRPr="003502E9">
              <w:rPr>
                <w:noProof/>
                <w:webHidden/>
                <w:color w:val="000000" w:themeColor="text1"/>
                <w:sz w:val="22"/>
                <w:szCs w:val="22"/>
              </w:rPr>
              <w:fldChar w:fldCharType="end"/>
            </w:r>
          </w:hyperlink>
        </w:p>
        <w:p w:rsidRPr="003502E9" w:rsidR="003502E9" w:rsidP="003502E9" w:rsidRDefault="003502E9" w14:paraId="192A01D4" w14:textId="1D93E6A0">
          <w:pPr>
            <w:pStyle w:val="TOC2"/>
            <w:tabs>
              <w:tab w:val="right" w:leader="dot" w:pos="9350"/>
            </w:tabs>
            <w:spacing w:line="360" w:lineRule="auto"/>
            <w:rPr>
              <w:rFonts w:eastAsiaTheme="minorEastAsia"/>
              <w:noProof/>
              <w:color w:val="000000" w:themeColor="text1"/>
              <w:sz w:val="22"/>
              <w:szCs w:val="22"/>
            </w:rPr>
          </w:pPr>
          <w:hyperlink w:history="1" w:anchor="_Toc225378509">
            <w:r w:rsidRPr="003502E9">
              <w:rPr>
                <w:rStyle w:val="Hyperlink"/>
                <w:rFonts w:ascii="Arial" w:hAnsi="Arial" w:cs="Arial"/>
                <w:b/>
                <w:bCs/>
                <w:i/>
                <w:iCs/>
                <w:noProof/>
                <w:color w:val="000000" w:themeColor="text1"/>
                <w:sz w:val="22"/>
                <w:szCs w:val="22"/>
              </w:rPr>
              <w:t>2.8 Chapter Summary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_Toc225378509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12</w:t>
            </w:r>
            <w:r w:rsidRPr="003502E9">
              <w:rPr>
                <w:noProof/>
                <w:webHidden/>
                <w:color w:val="000000" w:themeColor="text1"/>
                <w:sz w:val="22"/>
                <w:szCs w:val="22"/>
              </w:rPr>
              <w:fldChar w:fldCharType="end"/>
            </w:r>
          </w:hyperlink>
        </w:p>
        <w:p w:rsidRPr="003502E9" w:rsidR="003502E9" w:rsidP="003502E9" w:rsidRDefault="003502E9" w14:paraId="7B94F389" w14:textId="7098EC02">
          <w:pPr>
            <w:pStyle w:val="TOC1"/>
            <w:tabs>
              <w:tab w:val="right" w:leader="dot" w:pos="9350"/>
            </w:tabs>
            <w:spacing w:line="360" w:lineRule="auto"/>
            <w:rPr>
              <w:rFonts w:eastAsiaTheme="minorEastAsia"/>
              <w:noProof/>
              <w:color w:val="000000" w:themeColor="text1"/>
              <w:sz w:val="22"/>
              <w:szCs w:val="22"/>
            </w:rPr>
          </w:pPr>
          <w:hyperlink w:history="1" w:anchor="_Toc225378510">
            <w:r w:rsidRPr="003502E9">
              <w:rPr>
                <w:rStyle w:val="Hyperlink"/>
                <w:rFonts w:ascii="Arial" w:hAnsi="Arial" w:cs="Arial"/>
                <w:b/>
                <w:bCs/>
                <w:noProof/>
                <w:color w:val="000000" w:themeColor="text1"/>
                <w:sz w:val="22"/>
                <w:szCs w:val="22"/>
              </w:rPr>
              <w:t>Chapter 3: Methods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13</w:t>
            </w:r>
            <w:r w:rsidRPr="003502E9">
              <w:rPr>
                <w:noProof/>
                <w:webHidden/>
                <w:color w:val="000000" w:themeColor="text1"/>
                <w:sz w:val="22"/>
                <w:szCs w:val="22"/>
              </w:rPr>
              <w:fldChar w:fldCharType="end"/>
            </w:r>
          </w:hyperlink>
        </w:p>
        <w:p w:rsidRPr="003502E9" w:rsidR="003502E9" w:rsidP="003502E9" w:rsidRDefault="003502E9" w14:paraId="1C4FC097" w14:textId="4656155A">
          <w:pPr>
            <w:pStyle w:val="TOC2"/>
            <w:tabs>
              <w:tab w:val="right" w:leader="dot" w:pos="9350"/>
            </w:tabs>
            <w:spacing w:line="360" w:lineRule="auto"/>
            <w:rPr>
              <w:rFonts w:eastAsiaTheme="minorEastAsia"/>
              <w:noProof/>
              <w:color w:val="000000" w:themeColor="text1"/>
              <w:sz w:val="22"/>
              <w:szCs w:val="22"/>
            </w:rPr>
          </w:pPr>
          <w:hyperlink w:history="1" w:anchor="_Toc225378511">
            <w:r w:rsidRPr="003502E9">
              <w:rPr>
                <w:rStyle w:val="Hyperlink"/>
                <w:rFonts w:ascii="Arial" w:hAnsi="Arial" w:cs="Arial"/>
                <w:b/>
                <w:bCs/>
                <w:i/>
                <w:iCs/>
                <w:noProof/>
                <w:color w:val="000000" w:themeColor="text1"/>
                <w:sz w:val="22"/>
                <w:szCs w:val="22"/>
              </w:rPr>
              <w:t>3.1 Introduction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13</w:t>
            </w:r>
            <w:r w:rsidRPr="003502E9">
              <w:rPr>
                <w:noProof/>
                <w:webHidden/>
                <w:color w:val="000000" w:themeColor="text1"/>
                <w:sz w:val="22"/>
                <w:szCs w:val="22"/>
              </w:rPr>
              <w:fldChar w:fldCharType="end"/>
            </w:r>
          </w:hyperlink>
        </w:p>
        <w:p w:rsidRPr="003502E9" w:rsidR="003502E9" w:rsidP="003502E9" w:rsidRDefault="003502E9" w14:paraId="3A9C1109" w14:textId="4E7FB516">
          <w:pPr>
            <w:pStyle w:val="TOC2"/>
            <w:tabs>
              <w:tab w:val="right" w:leader="dot" w:pos="9350"/>
            </w:tabs>
            <w:spacing w:line="360" w:lineRule="auto"/>
            <w:rPr>
              <w:rFonts w:eastAsiaTheme="minorEastAsia"/>
              <w:noProof/>
              <w:color w:val="000000" w:themeColor="text1"/>
              <w:sz w:val="22"/>
              <w:szCs w:val="22"/>
            </w:rPr>
          </w:pPr>
          <w:hyperlink w:history="1" w:anchor="_Toc225378512">
            <w:r w:rsidRPr="003502E9">
              <w:rPr>
                <w:rStyle w:val="Hyperlink"/>
                <w:rFonts w:ascii="Arial" w:hAnsi="Arial" w:cs="Arial"/>
                <w:b/>
                <w:bCs/>
                <w:i/>
                <w:iCs/>
                <w:noProof/>
                <w:color w:val="000000" w:themeColor="text1"/>
                <w:sz w:val="22"/>
                <w:szCs w:val="22"/>
              </w:rPr>
              <w:t>3.2 Research Design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13</w:t>
            </w:r>
            <w:r w:rsidRPr="003502E9">
              <w:rPr>
                <w:noProof/>
                <w:webHidden/>
                <w:color w:val="000000" w:themeColor="text1"/>
                <w:sz w:val="22"/>
                <w:szCs w:val="22"/>
              </w:rPr>
              <w:fldChar w:fldCharType="end"/>
            </w:r>
          </w:hyperlink>
        </w:p>
        <w:p w:rsidRPr="003502E9" w:rsidR="003502E9" w:rsidP="003502E9" w:rsidRDefault="003502E9" w14:paraId="1046583F" w14:textId="4E766822">
          <w:pPr>
            <w:pStyle w:val="TOC2"/>
            <w:tabs>
              <w:tab w:val="right" w:leader="dot" w:pos="9350"/>
            </w:tabs>
            <w:spacing w:line="360" w:lineRule="auto"/>
            <w:rPr>
              <w:rFonts w:eastAsiaTheme="minorEastAsia"/>
              <w:noProof/>
              <w:color w:val="000000" w:themeColor="text1"/>
              <w:sz w:val="22"/>
              <w:szCs w:val="22"/>
            </w:rPr>
          </w:pPr>
          <w:hyperlink w:history="1" w:anchor="_Toc225378513">
            <w:r w:rsidRPr="003502E9">
              <w:rPr>
                <w:rStyle w:val="Hyperlink"/>
                <w:rFonts w:ascii="Arial" w:hAnsi="Arial" w:cs="Arial"/>
                <w:b/>
                <w:bCs/>
                <w:i/>
                <w:iCs/>
                <w:noProof/>
                <w:color w:val="000000" w:themeColor="text1"/>
                <w:sz w:val="22"/>
                <w:szCs w:val="22"/>
              </w:rPr>
              <w:t>3.3 Data Sources and Collection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14</w:t>
            </w:r>
            <w:r w:rsidRPr="003502E9">
              <w:rPr>
                <w:noProof/>
                <w:webHidden/>
                <w:color w:val="000000" w:themeColor="text1"/>
                <w:sz w:val="22"/>
                <w:szCs w:val="22"/>
              </w:rPr>
              <w:fldChar w:fldCharType="end"/>
            </w:r>
          </w:hyperlink>
        </w:p>
        <w:p w:rsidRPr="003502E9" w:rsidR="003502E9" w:rsidP="003502E9" w:rsidRDefault="003502E9" w14:paraId="75B4116C" w14:textId="382DBC82">
          <w:pPr>
            <w:pStyle w:val="TOC2"/>
            <w:tabs>
              <w:tab w:val="right" w:leader="dot" w:pos="9350"/>
            </w:tabs>
            <w:spacing w:line="360" w:lineRule="auto"/>
            <w:rPr>
              <w:rFonts w:eastAsiaTheme="minorEastAsia"/>
              <w:noProof/>
              <w:color w:val="000000" w:themeColor="text1"/>
              <w:sz w:val="22"/>
              <w:szCs w:val="22"/>
            </w:rPr>
          </w:pPr>
          <w:hyperlink w:history="1" w:anchor="_Toc225378514">
            <w:r w:rsidRPr="003502E9">
              <w:rPr>
                <w:rStyle w:val="Hyperlink"/>
                <w:rFonts w:ascii="Arial" w:hAnsi="Arial" w:cs="Arial"/>
                <w:b/>
                <w:bCs/>
                <w:i/>
                <w:iCs/>
                <w:noProof/>
                <w:color w:val="000000" w:themeColor="text1"/>
                <w:sz w:val="22"/>
                <w:szCs w:val="22"/>
              </w:rPr>
              <w:t>3.4 PRISMA Process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14</w:t>
            </w:r>
            <w:r w:rsidRPr="003502E9">
              <w:rPr>
                <w:noProof/>
                <w:webHidden/>
                <w:color w:val="000000" w:themeColor="text1"/>
                <w:sz w:val="22"/>
                <w:szCs w:val="22"/>
              </w:rPr>
              <w:fldChar w:fldCharType="end"/>
            </w:r>
          </w:hyperlink>
        </w:p>
        <w:p w:rsidRPr="003502E9" w:rsidR="003502E9" w:rsidP="003502E9" w:rsidRDefault="003502E9" w14:paraId="180D4057" w14:textId="6540A4EF">
          <w:pPr>
            <w:pStyle w:val="TOC2"/>
            <w:tabs>
              <w:tab w:val="right" w:leader="dot" w:pos="9350"/>
            </w:tabs>
            <w:spacing w:line="360" w:lineRule="auto"/>
            <w:rPr>
              <w:rFonts w:eastAsiaTheme="minorEastAsia"/>
              <w:noProof/>
              <w:color w:val="000000" w:themeColor="text1"/>
              <w:sz w:val="22"/>
              <w:szCs w:val="22"/>
            </w:rPr>
          </w:pPr>
          <w:hyperlink w:history="1" w:anchor="_Toc225378515">
            <w:r w:rsidRPr="003502E9">
              <w:rPr>
                <w:rStyle w:val="Hyperlink"/>
                <w:rFonts w:ascii="Arial" w:hAnsi="Arial" w:cs="Arial"/>
                <w:b/>
                <w:bCs/>
                <w:i/>
                <w:iCs/>
                <w:noProof/>
                <w:color w:val="000000" w:themeColor="text1"/>
                <w:sz w:val="22"/>
                <w:szCs w:val="22"/>
              </w:rPr>
              <w:t>3.5 Data Analysis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15</w:t>
            </w:r>
            <w:r w:rsidRPr="003502E9">
              <w:rPr>
                <w:noProof/>
                <w:webHidden/>
                <w:color w:val="000000" w:themeColor="text1"/>
                <w:sz w:val="22"/>
                <w:szCs w:val="22"/>
              </w:rPr>
              <w:fldChar w:fldCharType="end"/>
            </w:r>
          </w:hyperlink>
        </w:p>
        <w:p w:rsidRPr="003502E9" w:rsidR="003502E9" w:rsidP="003502E9" w:rsidRDefault="003502E9" w14:paraId="4F6A16DB" w14:textId="4C01391E">
          <w:pPr>
            <w:pStyle w:val="TOC2"/>
            <w:tabs>
              <w:tab w:val="right" w:leader="dot" w:pos="9350"/>
            </w:tabs>
            <w:spacing w:line="360" w:lineRule="auto"/>
            <w:rPr>
              <w:rFonts w:eastAsiaTheme="minorEastAsia"/>
              <w:noProof/>
              <w:color w:val="000000" w:themeColor="text1"/>
              <w:sz w:val="22"/>
              <w:szCs w:val="22"/>
            </w:rPr>
          </w:pPr>
          <w:hyperlink w:history="1" w:anchor="_Toc225378516">
            <w:r w:rsidRPr="003502E9">
              <w:rPr>
                <w:rStyle w:val="Hyperlink"/>
                <w:rFonts w:ascii="Arial" w:hAnsi="Arial" w:cs="Arial"/>
                <w:b/>
                <w:bCs/>
                <w:i/>
                <w:iCs/>
                <w:noProof/>
                <w:color w:val="000000" w:themeColor="text1"/>
                <w:sz w:val="22"/>
                <w:szCs w:val="22"/>
              </w:rPr>
              <w:t>3.6 Ethical Considerations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15</w:t>
            </w:r>
            <w:r w:rsidRPr="003502E9">
              <w:rPr>
                <w:noProof/>
                <w:webHidden/>
                <w:color w:val="000000" w:themeColor="text1"/>
                <w:sz w:val="22"/>
                <w:szCs w:val="22"/>
              </w:rPr>
              <w:fldChar w:fldCharType="end"/>
            </w:r>
          </w:hyperlink>
        </w:p>
        <w:p w:rsidRPr="003502E9" w:rsidR="003502E9" w:rsidP="003502E9" w:rsidRDefault="003502E9" w14:paraId="33FBB3D0" w14:textId="1D65EAC9">
          <w:pPr>
            <w:pStyle w:val="TOC2"/>
            <w:tabs>
              <w:tab w:val="right" w:leader="dot" w:pos="9350"/>
            </w:tabs>
            <w:spacing w:line="360" w:lineRule="auto"/>
            <w:rPr>
              <w:rFonts w:eastAsiaTheme="minorEastAsia"/>
              <w:noProof/>
              <w:color w:val="000000" w:themeColor="text1"/>
              <w:sz w:val="22"/>
              <w:szCs w:val="22"/>
            </w:rPr>
          </w:pPr>
          <w:hyperlink w:history="1" w:anchor="_Toc225378517">
            <w:r w:rsidRPr="003502E9">
              <w:rPr>
                <w:rStyle w:val="Hyperlink"/>
                <w:rFonts w:ascii="Arial" w:hAnsi="Arial" w:cs="Arial"/>
                <w:b/>
                <w:bCs/>
                <w:i/>
                <w:iCs/>
                <w:noProof/>
                <w:color w:val="000000" w:themeColor="text1"/>
                <w:sz w:val="22"/>
                <w:szCs w:val="22"/>
              </w:rPr>
              <w:t>3.7 Limitations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16</w:t>
            </w:r>
            <w:r w:rsidRPr="003502E9">
              <w:rPr>
                <w:noProof/>
                <w:webHidden/>
                <w:color w:val="000000" w:themeColor="text1"/>
                <w:sz w:val="22"/>
                <w:szCs w:val="22"/>
              </w:rPr>
              <w:fldChar w:fldCharType="end"/>
            </w:r>
          </w:hyperlink>
        </w:p>
        <w:p w:rsidRPr="003502E9" w:rsidR="003502E9" w:rsidP="003502E9" w:rsidRDefault="003502E9" w14:paraId="5A2E0DC0" w14:textId="3E8C9334">
          <w:pPr>
            <w:pStyle w:val="TOC1"/>
            <w:tabs>
              <w:tab w:val="right" w:leader="dot" w:pos="9350"/>
            </w:tabs>
            <w:spacing w:line="360" w:lineRule="auto"/>
            <w:rPr>
              <w:rFonts w:eastAsiaTheme="minorEastAsia"/>
              <w:noProof/>
              <w:color w:val="000000" w:themeColor="text1"/>
              <w:sz w:val="22"/>
              <w:szCs w:val="22"/>
            </w:rPr>
          </w:pPr>
          <w:hyperlink w:history="1" w:anchor="_Toc225378518">
            <w:r w:rsidRPr="003502E9">
              <w:rPr>
                <w:rStyle w:val="Hyperlink"/>
                <w:rFonts w:ascii="Arial" w:hAnsi="Arial" w:cs="Arial"/>
                <w:b/>
                <w:bCs/>
                <w:noProof/>
                <w:color w:val="000000" w:themeColor="text1"/>
                <w:sz w:val="22"/>
                <w:szCs w:val="22"/>
              </w:rPr>
              <w:t>CHAPTER 4: RESULTS &amp; DISCUSSION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17</w:t>
            </w:r>
            <w:r w:rsidRPr="003502E9">
              <w:rPr>
                <w:noProof/>
                <w:webHidden/>
                <w:color w:val="000000" w:themeColor="text1"/>
                <w:sz w:val="22"/>
                <w:szCs w:val="22"/>
              </w:rPr>
              <w:fldChar w:fldCharType="end"/>
            </w:r>
          </w:hyperlink>
        </w:p>
        <w:p w:rsidRPr="003502E9" w:rsidR="003502E9" w:rsidP="003502E9" w:rsidRDefault="003502E9" w14:paraId="33D25AC3" w14:textId="14EF4AB6">
          <w:pPr>
            <w:pStyle w:val="TOC2"/>
            <w:tabs>
              <w:tab w:val="right" w:leader="dot" w:pos="9350"/>
            </w:tabs>
            <w:spacing w:line="360" w:lineRule="auto"/>
            <w:rPr>
              <w:rFonts w:eastAsiaTheme="minorEastAsia"/>
              <w:noProof/>
              <w:color w:val="000000" w:themeColor="text1"/>
              <w:sz w:val="22"/>
              <w:szCs w:val="22"/>
            </w:rPr>
          </w:pPr>
          <w:hyperlink w:history="1" w:anchor="_Toc225378519">
            <w:r w:rsidRPr="003502E9">
              <w:rPr>
                <w:rStyle w:val="Hyperlink"/>
                <w:rFonts w:ascii="Arial" w:hAnsi="Arial" w:cs="Arial"/>
                <w:b/>
                <w:bCs/>
                <w:i/>
                <w:iCs/>
                <w:noProof/>
                <w:color w:val="000000" w:themeColor="text1"/>
                <w:sz w:val="22"/>
                <w:szCs w:val="22"/>
              </w:rPr>
              <w:t>4.1 Introduction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_Toc225378519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17</w:t>
            </w:r>
            <w:r w:rsidRPr="003502E9">
              <w:rPr>
                <w:noProof/>
                <w:webHidden/>
                <w:color w:val="000000" w:themeColor="text1"/>
                <w:sz w:val="22"/>
                <w:szCs w:val="22"/>
              </w:rPr>
              <w:fldChar w:fldCharType="end"/>
            </w:r>
          </w:hyperlink>
        </w:p>
        <w:p w:rsidRPr="003502E9" w:rsidR="003502E9" w:rsidP="003502E9" w:rsidRDefault="003502E9" w14:paraId="27F0C6C7" w14:textId="37BD60E8">
          <w:pPr>
            <w:pStyle w:val="TOC2"/>
            <w:tabs>
              <w:tab w:val="right" w:leader="dot" w:pos="9350"/>
            </w:tabs>
            <w:spacing w:line="360" w:lineRule="auto"/>
            <w:rPr>
              <w:rFonts w:eastAsiaTheme="minorEastAsia"/>
              <w:noProof/>
              <w:color w:val="000000" w:themeColor="text1"/>
              <w:sz w:val="22"/>
              <w:szCs w:val="22"/>
            </w:rPr>
          </w:pPr>
          <w:hyperlink w:history="1" w:anchor="_Toc225378520">
            <w:r w:rsidRPr="003502E9">
              <w:rPr>
                <w:rStyle w:val="Hyperlink"/>
                <w:rFonts w:ascii="Arial" w:hAnsi="Arial" w:cs="Arial"/>
                <w:b/>
                <w:bCs/>
                <w:i/>
                <w:iCs/>
                <w:noProof/>
                <w:color w:val="000000" w:themeColor="text1"/>
                <w:sz w:val="22"/>
                <w:szCs w:val="22"/>
              </w:rPr>
              <w:t>4.2 Theme 1: Emotional Support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17</w:t>
            </w:r>
            <w:r w:rsidRPr="003502E9">
              <w:rPr>
                <w:noProof/>
                <w:webHidden/>
                <w:color w:val="000000" w:themeColor="text1"/>
                <w:sz w:val="22"/>
                <w:szCs w:val="22"/>
              </w:rPr>
              <w:fldChar w:fldCharType="end"/>
            </w:r>
          </w:hyperlink>
        </w:p>
        <w:p w:rsidRPr="003502E9" w:rsidR="003502E9" w:rsidP="003502E9" w:rsidRDefault="003502E9" w14:paraId="5B069543" w14:textId="41763085">
          <w:pPr>
            <w:pStyle w:val="TOC3"/>
            <w:tabs>
              <w:tab w:val="right" w:leader="dot" w:pos="9350"/>
            </w:tabs>
            <w:spacing w:line="360" w:lineRule="auto"/>
            <w:rPr>
              <w:rFonts w:eastAsiaTheme="minorEastAsia"/>
              <w:noProof/>
              <w:color w:val="000000" w:themeColor="text1"/>
              <w:sz w:val="22"/>
              <w:szCs w:val="22"/>
            </w:rPr>
          </w:pPr>
          <w:hyperlink w:history="1" w:anchor="_Toc225378521">
            <w:r w:rsidRPr="003502E9">
              <w:rPr>
                <w:rStyle w:val="Hyperlink"/>
                <w:rFonts w:ascii="Arial" w:hAnsi="Arial" w:cs="Arial"/>
                <w:i/>
                <w:iCs/>
                <w:noProof/>
                <w:color w:val="000000" w:themeColor="text1"/>
                <w:sz w:val="22"/>
                <w:szCs w:val="22"/>
              </w:rPr>
              <w:t>4.2.1 Emotional Support and Psychological Wellbeing</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17</w:t>
            </w:r>
            <w:r w:rsidRPr="003502E9">
              <w:rPr>
                <w:noProof/>
                <w:webHidden/>
                <w:color w:val="000000" w:themeColor="text1"/>
                <w:sz w:val="22"/>
                <w:szCs w:val="22"/>
              </w:rPr>
              <w:fldChar w:fldCharType="end"/>
            </w:r>
          </w:hyperlink>
        </w:p>
        <w:p w:rsidRPr="003502E9" w:rsidR="003502E9" w:rsidP="003502E9" w:rsidRDefault="003502E9" w14:paraId="2699046E" w14:textId="490FBD6A">
          <w:pPr>
            <w:pStyle w:val="TOC3"/>
            <w:tabs>
              <w:tab w:val="right" w:leader="dot" w:pos="9350"/>
            </w:tabs>
            <w:spacing w:line="360" w:lineRule="auto"/>
            <w:rPr>
              <w:rFonts w:eastAsiaTheme="minorEastAsia"/>
              <w:noProof/>
              <w:color w:val="000000" w:themeColor="text1"/>
              <w:sz w:val="22"/>
              <w:szCs w:val="22"/>
            </w:rPr>
          </w:pPr>
          <w:hyperlink w:history="1" w:anchor="_Toc225378522">
            <w:r w:rsidRPr="003502E9">
              <w:rPr>
                <w:rStyle w:val="Hyperlink"/>
                <w:rFonts w:ascii="Arial" w:hAnsi="Arial" w:cs="Arial"/>
                <w:i/>
                <w:iCs/>
                <w:noProof/>
                <w:color w:val="000000" w:themeColor="text1"/>
                <w:sz w:val="22"/>
                <w:szCs w:val="22"/>
              </w:rPr>
              <w:t>4.2.2 Reduction of Isolation and Emotional Regulation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17</w:t>
            </w:r>
            <w:r w:rsidRPr="003502E9">
              <w:rPr>
                <w:noProof/>
                <w:webHidden/>
                <w:color w:val="000000" w:themeColor="text1"/>
                <w:sz w:val="22"/>
                <w:szCs w:val="22"/>
              </w:rPr>
              <w:fldChar w:fldCharType="end"/>
            </w:r>
          </w:hyperlink>
        </w:p>
        <w:p w:rsidRPr="003502E9" w:rsidR="003502E9" w:rsidP="003502E9" w:rsidRDefault="003502E9" w14:paraId="574BC8AD" w14:textId="3517F2DF">
          <w:pPr>
            <w:pStyle w:val="TOC3"/>
            <w:tabs>
              <w:tab w:val="right" w:leader="dot" w:pos="9350"/>
            </w:tabs>
            <w:spacing w:line="360" w:lineRule="auto"/>
            <w:rPr>
              <w:rFonts w:eastAsiaTheme="minorEastAsia"/>
              <w:noProof/>
              <w:color w:val="000000" w:themeColor="text1"/>
              <w:sz w:val="22"/>
              <w:szCs w:val="22"/>
            </w:rPr>
          </w:pPr>
          <w:hyperlink w:history="1" w:anchor="_Toc225378523">
            <w:r w:rsidRPr="003502E9">
              <w:rPr>
                <w:rStyle w:val="Hyperlink"/>
                <w:rFonts w:asciiTheme="minorBidi" w:hAnsiTheme="minorBidi"/>
                <w:i/>
                <w:iCs/>
                <w:noProof/>
                <w:color w:val="000000" w:themeColor="text1"/>
                <w:sz w:val="22"/>
                <w:szCs w:val="22"/>
              </w:rPr>
              <w:t>4.2.3 Emotional Support and Recovery Outcomes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18</w:t>
            </w:r>
            <w:r w:rsidRPr="003502E9">
              <w:rPr>
                <w:noProof/>
                <w:webHidden/>
                <w:color w:val="000000" w:themeColor="text1"/>
                <w:sz w:val="22"/>
                <w:szCs w:val="22"/>
              </w:rPr>
              <w:fldChar w:fldCharType="end"/>
            </w:r>
          </w:hyperlink>
        </w:p>
        <w:p w:rsidRPr="003502E9" w:rsidR="003502E9" w:rsidP="003502E9" w:rsidRDefault="003502E9" w14:paraId="115E7116" w14:textId="4188D587">
          <w:pPr>
            <w:pStyle w:val="TOC3"/>
            <w:tabs>
              <w:tab w:val="right" w:leader="dot" w:pos="9350"/>
            </w:tabs>
            <w:spacing w:line="360" w:lineRule="auto"/>
            <w:rPr>
              <w:rFonts w:eastAsiaTheme="minorEastAsia"/>
              <w:noProof/>
              <w:color w:val="000000" w:themeColor="text1"/>
              <w:sz w:val="22"/>
              <w:szCs w:val="22"/>
            </w:rPr>
          </w:pPr>
          <w:hyperlink w:history="1" w:anchor="_Toc225378524">
            <w:r w:rsidRPr="003502E9">
              <w:rPr>
                <w:rStyle w:val="Hyperlink"/>
                <w:rFonts w:asciiTheme="minorBidi" w:hAnsiTheme="minorBidi"/>
                <w:i/>
                <w:iCs/>
                <w:noProof/>
                <w:color w:val="000000" w:themeColor="text1"/>
                <w:sz w:val="22"/>
                <w:szCs w:val="22"/>
              </w:rPr>
              <w:t>4.2.4 Engagement with Mental Health Services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18</w:t>
            </w:r>
            <w:r w:rsidRPr="003502E9">
              <w:rPr>
                <w:noProof/>
                <w:webHidden/>
                <w:color w:val="000000" w:themeColor="text1"/>
                <w:sz w:val="22"/>
                <w:szCs w:val="22"/>
              </w:rPr>
              <w:fldChar w:fldCharType="end"/>
            </w:r>
          </w:hyperlink>
        </w:p>
        <w:p w:rsidRPr="003502E9" w:rsidR="003502E9" w:rsidP="003502E9" w:rsidRDefault="003502E9" w14:paraId="6F252378" w14:textId="42993F42">
          <w:pPr>
            <w:pStyle w:val="TOC3"/>
            <w:tabs>
              <w:tab w:val="right" w:leader="dot" w:pos="9350"/>
            </w:tabs>
            <w:spacing w:line="360" w:lineRule="auto"/>
            <w:rPr>
              <w:rFonts w:eastAsiaTheme="minorEastAsia"/>
              <w:noProof/>
              <w:color w:val="000000" w:themeColor="text1"/>
              <w:sz w:val="22"/>
              <w:szCs w:val="22"/>
            </w:rPr>
          </w:pPr>
          <w:hyperlink w:history="1" w:anchor="_Toc225378525">
            <w:r w:rsidRPr="003502E9">
              <w:rPr>
                <w:rStyle w:val="Hyperlink"/>
                <w:rFonts w:asciiTheme="minorBidi" w:hAnsiTheme="minorBidi"/>
                <w:i/>
                <w:iCs/>
                <w:noProof/>
                <w:color w:val="000000" w:themeColor="text1"/>
                <w:sz w:val="22"/>
                <w:szCs w:val="22"/>
              </w:rPr>
              <w:t>4.2.5 Limitations of Emotional Support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18</w:t>
            </w:r>
            <w:r w:rsidRPr="003502E9">
              <w:rPr>
                <w:noProof/>
                <w:webHidden/>
                <w:color w:val="000000" w:themeColor="text1"/>
                <w:sz w:val="22"/>
                <w:szCs w:val="22"/>
              </w:rPr>
              <w:fldChar w:fldCharType="end"/>
            </w:r>
          </w:hyperlink>
        </w:p>
        <w:p w:rsidRPr="003502E9" w:rsidR="003502E9" w:rsidP="003502E9" w:rsidRDefault="003502E9" w14:paraId="7ECEA18F" w14:textId="416F024E">
          <w:pPr>
            <w:pStyle w:val="TOC2"/>
            <w:tabs>
              <w:tab w:val="right" w:leader="dot" w:pos="9350"/>
            </w:tabs>
            <w:spacing w:line="360" w:lineRule="auto"/>
            <w:rPr>
              <w:rFonts w:eastAsiaTheme="minorEastAsia"/>
              <w:noProof/>
              <w:color w:val="000000" w:themeColor="text1"/>
              <w:sz w:val="22"/>
              <w:szCs w:val="22"/>
            </w:rPr>
          </w:pPr>
          <w:hyperlink w:history="1" w:anchor="_Toc225378526">
            <w:r w:rsidRPr="003502E9">
              <w:rPr>
                <w:rStyle w:val="Hyperlink"/>
                <w:rFonts w:ascii="Arial" w:hAnsi="Arial" w:cs="Arial"/>
                <w:b/>
                <w:bCs/>
                <w:i/>
                <w:iCs/>
                <w:noProof/>
                <w:color w:val="000000" w:themeColor="text1"/>
                <w:sz w:val="22"/>
                <w:szCs w:val="22"/>
              </w:rPr>
              <w:t>4.3 Theme 2: Practical Support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19</w:t>
            </w:r>
            <w:r w:rsidRPr="003502E9">
              <w:rPr>
                <w:noProof/>
                <w:webHidden/>
                <w:color w:val="000000" w:themeColor="text1"/>
                <w:sz w:val="22"/>
                <w:szCs w:val="22"/>
              </w:rPr>
              <w:fldChar w:fldCharType="end"/>
            </w:r>
          </w:hyperlink>
        </w:p>
        <w:p w:rsidRPr="003502E9" w:rsidR="003502E9" w:rsidP="003502E9" w:rsidRDefault="003502E9" w14:paraId="5818EB9A" w14:textId="699DC9B5">
          <w:pPr>
            <w:pStyle w:val="TOC3"/>
            <w:tabs>
              <w:tab w:val="right" w:leader="dot" w:pos="9350"/>
            </w:tabs>
            <w:spacing w:line="360" w:lineRule="auto"/>
            <w:rPr>
              <w:rFonts w:eastAsiaTheme="minorEastAsia"/>
              <w:noProof/>
              <w:color w:val="000000" w:themeColor="text1"/>
              <w:sz w:val="22"/>
              <w:szCs w:val="22"/>
            </w:rPr>
          </w:pPr>
          <w:hyperlink w:history="1" w:anchor="_Toc225378527">
            <w:r w:rsidRPr="003502E9">
              <w:rPr>
                <w:rStyle w:val="Hyperlink"/>
                <w:rFonts w:ascii="Arial" w:hAnsi="Arial" w:cs="Arial"/>
                <w:i/>
                <w:iCs/>
                <w:noProof/>
                <w:color w:val="000000" w:themeColor="text1"/>
                <w:sz w:val="22"/>
                <w:szCs w:val="22"/>
              </w:rPr>
              <w:t>4.3.1 Practical Support and Daily Functioning</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19</w:t>
            </w:r>
            <w:r w:rsidRPr="003502E9">
              <w:rPr>
                <w:noProof/>
                <w:webHidden/>
                <w:color w:val="000000" w:themeColor="text1"/>
                <w:sz w:val="22"/>
                <w:szCs w:val="22"/>
              </w:rPr>
              <w:fldChar w:fldCharType="end"/>
            </w:r>
          </w:hyperlink>
        </w:p>
        <w:p w:rsidRPr="003502E9" w:rsidR="003502E9" w:rsidP="003502E9" w:rsidRDefault="003502E9" w14:paraId="4F134823" w14:textId="4D02EF8F">
          <w:pPr>
            <w:pStyle w:val="TOC3"/>
            <w:tabs>
              <w:tab w:val="right" w:leader="dot" w:pos="9350"/>
            </w:tabs>
            <w:spacing w:line="360" w:lineRule="auto"/>
            <w:rPr>
              <w:rFonts w:eastAsiaTheme="minorEastAsia"/>
              <w:noProof/>
              <w:color w:val="000000" w:themeColor="text1"/>
              <w:sz w:val="22"/>
              <w:szCs w:val="22"/>
            </w:rPr>
          </w:pPr>
          <w:hyperlink w:history="1" w:anchor="_Toc225378528">
            <w:r w:rsidRPr="003502E9">
              <w:rPr>
                <w:rStyle w:val="Hyperlink"/>
                <w:rFonts w:asciiTheme="minorBidi" w:hAnsiTheme="minorBidi"/>
                <w:i/>
                <w:iCs/>
                <w:noProof/>
                <w:color w:val="000000" w:themeColor="text1"/>
                <w:sz w:val="22"/>
                <w:szCs w:val="22"/>
              </w:rPr>
              <w:t>4.3.2 Medication Adherence</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19</w:t>
            </w:r>
            <w:r w:rsidRPr="003502E9">
              <w:rPr>
                <w:noProof/>
                <w:webHidden/>
                <w:color w:val="000000" w:themeColor="text1"/>
                <w:sz w:val="22"/>
                <w:szCs w:val="22"/>
              </w:rPr>
              <w:fldChar w:fldCharType="end"/>
            </w:r>
          </w:hyperlink>
        </w:p>
        <w:p w:rsidRPr="003502E9" w:rsidR="003502E9" w:rsidP="003502E9" w:rsidRDefault="003502E9" w14:paraId="31C354B6" w14:textId="7E069EC7">
          <w:pPr>
            <w:pStyle w:val="TOC3"/>
            <w:tabs>
              <w:tab w:val="right" w:leader="dot" w:pos="9350"/>
            </w:tabs>
            <w:spacing w:line="360" w:lineRule="auto"/>
            <w:rPr>
              <w:rFonts w:eastAsiaTheme="minorEastAsia"/>
              <w:noProof/>
              <w:color w:val="000000" w:themeColor="text1"/>
              <w:sz w:val="22"/>
              <w:szCs w:val="22"/>
            </w:rPr>
          </w:pPr>
          <w:hyperlink w:history="1" w:anchor="_Toc225378529">
            <w:r w:rsidRPr="003502E9">
              <w:rPr>
                <w:rStyle w:val="Hyperlink"/>
                <w:rFonts w:asciiTheme="minorBidi" w:hAnsiTheme="minorBidi"/>
                <w:i/>
                <w:iCs/>
                <w:noProof/>
                <w:color w:val="000000" w:themeColor="text1"/>
                <w:sz w:val="22"/>
                <w:szCs w:val="22"/>
              </w:rPr>
              <w:t>4.3.3 Relapse Prevention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_Toc225378529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19</w:t>
            </w:r>
            <w:r w:rsidRPr="003502E9">
              <w:rPr>
                <w:noProof/>
                <w:webHidden/>
                <w:color w:val="000000" w:themeColor="text1"/>
                <w:sz w:val="22"/>
                <w:szCs w:val="22"/>
              </w:rPr>
              <w:fldChar w:fldCharType="end"/>
            </w:r>
          </w:hyperlink>
        </w:p>
        <w:p w:rsidRPr="003502E9" w:rsidR="003502E9" w:rsidP="003502E9" w:rsidRDefault="003502E9" w14:paraId="2D959678" w14:textId="0CE5EF8F">
          <w:pPr>
            <w:pStyle w:val="TOC3"/>
            <w:tabs>
              <w:tab w:val="right" w:leader="dot" w:pos="9350"/>
            </w:tabs>
            <w:spacing w:line="360" w:lineRule="auto"/>
            <w:rPr>
              <w:rFonts w:eastAsiaTheme="minorEastAsia"/>
              <w:noProof/>
              <w:color w:val="000000" w:themeColor="text1"/>
              <w:sz w:val="22"/>
              <w:szCs w:val="22"/>
            </w:rPr>
          </w:pPr>
          <w:hyperlink w:history="1" w:anchor="_Toc225378530">
            <w:r w:rsidRPr="003502E9">
              <w:rPr>
                <w:rStyle w:val="Hyperlink"/>
                <w:rFonts w:asciiTheme="minorBidi" w:hAnsiTheme="minorBidi"/>
                <w:i/>
                <w:iCs/>
                <w:noProof/>
                <w:color w:val="000000" w:themeColor="text1"/>
                <w:sz w:val="22"/>
                <w:szCs w:val="22"/>
              </w:rPr>
              <w:t>4.3.4 Support in Daily Living Activities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19</w:t>
            </w:r>
            <w:r w:rsidRPr="003502E9">
              <w:rPr>
                <w:noProof/>
                <w:webHidden/>
                <w:color w:val="000000" w:themeColor="text1"/>
                <w:sz w:val="22"/>
                <w:szCs w:val="22"/>
              </w:rPr>
              <w:fldChar w:fldCharType="end"/>
            </w:r>
          </w:hyperlink>
        </w:p>
        <w:p w:rsidRPr="003502E9" w:rsidR="003502E9" w:rsidP="003502E9" w:rsidRDefault="003502E9" w14:paraId="5EBA56F4" w14:textId="3BC09B9F">
          <w:pPr>
            <w:pStyle w:val="TOC3"/>
            <w:tabs>
              <w:tab w:val="right" w:leader="dot" w:pos="9350"/>
            </w:tabs>
            <w:spacing w:line="360" w:lineRule="auto"/>
            <w:rPr>
              <w:rFonts w:eastAsiaTheme="minorEastAsia"/>
              <w:noProof/>
              <w:color w:val="000000" w:themeColor="text1"/>
              <w:sz w:val="22"/>
              <w:szCs w:val="22"/>
            </w:rPr>
          </w:pPr>
          <w:hyperlink w:history="1" w:anchor="_Toc225378531">
            <w:r w:rsidRPr="003502E9">
              <w:rPr>
                <w:rStyle w:val="Hyperlink"/>
                <w:rFonts w:asciiTheme="minorBidi" w:hAnsiTheme="minorBidi"/>
                <w:i/>
                <w:iCs/>
                <w:noProof/>
                <w:color w:val="000000" w:themeColor="text1"/>
                <w:sz w:val="22"/>
                <w:szCs w:val="22"/>
              </w:rPr>
              <w:t>4.3.5 Engagement with Mental Health Services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20</w:t>
            </w:r>
            <w:r w:rsidRPr="003502E9">
              <w:rPr>
                <w:noProof/>
                <w:webHidden/>
                <w:color w:val="000000" w:themeColor="text1"/>
                <w:sz w:val="22"/>
                <w:szCs w:val="22"/>
              </w:rPr>
              <w:fldChar w:fldCharType="end"/>
            </w:r>
          </w:hyperlink>
        </w:p>
        <w:p w:rsidRPr="003502E9" w:rsidR="003502E9" w:rsidP="003502E9" w:rsidRDefault="003502E9" w14:paraId="2DA6B4EB" w14:textId="2AC1F223">
          <w:pPr>
            <w:pStyle w:val="TOC3"/>
            <w:tabs>
              <w:tab w:val="right" w:leader="dot" w:pos="9350"/>
            </w:tabs>
            <w:spacing w:line="360" w:lineRule="auto"/>
            <w:rPr>
              <w:rFonts w:eastAsiaTheme="minorEastAsia"/>
              <w:noProof/>
              <w:color w:val="000000" w:themeColor="text1"/>
              <w:sz w:val="22"/>
              <w:szCs w:val="22"/>
            </w:rPr>
          </w:pPr>
          <w:hyperlink w:history="1" w:anchor="_Toc225378532">
            <w:r w:rsidRPr="003502E9">
              <w:rPr>
                <w:rStyle w:val="Hyperlink"/>
                <w:rFonts w:asciiTheme="minorBidi" w:hAnsiTheme="minorBidi"/>
                <w:i/>
                <w:iCs/>
                <w:noProof/>
                <w:color w:val="000000" w:themeColor="text1"/>
                <w:sz w:val="22"/>
                <w:szCs w:val="22"/>
              </w:rPr>
              <w:t>4.3.6 Caregiver Burden and Challenges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20</w:t>
            </w:r>
            <w:r w:rsidRPr="003502E9">
              <w:rPr>
                <w:noProof/>
                <w:webHidden/>
                <w:color w:val="000000" w:themeColor="text1"/>
                <w:sz w:val="22"/>
                <w:szCs w:val="22"/>
              </w:rPr>
              <w:fldChar w:fldCharType="end"/>
            </w:r>
          </w:hyperlink>
        </w:p>
        <w:p w:rsidRPr="003502E9" w:rsidR="003502E9" w:rsidP="003502E9" w:rsidRDefault="003502E9" w14:paraId="6F7772E3" w14:textId="6CDD39CB">
          <w:pPr>
            <w:pStyle w:val="TOC3"/>
            <w:tabs>
              <w:tab w:val="right" w:leader="dot" w:pos="9350"/>
            </w:tabs>
            <w:spacing w:line="360" w:lineRule="auto"/>
            <w:rPr>
              <w:rFonts w:eastAsiaTheme="minorEastAsia"/>
              <w:noProof/>
              <w:color w:val="000000" w:themeColor="text1"/>
              <w:sz w:val="22"/>
              <w:szCs w:val="22"/>
            </w:rPr>
          </w:pPr>
          <w:hyperlink w:history="1" w:anchor="_Toc225378533">
            <w:r w:rsidRPr="003502E9">
              <w:rPr>
                <w:rStyle w:val="Hyperlink"/>
                <w:rFonts w:asciiTheme="minorBidi" w:hAnsiTheme="minorBidi"/>
                <w:i/>
                <w:iCs/>
                <w:noProof/>
                <w:color w:val="000000" w:themeColor="text1"/>
                <w:sz w:val="22"/>
                <w:szCs w:val="22"/>
              </w:rPr>
              <w:t>4.3.7 Knowledge and Awareness of Families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20</w:t>
            </w:r>
            <w:r w:rsidRPr="003502E9">
              <w:rPr>
                <w:noProof/>
                <w:webHidden/>
                <w:color w:val="000000" w:themeColor="text1"/>
                <w:sz w:val="22"/>
                <w:szCs w:val="22"/>
              </w:rPr>
              <w:fldChar w:fldCharType="end"/>
            </w:r>
          </w:hyperlink>
        </w:p>
        <w:p w:rsidRPr="003502E9" w:rsidR="003502E9" w:rsidP="003502E9" w:rsidRDefault="003502E9" w14:paraId="547F4E4C" w14:textId="3F9FDC06">
          <w:pPr>
            <w:pStyle w:val="TOC3"/>
            <w:tabs>
              <w:tab w:val="right" w:leader="dot" w:pos="9350"/>
            </w:tabs>
            <w:spacing w:line="360" w:lineRule="auto"/>
            <w:rPr>
              <w:rFonts w:eastAsiaTheme="minorEastAsia"/>
              <w:noProof/>
              <w:color w:val="000000" w:themeColor="text1"/>
              <w:sz w:val="22"/>
              <w:szCs w:val="22"/>
            </w:rPr>
          </w:pPr>
          <w:hyperlink w:history="1" w:anchor="_Toc225378534">
            <w:r w:rsidRPr="003502E9">
              <w:rPr>
                <w:rStyle w:val="Hyperlink"/>
                <w:rFonts w:asciiTheme="minorBidi" w:hAnsiTheme="minorBidi"/>
                <w:i/>
                <w:iCs/>
                <w:noProof/>
                <w:color w:val="000000" w:themeColor="text1"/>
                <w:sz w:val="22"/>
                <w:szCs w:val="22"/>
              </w:rPr>
              <w:t>4.3.8 Overall Importance of Practical Support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20</w:t>
            </w:r>
            <w:r w:rsidRPr="003502E9">
              <w:rPr>
                <w:noProof/>
                <w:webHidden/>
                <w:color w:val="000000" w:themeColor="text1"/>
                <w:sz w:val="22"/>
                <w:szCs w:val="22"/>
              </w:rPr>
              <w:fldChar w:fldCharType="end"/>
            </w:r>
          </w:hyperlink>
        </w:p>
        <w:p w:rsidRPr="003502E9" w:rsidR="003502E9" w:rsidP="003502E9" w:rsidRDefault="003502E9" w14:paraId="32EB9FBD" w14:textId="1879021C">
          <w:pPr>
            <w:pStyle w:val="TOC2"/>
            <w:tabs>
              <w:tab w:val="right" w:leader="dot" w:pos="9350"/>
            </w:tabs>
            <w:spacing w:line="360" w:lineRule="auto"/>
            <w:rPr>
              <w:rFonts w:eastAsiaTheme="minorEastAsia"/>
              <w:noProof/>
              <w:color w:val="000000" w:themeColor="text1"/>
              <w:sz w:val="22"/>
              <w:szCs w:val="22"/>
            </w:rPr>
          </w:pPr>
          <w:hyperlink w:history="1" w:anchor="_Toc225378535">
            <w:r w:rsidRPr="003502E9">
              <w:rPr>
                <w:rStyle w:val="Hyperlink"/>
                <w:rFonts w:ascii="Arial" w:hAnsi="Arial" w:cs="Arial"/>
                <w:b/>
                <w:bCs/>
                <w:i/>
                <w:iCs/>
                <w:noProof/>
                <w:color w:val="000000" w:themeColor="text1"/>
                <w:sz w:val="22"/>
                <w:szCs w:val="22"/>
              </w:rPr>
              <w:t>4.4 Theme 3: Family Advocacy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21</w:t>
            </w:r>
            <w:r w:rsidRPr="003502E9">
              <w:rPr>
                <w:noProof/>
                <w:webHidden/>
                <w:color w:val="000000" w:themeColor="text1"/>
                <w:sz w:val="22"/>
                <w:szCs w:val="22"/>
              </w:rPr>
              <w:fldChar w:fldCharType="end"/>
            </w:r>
          </w:hyperlink>
        </w:p>
        <w:p w:rsidRPr="003502E9" w:rsidR="003502E9" w:rsidP="003502E9" w:rsidRDefault="003502E9" w14:paraId="145BDF3E" w14:textId="00DCD149">
          <w:pPr>
            <w:pStyle w:val="TOC3"/>
            <w:tabs>
              <w:tab w:val="right" w:leader="dot" w:pos="9350"/>
            </w:tabs>
            <w:spacing w:line="360" w:lineRule="auto"/>
            <w:rPr>
              <w:rFonts w:eastAsiaTheme="minorEastAsia"/>
              <w:noProof/>
              <w:color w:val="000000" w:themeColor="text1"/>
              <w:sz w:val="22"/>
              <w:szCs w:val="22"/>
            </w:rPr>
          </w:pPr>
          <w:hyperlink w:history="1" w:anchor="_Toc225378536">
            <w:r w:rsidRPr="003502E9">
              <w:rPr>
                <w:rStyle w:val="Hyperlink"/>
                <w:rFonts w:ascii="Arial" w:hAnsi="Arial" w:cs="Arial"/>
                <w:i/>
                <w:iCs/>
                <w:noProof/>
                <w:color w:val="000000" w:themeColor="text1"/>
                <w:sz w:val="22"/>
                <w:szCs w:val="22"/>
              </w:rPr>
              <w:t>4.4.1 Concept of Family Advocacy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21</w:t>
            </w:r>
            <w:r w:rsidRPr="003502E9">
              <w:rPr>
                <w:noProof/>
                <w:webHidden/>
                <w:color w:val="000000" w:themeColor="text1"/>
                <w:sz w:val="22"/>
                <w:szCs w:val="22"/>
              </w:rPr>
              <w:fldChar w:fldCharType="end"/>
            </w:r>
          </w:hyperlink>
        </w:p>
        <w:p w:rsidRPr="003502E9" w:rsidR="003502E9" w:rsidP="003502E9" w:rsidRDefault="003502E9" w14:paraId="23900F3D" w14:textId="19A2418D">
          <w:pPr>
            <w:pStyle w:val="TOC3"/>
            <w:tabs>
              <w:tab w:val="right" w:leader="dot" w:pos="9350"/>
            </w:tabs>
            <w:spacing w:line="360" w:lineRule="auto"/>
            <w:rPr>
              <w:rFonts w:eastAsiaTheme="minorEastAsia"/>
              <w:noProof/>
              <w:color w:val="000000" w:themeColor="text1"/>
              <w:sz w:val="22"/>
              <w:szCs w:val="22"/>
            </w:rPr>
          </w:pPr>
          <w:hyperlink w:history="1" w:anchor="_Toc225378537">
            <w:r w:rsidRPr="003502E9">
              <w:rPr>
                <w:rStyle w:val="Hyperlink"/>
                <w:rFonts w:asciiTheme="minorBidi" w:hAnsiTheme="minorBidi"/>
                <w:i/>
                <w:iCs/>
                <w:noProof/>
                <w:color w:val="000000" w:themeColor="text1"/>
                <w:sz w:val="22"/>
                <w:szCs w:val="22"/>
              </w:rPr>
              <w:t>4.4.2 Communication and Mediation Role</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21</w:t>
            </w:r>
            <w:r w:rsidRPr="003502E9">
              <w:rPr>
                <w:noProof/>
                <w:webHidden/>
                <w:color w:val="000000" w:themeColor="text1"/>
                <w:sz w:val="22"/>
                <w:szCs w:val="22"/>
              </w:rPr>
              <w:fldChar w:fldCharType="end"/>
            </w:r>
          </w:hyperlink>
        </w:p>
        <w:p w:rsidRPr="003502E9" w:rsidR="003502E9" w:rsidP="003502E9" w:rsidRDefault="003502E9" w14:paraId="68A55619" w14:textId="677DA86A">
          <w:pPr>
            <w:pStyle w:val="TOC3"/>
            <w:tabs>
              <w:tab w:val="right" w:leader="dot" w:pos="9350"/>
            </w:tabs>
            <w:spacing w:line="360" w:lineRule="auto"/>
            <w:rPr>
              <w:rFonts w:eastAsiaTheme="minorEastAsia"/>
              <w:noProof/>
              <w:color w:val="000000" w:themeColor="text1"/>
              <w:sz w:val="22"/>
              <w:szCs w:val="22"/>
            </w:rPr>
          </w:pPr>
          <w:hyperlink w:history="1" w:anchor="_Toc225378538">
            <w:r w:rsidRPr="003502E9">
              <w:rPr>
                <w:rStyle w:val="Hyperlink"/>
                <w:rFonts w:asciiTheme="minorBidi" w:hAnsiTheme="minorBidi"/>
                <w:i/>
                <w:iCs/>
                <w:noProof/>
                <w:color w:val="000000" w:themeColor="text1"/>
                <w:sz w:val="22"/>
                <w:szCs w:val="22"/>
              </w:rPr>
              <w:t>4.4.3 Navigating the NHS System</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21</w:t>
            </w:r>
            <w:r w:rsidRPr="003502E9">
              <w:rPr>
                <w:noProof/>
                <w:webHidden/>
                <w:color w:val="000000" w:themeColor="text1"/>
                <w:sz w:val="22"/>
                <w:szCs w:val="22"/>
              </w:rPr>
              <w:fldChar w:fldCharType="end"/>
            </w:r>
          </w:hyperlink>
        </w:p>
        <w:p w:rsidRPr="003502E9" w:rsidR="003502E9" w:rsidP="003502E9" w:rsidRDefault="003502E9" w14:paraId="29E4ED1A" w14:textId="19F0973E">
          <w:pPr>
            <w:pStyle w:val="TOC3"/>
            <w:tabs>
              <w:tab w:val="right" w:leader="dot" w:pos="9350"/>
            </w:tabs>
            <w:spacing w:line="360" w:lineRule="auto"/>
            <w:rPr>
              <w:rFonts w:eastAsiaTheme="minorEastAsia"/>
              <w:noProof/>
              <w:color w:val="000000" w:themeColor="text1"/>
              <w:sz w:val="22"/>
              <w:szCs w:val="22"/>
            </w:rPr>
          </w:pPr>
          <w:hyperlink w:history="1" w:anchor="_Toc225378539">
            <w:r w:rsidRPr="003502E9">
              <w:rPr>
                <w:rStyle w:val="Hyperlink"/>
                <w:rFonts w:asciiTheme="minorBidi" w:hAnsiTheme="minorBidi"/>
                <w:i/>
                <w:iCs/>
                <w:noProof/>
                <w:color w:val="000000" w:themeColor="text1"/>
                <w:sz w:val="22"/>
                <w:szCs w:val="22"/>
              </w:rPr>
              <w:t>4.4.4 Shared Decision-Making and Empowerment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_Toc225378539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21</w:t>
            </w:r>
            <w:r w:rsidRPr="003502E9">
              <w:rPr>
                <w:noProof/>
                <w:webHidden/>
                <w:color w:val="000000" w:themeColor="text1"/>
                <w:sz w:val="22"/>
                <w:szCs w:val="22"/>
              </w:rPr>
              <w:fldChar w:fldCharType="end"/>
            </w:r>
          </w:hyperlink>
        </w:p>
        <w:p w:rsidRPr="003502E9" w:rsidR="003502E9" w:rsidP="003502E9" w:rsidRDefault="003502E9" w14:paraId="4E68C720" w14:textId="5C844225">
          <w:pPr>
            <w:pStyle w:val="TOC3"/>
            <w:tabs>
              <w:tab w:val="right" w:leader="dot" w:pos="9350"/>
            </w:tabs>
            <w:spacing w:line="360" w:lineRule="auto"/>
            <w:rPr>
              <w:rFonts w:eastAsiaTheme="minorEastAsia"/>
              <w:noProof/>
              <w:color w:val="000000" w:themeColor="text1"/>
              <w:sz w:val="22"/>
              <w:szCs w:val="22"/>
            </w:rPr>
          </w:pPr>
          <w:hyperlink w:history="1" w:anchor="_Toc225378540">
            <w:r w:rsidRPr="003502E9">
              <w:rPr>
                <w:rStyle w:val="Hyperlink"/>
                <w:rFonts w:asciiTheme="minorBidi" w:hAnsiTheme="minorBidi"/>
                <w:i/>
                <w:iCs/>
                <w:noProof/>
                <w:color w:val="000000" w:themeColor="text1"/>
                <w:sz w:val="22"/>
                <w:szCs w:val="22"/>
              </w:rPr>
              <w:t>4.4.5 Continuity of Care</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22</w:t>
            </w:r>
            <w:r w:rsidRPr="003502E9">
              <w:rPr>
                <w:noProof/>
                <w:webHidden/>
                <w:color w:val="000000" w:themeColor="text1"/>
                <w:sz w:val="22"/>
                <w:szCs w:val="22"/>
              </w:rPr>
              <w:fldChar w:fldCharType="end"/>
            </w:r>
          </w:hyperlink>
        </w:p>
        <w:p w:rsidRPr="003502E9" w:rsidR="003502E9" w:rsidP="003502E9" w:rsidRDefault="003502E9" w14:paraId="24ABF7CF" w14:textId="33A66FB3">
          <w:pPr>
            <w:pStyle w:val="TOC3"/>
            <w:tabs>
              <w:tab w:val="right" w:leader="dot" w:pos="9350"/>
            </w:tabs>
            <w:spacing w:line="360" w:lineRule="auto"/>
            <w:rPr>
              <w:rFonts w:eastAsiaTheme="minorEastAsia"/>
              <w:noProof/>
              <w:color w:val="000000" w:themeColor="text1"/>
              <w:sz w:val="22"/>
              <w:szCs w:val="22"/>
            </w:rPr>
          </w:pPr>
          <w:hyperlink w:history="1" w:anchor="_Toc225378541">
            <w:r w:rsidRPr="003502E9">
              <w:rPr>
                <w:rStyle w:val="Hyperlink"/>
                <w:rFonts w:asciiTheme="minorBidi" w:hAnsiTheme="minorBidi"/>
                <w:i/>
                <w:iCs/>
                <w:noProof/>
                <w:color w:val="000000" w:themeColor="text1"/>
                <w:sz w:val="22"/>
                <w:szCs w:val="22"/>
              </w:rPr>
              <w:t>4.4.6 Barriers to Effective Advocacy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22</w:t>
            </w:r>
            <w:r w:rsidRPr="003502E9">
              <w:rPr>
                <w:noProof/>
                <w:webHidden/>
                <w:color w:val="000000" w:themeColor="text1"/>
                <w:sz w:val="22"/>
                <w:szCs w:val="22"/>
              </w:rPr>
              <w:fldChar w:fldCharType="end"/>
            </w:r>
          </w:hyperlink>
        </w:p>
        <w:p w:rsidRPr="003502E9" w:rsidR="003502E9" w:rsidP="003502E9" w:rsidRDefault="003502E9" w14:paraId="744E8A3A" w14:textId="1769FFBC">
          <w:pPr>
            <w:pStyle w:val="TOC3"/>
            <w:tabs>
              <w:tab w:val="right" w:leader="dot" w:pos="9350"/>
            </w:tabs>
            <w:spacing w:line="360" w:lineRule="auto"/>
            <w:rPr>
              <w:rFonts w:eastAsiaTheme="minorEastAsia"/>
              <w:noProof/>
              <w:color w:val="000000" w:themeColor="text1"/>
              <w:sz w:val="22"/>
              <w:szCs w:val="22"/>
            </w:rPr>
          </w:pPr>
          <w:hyperlink w:history="1" w:anchor="_Toc225378542">
            <w:r w:rsidRPr="003502E9">
              <w:rPr>
                <w:rStyle w:val="Hyperlink"/>
                <w:rFonts w:asciiTheme="minorBidi" w:hAnsiTheme="minorBidi"/>
                <w:i/>
                <w:iCs/>
                <w:noProof/>
                <w:color w:val="000000" w:themeColor="text1"/>
                <w:sz w:val="22"/>
                <w:szCs w:val="22"/>
              </w:rPr>
              <w:t>4.4.7 Inequalities in Advocacy Capacity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22</w:t>
            </w:r>
            <w:r w:rsidRPr="003502E9">
              <w:rPr>
                <w:noProof/>
                <w:webHidden/>
                <w:color w:val="000000" w:themeColor="text1"/>
                <w:sz w:val="22"/>
                <w:szCs w:val="22"/>
              </w:rPr>
              <w:fldChar w:fldCharType="end"/>
            </w:r>
          </w:hyperlink>
        </w:p>
        <w:p w:rsidRPr="003502E9" w:rsidR="003502E9" w:rsidP="003502E9" w:rsidRDefault="003502E9" w14:paraId="0419BE99" w14:textId="6DFB9EB6">
          <w:pPr>
            <w:pStyle w:val="TOC3"/>
            <w:tabs>
              <w:tab w:val="right" w:leader="dot" w:pos="9350"/>
            </w:tabs>
            <w:spacing w:line="360" w:lineRule="auto"/>
            <w:rPr>
              <w:rFonts w:eastAsiaTheme="minorEastAsia"/>
              <w:noProof/>
              <w:color w:val="000000" w:themeColor="text1"/>
              <w:sz w:val="22"/>
              <w:szCs w:val="22"/>
            </w:rPr>
          </w:pPr>
          <w:hyperlink w:history="1" w:anchor="_Toc225378543">
            <w:r w:rsidRPr="003502E9">
              <w:rPr>
                <w:rStyle w:val="Hyperlink"/>
                <w:rFonts w:asciiTheme="minorBidi" w:hAnsiTheme="minorBidi"/>
                <w:i/>
                <w:iCs/>
                <w:noProof/>
                <w:color w:val="000000" w:themeColor="text1"/>
                <w:sz w:val="22"/>
                <w:szCs w:val="22"/>
              </w:rPr>
              <w:t>4.4.8 Overall Importance of Family Advocacy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22</w:t>
            </w:r>
            <w:r w:rsidRPr="003502E9">
              <w:rPr>
                <w:noProof/>
                <w:webHidden/>
                <w:color w:val="000000" w:themeColor="text1"/>
                <w:sz w:val="22"/>
                <w:szCs w:val="22"/>
              </w:rPr>
              <w:fldChar w:fldCharType="end"/>
            </w:r>
          </w:hyperlink>
        </w:p>
        <w:p w:rsidRPr="003502E9" w:rsidR="003502E9" w:rsidP="003502E9" w:rsidRDefault="003502E9" w14:paraId="6AB199DE" w14:textId="72BB3E76">
          <w:pPr>
            <w:pStyle w:val="TOC2"/>
            <w:tabs>
              <w:tab w:val="right" w:leader="dot" w:pos="9350"/>
            </w:tabs>
            <w:spacing w:line="360" w:lineRule="auto"/>
            <w:rPr>
              <w:rFonts w:eastAsiaTheme="minorEastAsia"/>
              <w:noProof/>
              <w:color w:val="000000" w:themeColor="text1"/>
              <w:sz w:val="22"/>
              <w:szCs w:val="22"/>
            </w:rPr>
          </w:pPr>
          <w:hyperlink w:history="1" w:anchor="_Toc225378544">
            <w:r w:rsidRPr="003502E9">
              <w:rPr>
                <w:rStyle w:val="Hyperlink"/>
                <w:rFonts w:ascii="Arial" w:hAnsi="Arial" w:cs="Arial"/>
                <w:b/>
                <w:bCs/>
                <w:i/>
                <w:iCs/>
                <w:noProof/>
                <w:color w:val="000000" w:themeColor="text1"/>
                <w:sz w:val="22"/>
                <w:szCs w:val="22"/>
              </w:rPr>
              <w:t>4.5 Theme 4: Barriers to Family Involvement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23</w:t>
            </w:r>
            <w:r w:rsidRPr="003502E9">
              <w:rPr>
                <w:noProof/>
                <w:webHidden/>
                <w:color w:val="000000" w:themeColor="text1"/>
                <w:sz w:val="22"/>
                <w:szCs w:val="22"/>
              </w:rPr>
              <w:fldChar w:fldCharType="end"/>
            </w:r>
          </w:hyperlink>
        </w:p>
        <w:p w:rsidRPr="003502E9" w:rsidR="003502E9" w:rsidP="003502E9" w:rsidRDefault="003502E9" w14:paraId="3A68D2E2" w14:textId="173AE264">
          <w:pPr>
            <w:pStyle w:val="TOC3"/>
            <w:tabs>
              <w:tab w:val="right" w:leader="dot" w:pos="9350"/>
            </w:tabs>
            <w:spacing w:line="360" w:lineRule="auto"/>
            <w:rPr>
              <w:rFonts w:eastAsiaTheme="minorEastAsia"/>
              <w:noProof/>
              <w:color w:val="000000" w:themeColor="text1"/>
              <w:sz w:val="22"/>
              <w:szCs w:val="22"/>
            </w:rPr>
          </w:pPr>
          <w:hyperlink w:history="1" w:anchor="_Toc225378545">
            <w:r w:rsidRPr="003502E9">
              <w:rPr>
                <w:rStyle w:val="Hyperlink"/>
                <w:rFonts w:ascii="Arial" w:hAnsi="Arial" w:cs="Arial"/>
                <w:i/>
                <w:iCs/>
                <w:noProof/>
                <w:color w:val="000000" w:themeColor="text1"/>
                <w:sz w:val="22"/>
                <w:szCs w:val="22"/>
              </w:rPr>
              <w:t>4.5.1 Stigma and Social Barriers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23</w:t>
            </w:r>
            <w:r w:rsidRPr="003502E9">
              <w:rPr>
                <w:noProof/>
                <w:webHidden/>
                <w:color w:val="000000" w:themeColor="text1"/>
                <w:sz w:val="22"/>
                <w:szCs w:val="22"/>
              </w:rPr>
              <w:fldChar w:fldCharType="end"/>
            </w:r>
          </w:hyperlink>
        </w:p>
        <w:p w:rsidRPr="003502E9" w:rsidR="003502E9" w:rsidP="003502E9" w:rsidRDefault="003502E9" w14:paraId="626EFDE5" w14:textId="639A5D65">
          <w:pPr>
            <w:pStyle w:val="TOC3"/>
            <w:tabs>
              <w:tab w:val="right" w:leader="dot" w:pos="9350"/>
            </w:tabs>
            <w:spacing w:line="360" w:lineRule="auto"/>
            <w:rPr>
              <w:rFonts w:eastAsiaTheme="minorEastAsia"/>
              <w:noProof/>
              <w:color w:val="000000" w:themeColor="text1"/>
              <w:sz w:val="22"/>
              <w:szCs w:val="22"/>
            </w:rPr>
          </w:pPr>
          <w:hyperlink w:history="1" w:anchor="_Toc225378546">
            <w:r w:rsidRPr="003502E9">
              <w:rPr>
                <w:rStyle w:val="Hyperlink"/>
                <w:rFonts w:ascii="Arial" w:hAnsi="Arial" w:cs="Arial"/>
                <w:i/>
                <w:iCs/>
                <w:noProof/>
                <w:color w:val="000000" w:themeColor="text1"/>
                <w:sz w:val="22"/>
                <w:szCs w:val="22"/>
              </w:rPr>
              <w:t>4.5.2 Impact of Stigma on Family Engagement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23</w:t>
            </w:r>
            <w:r w:rsidRPr="003502E9">
              <w:rPr>
                <w:noProof/>
                <w:webHidden/>
                <w:color w:val="000000" w:themeColor="text1"/>
                <w:sz w:val="22"/>
                <w:szCs w:val="22"/>
              </w:rPr>
              <w:fldChar w:fldCharType="end"/>
            </w:r>
          </w:hyperlink>
        </w:p>
        <w:p w:rsidRPr="003502E9" w:rsidR="003502E9" w:rsidP="003502E9" w:rsidRDefault="003502E9" w14:paraId="570F1335" w14:textId="2CAC0042">
          <w:pPr>
            <w:pStyle w:val="TOC3"/>
            <w:tabs>
              <w:tab w:val="right" w:leader="dot" w:pos="9350"/>
            </w:tabs>
            <w:spacing w:line="360" w:lineRule="auto"/>
            <w:rPr>
              <w:rFonts w:eastAsiaTheme="minorEastAsia"/>
              <w:noProof/>
              <w:color w:val="000000" w:themeColor="text1"/>
              <w:sz w:val="22"/>
              <w:szCs w:val="22"/>
            </w:rPr>
          </w:pPr>
          <w:hyperlink w:history="1" w:anchor="_Toc225378547">
            <w:r w:rsidRPr="003502E9">
              <w:rPr>
                <w:rStyle w:val="Hyperlink"/>
                <w:rFonts w:ascii="Arial" w:hAnsi="Arial" w:cs="Arial"/>
                <w:i/>
                <w:iCs/>
                <w:noProof/>
                <w:color w:val="000000" w:themeColor="text1"/>
                <w:sz w:val="22"/>
                <w:szCs w:val="22"/>
              </w:rPr>
              <w:t>4.5.3 Systemic and Communication Barriers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23</w:t>
            </w:r>
            <w:r w:rsidRPr="003502E9">
              <w:rPr>
                <w:noProof/>
                <w:webHidden/>
                <w:color w:val="000000" w:themeColor="text1"/>
                <w:sz w:val="22"/>
                <w:szCs w:val="22"/>
              </w:rPr>
              <w:fldChar w:fldCharType="end"/>
            </w:r>
          </w:hyperlink>
        </w:p>
        <w:p w:rsidRPr="003502E9" w:rsidR="003502E9" w:rsidP="003502E9" w:rsidRDefault="003502E9" w14:paraId="7860A9FF" w14:textId="5D1F1F6C">
          <w:pPr>
            <w:pStyle w:val="TOC3"/>
            <w:tabs>
              <w:tab w:val="right" w:leader="dot" w:pos="9350"/>
            </w:tabs>
            <w:spacing w:line="360" w:lineRule="auto"/>
            <w:rPr>
              <w:rFonts w:eastAsiaTheme="minorEastAsia"/>
              <w:noProof/>
              <w:color w:val="000000" w:themeColor="text1"/>
              <w:sz w:val="22"/>
              <w:szCs w:val="22"/>
            </w:rPr>
          </w:pPr>
          <w:hyperlink w:history="1" w:anchor="_Toc225378548">
            <w:r w:rsidRPr="003502E9">
              <w:rPr>
                <w:rStyle w:val="Hyperlink"/>
                <w:rFonts w:ascii="Arial" w:hAnsi="Arial" w:cs="Arial"/>
                <w:i/>
                <w:iCs/>
                <w:noProof/>
                <w:color w:val="000000" w:themeColor="text1"/>
                <w:sz w:val="22"/>
                <w:szCs w:val="22"/>
              </w:rPr>
              <w:t>4.5.4 Lack of Family Inclusion in Care Planning</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23</w:t>
            </w:r>
            <w:r w:rsidRPr="003502E9">
              <w:rPr>
                <w:noProof/>
                <w:webHidden/>
                <w:color w:val="000000" w:themeColor="text1"/>
                <w:sz w:val="22"/>
                <w:szCs w:val="22"/>
              </w:rPr>
              <w:fldChar w:fldCharType="end"/>
            </w:r>
          </w:hyperlink>
        </w:p>
        <w:p w:rsidRPr="003502E9" w:rsidR="003502E9" w:rsidP="003502E9" w:rsidRDefault="003502E9" w14:paraId="2F66A25C" w14:textId="7D7218FE">
          <w:pPr>
            <w:pStyle w:val="TOC3"/>
            <w:tabs>
              <w:tab w:val="right" w:leader="dot" w:pos="9350"/>
            </w:tabs>
            <w:spacing w:line="360" w:lineRule="auto"/>
            <w:rPr>
              <w:rFonts w:eastAsiaTheme="minorEastAsia"/>
              <w:noProof/>
              <w:color w:val="000000" w:themeColor="text1"/>
              <w:sz w:val="22"/>
              <w:szCs w:val="22"/>
            </w:rPr>
          </w:pPr>
          <w:hyperlink w:history="1" w:anchor="_Toc225378549">
            <w:r w:rsidRPr="003502E9">
              <w:rPr>
                <w:rStyle w:val="Hyperlink"/>
                <w:rFonts w:ascii="Arial" w:hAnsi="Arial" w:cs="Arial"/>
                <w:i/>
                <w:iCs/>
                <w:noProof/>
                <w:color w:val="000000" w:themeColor="text1"/>
                <w:sz w:val="22"/>
                <w:szCs w:val="22"/>
              </w:rPr>
              <w:t>4.5.5 Organisational and Resource Constraints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_Toc225378549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24</w:t>
            </w:r>
            <w:r w:rsidRPr="003502E9">
              <w:rPr>
                <w:noProof/>
                <w:webHidden/>
                <w:color w:val="000000" w:themeColor="text1"/>
                <w:sz w:val="22"/>
                <w:szCs w:val="22"/>
              </w:rPr>
              <w:fldChar w:fldCharType="end"/>
            </w:r>
          </w:hyperlink>
        </w:p>
        <w:p w:rsidRPr="003502E9" w:rsidR="003502E9" w:rsidP="003502E9" w:rsidRDefault="003502E9" w14:paraId="0F6F6DAE" w14:textId="31AC756A">
          <w:pPr>
            <w:pStyle w:val="TOC3"/>
            <w:tabs>
              <w:tab w:val="right" w:leader="dot" w:pos="9350"/>
            </w:tabs>
            <w:spacing w:line="360" w:lineRule="auto"/>
            <w:rPr>
              <w:rFonts w:eastAsiaTheme="minorEastAsia"/>
              <w:noProof/>
              <w:color w:val="000000" w:themeColor="text1"/>
              <w:sz w:val="22"/>
              <w:szCs w:val="22"/>
            </w:rPr>
          </w:pPr>
          <w:hyperlink w:history="1" w:anchor="_Toc225378550">
            <w:r w:rsidRPr="003502E9">
              <w:rPr>
                <w:rStyle w:val="Hyperlink"/>
                <w:rFonts w:ascii="Arial" w:hAnsi="Arial" w:cs="Arial"/>
                <w:i/>
                <w:iCs/>
                <w:noProof/>
                <w:color w:val="000000" w:themeColor="text1"/>
                <w:sz w:val="22"/>
                <w:szCs w:val="22"/>
              </w:rPr>
              <w:t>4.5.6 Policy Practice Gap</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24</w:t>
            </w:r>
            <w:r w:rsidRPr="003502E9">
              <w:rPr>
                <w:noProof/>
                <w:webHidden/>
                <w:color w:val="000000" w:themeColor="text1"/>
                <w:sz w:val="22"/>
                <w:szCs w:val="22"/>
              </w:rPr>
              <w:fldChar w:fldCharType="end"/>
            </w:r>
          </w:hyperlink>
        </w:p>
        <w:p w:rsidRPr="003502E9" w:rsidR="003502E9" w:rsidP="003502E9" w:rsidRDefault="003502E9" w14:paraId="40CF5FE9" w14:textId="52899B8D">
          <w:pPr>
            <w:pStyle w:val="TOC3"/>
            <w:tabs>
              <w:tab w:val="right" w:leader="dot" w:pos="9350"/>
            </w:tabs>
            <w:spacing w:line="360" w:lineRule="auto"/>
            <w:rPr>
              <w:rFonts w:eastAsiaTheme="minorEastAsia"/>
              <w:noProof/>
              <w:color w:val="000000" w:themeColor="text1"/>
              <w:sz w:val="22"/>
              <w:szCs w:val="22"/>
            </w:rPr>
          </w:pPr>
          <w:hyperlink w:history="1" w:anchor="_Toc225378551">
            <w:r w:rsidRPr="003502E9">
              <w:rPr>
                <w:rStyle w:val="Hyperlink"/>
                <w:rFonts w:ascii="Arial" w:hAnsi="Arial" w:cs="Arial"/>
                <w:i/>
                <w:iCs/>
                <w:noProof/>
                <w:color w:val="000000" w:themeColor="text1"/>
                <w:sz w:val="22"/>
                <w:szCs w:val="22"/>
              </w:rPr>
              <w:t>4.5.7 Family Dynamics and Caregiver Burden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24</w:t>
            </w:r>
            <w:r w:rsidRPr="003502E9">
              <w:rPr>
                <w:noProof/>
                <w:webHidden/>
                <w:color w:val="000000" w:themeColor="text1"/>
                <w:sz w:val="22"/>
                <w:szCs w:val="22"/>
              </w:rPr>
              <w:fldChar w:fldCharType="end"/>
            </w:r>
          </w:hyperlink>
        </w:p>
        <w:p w:rsidRPr="003502E9" w:rsidR="003502E9" w:rsidP="003502E9" w:rsidRDefault="003502E9" w14:paraId="6E9F5438" w14:textId="0E08E3A2">
          <w:pPr>
            <w:pStyle w:val="TOC3"/>
            <w:tabs>
              <w:tab w:val="right" w:leader="dot" w:pos="9350"/>
            </w:tabs>
            <w:spacing w:line="360" w:lineRule="auto"/>
            <w:rPr>
              <w:rFonts w:eastAsiaTheme="minorEastAsia"/>
              <w:noProof/>
              <w:color w:val="000000" w:themeColor="text1"/>
              <w:sz w:val="22"/>
              <w:szCs w:val="22"/>
            </w:rPr>
          </w:pPr>
          <w:hyperlink w:history="1" w:anchor="_Toc225378552">
            <w:r w:rsidRPr="003502E9">
              <w:rPr>
                <w:rStyle w:val="Hyperlink"/>
                <w:rFonts w:ascii="Arial" w:hAnsi="Arial" w:cs="Arial"/>
                <w:i/>
                <w:iCs/>
                <w:noProof/>
                <w:color w:val="000000" w:themeColor="text1"/>
                <w:sz w:val="22"/>
                <w:szCs w:val="22"/>
              </w:rPr>
              <w:t>4.5.8 Lack of Knowledge and Training</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24</w:t>
            </w:r>
            <w:r w:rsidRPr="003502E9">
              <w:rPr>
                <w:noProof/>
                <w:webHidden/>
                <w:color w:val="000000" w:themeColor="text1"/>
                <w:sz w:val="22"/>
                <w:szCs w:val="22"/>
              </w:rPr>
              <w:fldChar w:fldCharType="end"/>
            </w:r>
          </w:hyperlink>
        </w:p>
        <w:p w:rsidRPr="003502E9" w:rsidR="003502E9" w:rsidP="003502E9" w:rsidRDefault="003502E9" w14:paraId="716EDBBB" w14:textId="6541202E">
          <w:pPr>
            <w:pStyle w:val="TOC2"/>
            <w:tabs>
              <w:tab w:val="right" w:leader="dot" w:pos="9350"/>
            </w:tabs>
            <w:spacing w:line="360" w:lineRule="auto"/>
            <w:rPr>
              <w:rFonts w:eastAsiaTheme="minorEastAsia"/>
              <w:noProof/>
              <w:color w:val="000000" w:themeColor="text1"/>
              <w:sz w:val="22"/>
              <w:szCs w:val="22"/>
            </w:rPr>
          </w:pPr>
          <w:hyperlink w:history="1" w:anchor="_Toc225378553">
            <w:r w:rsidRPr="003502E9">
              <w:rPr>
                <w:rStyle w:val="Hyperlink"/>
                <w:rFonts w:ascii="Arial" w:hAnsi="Arial" w:cs="Arial"/>
                <w:b/>
                <w:bCs/>
                <w:i/>
                <w:iCs/>
                <w:noProof/>
                <w:color w:val="000000" w:themeColor="text1"/>
                <w:sz w:val="22"/>
                <w:szCs w:val="22"/>
              </w:rPr>
              <w:t>4.6 Critical Discussion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_Toc225378553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25</w:t>
            </w:r>
            <w:r w:rsidRPr="003502E9">
              <w:rPr>
                <w:noProof/>
                <w:webHidden/>
                <w:color w:val="000000" w:themeColor="text1"/>
                <w:sz w:val="22"/>
                <w:szCs w:val="22"/>
              </w:rPr>
              <w:fldChar w:fldCharType="end"/>
            </w:r>
          </w:hyperlink>
        </w:p>
        <w:p w:rsidRPr="003502E9" w:rsidR="003502E9" w:rsidP="003502E9" w:rsidRDefault="003502E9" w14:paraId="44F08AA5" w14:textId="54F37101">
          <w:pPr>
            <w:pStyle w:val="TOC2"/>
            <w:tabs>
              <w:tab w:val="right" w:leader="dot" w:pos="9350"/>
            </w:tabs>
            <w:spacing w:line="360" w:lineRule="auto"/>
            <w:rPr>
              <w:rFonts w:eastAsiaTheme="minorEastAsia"/>
              <w:noProof/>
              <w:color w:val="000000" w:themeColor="text1"/>
              <w:sz w:val="22"/>
              <w:szCs w:val="22"/>
            </w:rPr>
          </w:pPr>
          <w:hyperlink w:history="1" w:anchor="_Toc225378554">
            <w:r w:rsidRPr="003502E9">
              <w:rPr>
                <w:rStyle w:val="Hyperlink"/>
                <w:rFonts w:ascii="Arial" w:hAnsi="Arial" w:cs="Arial"/>
                <w:b/>
                <w:bCs/>
                <w:i/>
                <w:iCs/>
                <w:noProof/>
                <w:color w:val="000000" w:themeColor="text1"/>
                <w:sz w:val="22"/>
                <w:szCs w:val="22"/>
              </w:rPr>
              <w:t>4.7 Summary</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_Toc225378554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26</w:t>
            </w:r>
            <w:r w:rsidRPr="003502E9">
              <w:rPr>
                <w:noProof/>
                <w:webHidden/>
                <w:color w:val="000000" w:themeColor="text1"/>
                <w:sz w:val="22"/>
                <w:szCs w:val="22"/>
              </w:rPr>
              <w:fldChar w:fldCharType="end"/>
            </w:r>
          </w:hyperlink>
        </w:p>
        <w:p w:rsidRPr="003502E9" w:rsidR="003502E9" w:rsidP="003502E9" w:rsidRDefault="003502E9" w14:paraId="5B03C391" w14:textId="1BDF58BA">
          <w:pPr>
            <w:pStyle w:val="TOC1"/>
            <w:tabs>
              <w:tab w:val="right" w:leader="dot" w:pos="9350"/>
            </w:tabs>
            <w:spacing w:line="360" w:lineRule="auto"/>
            <w:rPr>
              <w:rFonts w:eastAsiaTheme="minorEastAsia"/>
              <w:noProof/>
              <w:color w:val="000000" w:themeColor="text1"/>
              <w:sz w:val="22"/>
              <w:szCs w:val="22"/>
            </w:rPr>
          </w:pPr>
          <w:hyperlink w:history="1" w:anchor="_Toc225378555">
            <w:r w:rsidRPr="003502E9">
              <w:rPr>
                <w:rStyle w:val="Hyperlink"/>
                <w:rFonts w:ascii="Arial" w:hAnsi="Arial" w:cs="Arial"/>
                <w:b/>
                <w:bCs/>
                <w:noProof/>
                <w:color w:val="000000" w:themeColor="text1"/>
                <w:sz w:val="22"/>
                <w:szCs w:val="22"/>
              </w:rPr>
              <w:t>CHAPTER 5: RECOMMENDATIONS &amp; CONCLUSION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_Toc225378555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28</w:t>
            </w:r>
            <w:r w:rsidRPr="003502E9">
              <w:rPr>
                <w:noProof/>
                <w:webHidden/>
                <w:color w:val="000000" w:themeColor="text1"/>
                <w:sz w:val="22"/>
                <w:szCs w:val="22"/>
              </w:rPr>
              <w:fldChar w:fldCharType="end"/>
            </w:r>
          </w:hyperlink>
        </w:p>
        <w:p w:rsidRPr="003502E9" w:rsidR="003502E9" w:rsidP="003502E9" w:rsidRDefault="003502E9" w14:paraId="3A727388" w14:textId="6D22FAD5">
          <w:pPr>
            <w:pStyle w:val="TOC2"/>
            <w:tabs>
              <w:tab w:val="right" w:leader="dot" w:pos="9350"/>
            </w:tabs>
            <w:spacing w:line="360" w:lineRule="auto"/>
            <w:rPr>
              <w:rFonts w:eastAsiaTheme="minorEastAsia"/>
              <w:noProof/>
              <w:color w:val="000000" w:themeColor="text1"/>
              <w:sz w:val="22"/>
              <w:szCs w:val="22"/>
            </w:rPr>
          </w:pPr>
          <w:hyperlink w:history="1" w:anchor="_Toc225378556">
            <w:r w:rsidRPr="003502E9">
              <w:rPr>
                <w:rStyle w:val="Hyperlink"/>
                <w:rFonts w:ascii="Arial" w:hAnsi="Arial" w:cs="Arial"/>
                <w:b/>
                <w:bCs/>
                <w:i/>
                <w:iCs/>
                <w:noProof/>
                <w:color w:val="000000" w:themeColor="text1"/>
                <w:sz w:val="22"/>
                <w:szCs w:val="22"/>
              </w:rPr>
              <w:t>5.1 Introduction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_Toc225378556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28</w:t>
            </w:r>
            <w:r w:rsidRPr="003502E9">
              <w:rPr>
                <w:noProof/>
                <w:webHidden/>
                <w:color w:val="000000" w:themeColor="text1"/>
                <w:sz w:val="22"/>
                <w:szCs w:val="22"/>
              </w:rPr>
              <w:fldChar w:fldCharType="end"/>
            </w:r>
          </w:hyperlink>
        </w:p>
        <w:p w:rsidRPr="003502E9" w:rsidR="003502E9" w:rsidP="003502E9" w:rsidRDefault="003502E9" w14:paraId="53C70AC9" w14:textId="298DA66F">
          <w:pPr>
            <w:pStyle w:val="TOC2"/>
            <w:tabs>
              <w:tab w:val="right" w:leader="dot" w:pos="9350"/>
            </w:tabs>
            <w:spacing w:line="360" w:lineRule="auto"/>
            <w:rPr>
              <w:rFonts w:eastAsiaTheme="minorEastAsia"/>
              <w:noProof/>
              <w:color w:val="000000" w:themeColor="text1"/>
              <w:sz w:val="22"/>
              <w:szCs w:val="22"/>
            </w:rPr>
          </w:pPr>
          <w:hyperlink w:history="1" w:anchor="_Toc225378557">
            <w:r w:rsidRPr="003502E9">
              <w:rPr>
                <w:rStyle w:val="Hyperlink"/>
                <w:rFonts w:ascii="Arial" w:hAnsi="Arial" w:cs="Arial"/>
                <w:b/>
                <w:bCs/>
                <w:i/>
                <w:iCs/>
                <w:noProof/>
                <w:color w:val="000000" w:themeColor="text1"/>
                <w:sz w:val="22"/>
                <w:szCs w:val="22"/>
              </w:rPr>
              <w:t>5.2 Summary of Key Findings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_Toc225378557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28</w:t>
            </w:r>
            <w:r w:rsidRPr="003502E9">
              <w:rPr>
                <w:noProof/>
                <w:webHidden/>
                <w:color w:val="000000" w:themeColor="text1"/>
                <w:sz w:val="22"/>
                <w:szCs w:val="22"/>
              </w:rPr>
              <w:fldChar w:fldCharType="end"/>
            </w:r>
          </w:hyperlink>
        </w:p>
        <w:p w:rsidRPr="003502E9" w:rsidR="003502E9" w:rsidP="003502E9" w:rsidRDefault="003502E9" w14:paraId="15F5ADD1" w14:textId="5FBAA42D">
          <w:pPr>
            <w:pStyle w:val="TOC2"/>
            <w:tabs>
              <w:tab w:val="right" w:leader="dot" w:pos="9350"/>
            </w:tabs>
            <w:spacing w:line="360" w:lineRule="auto"/>
            <w:rPr>
              <w:rFonts w:eastAsiaTheme="minorEastAsia"/>
              <w:noProof/>
              <w:color w:val="000000" w:themeColor="text1"/>
              <w:sz w:val="22"/>
              <w:szCs w:val="22"/>
            </w:rPr>
          </w:pPr>
          <w:hyperlink w:history="1" w:anchor="_Toc225378558">
            <w:r w:rsidRPr="003502E9">
              <w:rPr>
                <w:rStyle w:val="Hyperlink"/>
                <w:rFonts w:ascii="Arial" w:hAnsi="Arial" w:cs="Arial"/>
                <w:b/>
                <w:bCs/>
                <w:i/>
                <w:iCs/>
                <w:noProof/>
                <w:color w:val="000000" w:themeColor="text1"/>
                <w:sz w:val="22"/>
                <w:szCs w:val="22"/>
              </w:rPr>
              <w:t>5.3 Recommendations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_Toc225378558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29</w:t>
            </w:r>
            <w:r w:rsidRPr="003502E9">
              <w:rPr>
                <w:noProof/>
                <w:webHidden/>
                <w:color w:val="000000" w:themeColor="text1"/>
                <w:sz w:val="22"/>
                <w:szCs w:val="22"/>
              </w:rPr>
              <w:fldChar w:fldCharType="end"/>
            </w:r>
          </w:hyperlink>
        </w:p>
        <w:p w:rsidRPr="003502E9" w:rsidR="003502E9" w:rsidP="003502E9" w:rsidRDefault="003502E9" w14:paraId="0D19FAE1" w14:textId="29F3C407">
          <w:pPr>
            <w:pStyle w:val="TOC2"/>
            <w:tabs>
              <w:tab w:val="right" w:leader="dot" w:pos="9350"/>
            </w:tabs>
            <w:spacing w:line="360" w:lineRule="auto"/>
            <w:rPr>
              <w:rFonts w:eastAsiaTheme="minorEastAsia"/>
              <w:noProof/>
              <w:color w:val="000000" w:themeColor="text1"/>
              <w:sz w:val="22"/>
              <w:szCs w:val="22"/>
            </w:rPr>
          </w:pPr>
          <w:hyperlink w:history="1" w:anchor="_Toc225378559">
            <w:r w:rsidRPr="003502E9">
              <w:rPr>
                <w:rStyle w:val="Hyperlink"/>
                <w:rFonts w:ascii="Arial" w:hAnsi="Arial" w:cs="Arial"/>
                <w:b/>
                <w:bCs/>
                <w:i/>
                <w:iCs/>
                <w:noProof/>
                <w:color w:val="000000" w:themeColor="text1"/>
                <w:sz w:val="22"/>
                <w:szCs w:val="22"/>
              </w:rPr>
              <w:t>5.4 Conclusion</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_Toc225378559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29</w:t>
            </w:r>
            <w:r w:rsidRPr="003502E9">
              <w:rPr>
                <w:noProof/>
                <w:webHidden/>
                <w:color w:val="000000" w:themeColor="text1"/>
                <w:sz w:val="22"/>
                <w:szCs w:val="22"/>
              </w:rPr>
              <w:fldChar w:fldCharType="end"/>
            </w:r>
          </w:hyperlink>
        </w:p>
        <w:p w:rsidRPr="003502E9" w:rsidR="003502E9" w:rsidP="003502E9" w:rsidRDefault="003502E9" w14:paraId="38BA35F2" w14:textId="1E0CB0D6">
          <w:pPr>
            <w:pStyle w:val="TOC1"/>
            <w:tabs>
              <w:tab w:val="right" w:leader="dot" w:pos="9350"/>
            </w:tabs>
            <w:spacing w:line="360" w:lineRule="auto"/>
            <w:rPr>
              <w:rFonts w:eastAsiaTheme="minorEastAsia"/>
              <w:noProof/>
              <w:color w:val="000000" w:themeColor="text1"/>
              <w:sz w:val="22"/>
              <w:szCs w:val="22"/>
            </w:rPr>
          </w:pPr>
          <w:hyperlink w:history="1" w:anchor="_Toc225378560">
            <w:r w:rsidRPr="003502E9">
              <w:rPr>
                <w:rStyle w:val="Hyperlink"/>
                <w:rFonts w:asciiTheme="minorBidi" w:hAnsiTheme="minorBidi"/>
                <w:b/>
                <w:bCs/>
                <w:noProof/>
                <w:color w:val="000000" w:themeColor="text1"/>
                <w:sz w:val="22"/>
                <w:szCs w:val="22"/>
              </w:rPr>
              <w:t>References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_Toc225378560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31</w:t>
            </w:r>
            <w:r w:rsidRPr="003502E9">
              <w:rPr>
                <w:noProof/>
                <w:webHidden/>
                <w:color w:val="000000" w:themeColor="text1"/>
                <w:sz w:val="22"/>
                <w:szCs w:val="22"/>
              </w:rPr>
              <w:fldChar w:fldCharType="end"/>
            </w:r>
          </w:hyperlink>
        </w:p>
        <w:p w:rsidRPr="003502E9" w:rsidR="003502E9" w:rsidP="003502E9" w:rsidRDefault="003502E9" w14:paraId="5AB46532" w14:textId="662F2EFF">
          <w:pPr>
            <w:pStyle w:val="TOC1"/>
            <w:tabs>
              <w:tab w:val="right" w:leader="dot" w:pos="9350"/>
            </w:tabs>
            <w:spacing w:line="360" w:lineRule="auto"/>
            <w:rPr>
              <w:rFonts w:eastAsiaTheme="minorEastAsia"/>
              <w:noProof/>
              <w:color w:val="000000" w:themeColor="text1"/>
              <w:sz w:val="22"/>
              <w:szCs w:val="22"/>
            </w:rPr>
          </w:pPr>
          <w:hyperlink w:history="1" w:anchor="_Toc225378561">
            <w:r w:rsidRPr="003502E9">
              <w:rPr>
                <w:rStyle w:val="Hyperlink"/>
                <w:rFonts w:asciiTheme="minorBidi" w:hAnsiTheme="minorBidi"/>
                <w:b/>
                <w:bCs/>
                <w:noProof/>
                <w:color w:val="000000" w:themeColor="text1"/>
                <w:sz w:val="22"/>
                <w:szCs w:val="22"/>
              </w:rPr>
              <w:t>Appendixes</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_Toc225378561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37</w:t>
            </w:r>
            <w:r w:rsidRPr="003502E9">
              <w:rPr>
                <w:noProof/>
                <w:webHidden/>
                <w:color w:val="000000" w:themeColor="text1"/>
                <w:sz w:val="22"/>
                <w:szCs w:val="22"/>
              </w:rPr>
              <w:fldChar w:fldCharType="end"/>
            </w:r>
          </w:hyperlink>
        </w:p>
        <w:p w:rsidRPr="003502E9" w:rsidR="003502E9" w:rsidP="003502E9" w:rsidRDefault="003502E9" w14:paraId="559B18A9" w14:textId="74EFF243">
          <w:pPr>
            <w:pStyle w:val="TOC2"/>
            <w:tabs>
              <w:tab w:val="right" w:leader="dot" w:pos="9350"/>
            </w:tabs>
            <w:spacing w:line="360" w:lineRule="auto"/>
            <w:rPr>
              <w:rFonts w:eastAsiaTheme="minorEastAsia"/>
              <w:noProof/>
              <w:color w:val="000000" w:themeColor="text1"/>
              <w:sz w:val="22"/>
              <w:szCs w:val="22"/>
            </w:rPr>
          </w:pPr>
          <w:hyperlink w:history="1" w:anchor="_Toc225378562">
            <w:r w:rsidRPr="003502E9">
              <w:rPr>
                <w:rStyle w:val="Hyperlink"/>
                <w:rFonts w:asciiTheme="minorBidi" w:hAnsiTheme="minorBidi"/>
                <w:b/>
                <w:bCs/>
                <w:i/>
                <w:iCs/>
                <w:noProof/>
                <w:color w:val="000000" w:themeColor="text1"/>
                <w:sz w:val="22"/>
                <w:szCs w:val="22"/>
              </w:rPr>
              <w:t>Appendix A: Prisma Flow Chart</w:t>
            </w:r>
            <w:r w:rsidRPr="003502E9">
              <w:rPr>
                <w:noProof/>
                <w:webHidden/>
                <w:color w:val="000000" w:themeColor="text1"/>
                <w:sz w:val="22"/>
                <w:szCs w:val="22"/>
              </w:rPr>
              <w:tab/>
            </w:r>
            <w:r w:rsidRPr="003502E9">
              <w:rPr>
                <w:noProof/>
                <w:webHidden/>
                <w:color w:val="000000" w:themeColor="text1"/>
                <w:sz w:val="22"/>
                <w:szCs w:val="22"/>
              </w:rPr>
              <w:fldChar w:fldCharType="begin"/>
            </w:r>
            <w:r w:rsidRPr="003502E9">
              <w:rPr>
                <w:noProof/>
                <w:webHidden/>
                <w:color w:val="000000" w:themeColor="text1"/>
                <w:sz w:val="22"/>
                <w:szCs w:val="22"/>
              </w:rPr>
              <w:instrText xml:space="preserve"> PAGEREF _Toc225378562 \h </w:instrText>
            </w:r>
            <w:r w:rsidRPr="003502E9">
              <w:rPr>
                <w:noProof/>
                <w:webHidden/>
                <w:color w:val="000000" w:themeColor="text1"/>
                <w:sz w:val="22"/>
                <w:szCs w:val="22"/>
              </w:rPr>
            </w:r>
            <w:r w:rsidRPr="003502E9">
              <w:rPr>
                <w:noProof/>
                <w:webHidden/>
                <w:color w:val="000000" w:themeColor="text1"/>
                <w:sz w:val="22"/>
                <w:szCs w:val="22"/>
              </w:rPr>
              <w:fldChar w:fldCharType="separate"/>
            </w:r>
            <w:r w:rsidRPr="003502E9">
              <w:rPr>
                <w:noProof/>
                <w:webHidden/>
                <w:color w:val="000000" w:themeColor="text1"/>
                <w:sz w:val="22"/>
                <w:szCs w:val="22"/>
              </w:rPr>
              <w:t>37</w:t>
            </w:r>
            <w:r w:rsidRPr="003502E9">
              <w:rPr>
                <w:noProof/>
                <w:webHidden/>
                <w:color w:val="000000" w:themeColor="text1"/>
                <w:sz w:val="22"/>
                <w:szCs w:val="22"/>
              </w:rPr>
              <w:fldChar w:fldCharType="end"/>
            </w:r>
          </w:hyperlink>
        </w:p>
        <w:p w:rsidRPr="003502E9" w:rsidR="00050094" w:rsidP="003502E9" w:rsidRDefault="00050094" w14:paraId="7B0D0C2E" w14:textId="3A0E0202">
          <w:pPr>
            <w:spacing w:line="360" w:lineRule="auto"/>
            <w:rPr>
              <w:rFonts w:asciiTheme="minorBidi" w:hAnsiTheme="minorBidi"/>
              <w:color w:val="000000" w:themeColor="text1"/>
              <w:sz w:val="22"/>
              <w:szCs w:val="22"/>
            </w:rPr>
          </w:pPr>
          <w:r w:rsidRPr="003502E9">
            <w:rPr>
              <w:rFonts w:asciiTheme="minorBidi" w:hAnsiTheme="minorBidi"/>
              <w:b/>
              <w:bCs/>
              <w:noProof/>
              <w:color w:val="000000" w:themeColor="text1"/>
              <w:sz w:val="22"/>
              <w:szCs w:val="22"/>
            </w:rPr>
            <w:fldChar w:fldCharType="end"/>
          </w:r>
        </w:p>
      </w:sdtContent>
    </w:sdt>
    <w:p w:rsidRPr="003502E9" w:rsidR="004A27DF" w:rsidP="003502E9" w:rsidRDefault="004A27DF" w14:paraId="70ECE7EA" w14:textId="77777777">
      <w:pPr>
        <w:spacing w:line="360" w:lineRule="auto"/>
        <w:jc w:val="both"/>
        <w:rPr>
          <w:rFonts w:asciiTheme="minorBidi" w:hAnsiTheme="minorBidi"/>
          <w:b/>
          <w:bCs/>
          <w:color w:val="000000" w:themeColor="text1"/>
          <w:sz w:val="22"/>
          <w:szCs w:val="22"/>
        </w:rPr>
      </w:pPr>
      <w:r w:rsidRPr="003502E9">
        <w:rPr>
          <w:rFonts w:asciiTheme="minorBidi" w:hAnsiTheme="minorBidi"/>
          <w:b/>
          <w:bCs/>
          <w:color w:val="000000" w:themeColor="text1"/>
          <w:sz w:val="22"/>
          <w:szCs w:val="22"/>
        </w:rPr>
        <w:br w:type="page"/>
      </w:r>
    </w:p>
    <w:p w:rsidRPr="00050094" w:rsidR="004A27DF" w:rsidP="003502E9" w:rsidRDefault="004A27DF" w14:paraId="4B89E1D6" w14:textId="072272FC">
      <w:pPr>
        <w:pStyle w:val="Heading1"/>
        <w:spacing w:line="360" w:lineRule="auto"/>
        <w:jc w:val="both"/>
        <w:rPr>
          <w:rFonts w:ascii="Arial" w:hAnsi="Arial" w:cs="Arial"/>
          <w:b/>
          <w:bCs/>
          <w:color w:val="auto"/>
          <w:sz w:val="32"/>
          <w:szCs w:val="32"/>
        </w:rPr>
      </w:pPr>
      <w:bookmarkStart w:name="_Toc225378492" w:id="0"/>
      <w:r w:rsidRPr="00050094">
        <w:rPr>
          <w:rFonts w:ascii="Arial" w:hAnsi="Arial" w:cs="Arial"/>
          <w:b/>
          <w:bCs/>
          <w:color w:val="auto"/>
          <w:sz w:val="32"/>
          <w:szCs w:val="32"/>
        </w:rPr>
        <w:lastRenderedPageBreak/>
        <w:t>CHAPTER 1: INTRODUCTION</w:t>
      </w:r>
      <w:bookmarkEnd w:id="0"/>
      <w:r w:rsidRPr="00050094">
        <w:rPr>
          <w:rFonts w:ascii="Arial" w:hAnsi="Arial" w:cs="Arial"/>
          <w:b/>
          <w:bCs/>
          <w:color w:val="auto"/>
          <w:sz w:val="32"/>
          <w:szCs w:val="32"/>
        </w:rPr>
        <w:t xml:space="preserve"> </w:t>
      </w:r>
    </w:p>
    <w:p w:rsidRPr="00050094" w:rsidR="004A27DF" w:rsidP="003502E9" w:rsidRDefault="004A27DF" w14:paraId="03A9A2E4" w14:textId="4FA1E1C5">
      <w:pPr>
        <w:pStyle w:val="Heading2"/>
        <w:spacing w:line="360" w:lineRule="auto"/>
        <w:jc w:val="both"/>
        <w:rPr>
          <w:rFonts w:ascii="Arial" w:hAnsi="Arial" w:cs="Arial"/>
          <w:b/>
          <w:bCs/>
          <w:i/>
          <w:iCs/>
          <w:color w:val="auto"/>
          <w:sz w:val="28"/>
          <w:szCs w:val="28"/>
        </w:rPr>
      </w:pPr>
      <w:bookmarkStart w:name="_Toc225378493" w:id="1"/>
      <w:r w:rsidRPr="00050094">
        <w:rPr>
          <w:rFonts w:ascii="Arial" w:hAnsi="Arial" w:cs="Arial"/>
          <w:b/>
          <w:bCs/>
          <w:i/>
          <w:iCs/>
          <w:color w:val="auto"/>
          <w:sz w:val="28"/>
          <w:szCs w:val="28"/>
        </w:rPr>
        <w:t>1.1 Background of the Study</w:t>
      </w:r>
      <w:bookmarkEnd w:id="1"/>
      <w:r w:rsidRPr="00050094">
        <w:rPr>
          <w:rFonts w:ascii="Arial" w:hAnsi="Arial" w:cs="Arial"/>
          <w:b/>
          <w:bCs/>
          <w:i/>
          <w:iCs/>
          <w:color w:val="auto"/>
          <w:sz w:val="28"/>
          <w:szCs w:val="28"/>
        </w:rPr>
        <w:t xml:space="preserve"> </w:t>
      </w:r>
    </w:p>
    <w:p w:rsidRPr="00050094" w:rsidR="004A27DF" w:rsidP="003502E9" w:rsidRDefault="0008442A" w14:paraId="68591F19" w14:textId="03A236D9">
      <w:pPr>
        <w:spacing w:line="360" w:lineRule="auto"/>
        <w:jc w:val="both"/>
        <w:rPr>
          <w:rFonts w:ascii="Arial" w:hAnsi="Arial" w:cs="Arial"/>
          <w:sz w:val="22"/>
          <w:szCs w:val="22"/>
        </w:rPr>
      </w:pPr>
      <w:r w:rsidRPr="00050094">
        <w:rPr>
          <w:rFonts w:ascii="Arial" w:hAnsi="Arial" w:cs="Arial"/>
          <w:sz w:val="22"/>
          <w:szCs w:val="22"/>
        </w:rPr>
        <w:t>The UK has switched its mental health recovery approach to be more clinical oriented and person-centred, based on overall wellbeing instead of reducing symptoms only (</w:t>
      </w:r>
      <w:r w:rsidRPr="00050094" w:rsidR="009D1B8A">
        <w:rPr>
          <w:rFonts w:ascii="Arial" w:hAnsi="Arial" w:cs="Arial"/>
          <w:sz w:val="22"/>
          <w:szCs w:val="22"/>
        </w:rPr>
        <w:t xml:space="preserve">Allen, </w:t>
      </w:r>
      <w:r w:rsidRPr="00050094" w:rsidR="009D1B8A">
        <w:rPr>
          <w:rFonts w:ascii="Arial" w:hAnsi="Arial" w:cs="Arial"/>
          <w:i/>
          <w:iCs/>
          <w:sz w:val="22"/>
          <w:szCs w:val="22"/>
        </w:rPr>
        <w:t>et al.</w:t>
      </w:r>
      <w:r w:rsidRPr="00050094" w:rsidR="009D1B8A">
        <w:rPr>
          <w:rFonts w:ascii="Arial" w:hAnsi="Arial" w:cs="Arial"/>
          <w:sz w:val="22"/>
          <w:szCs w:val="22"/>
        </w:rPr>
        <w:t xml:space="preserve"> 2024</w:t>
      </w:r>
      <w:r w:rsidRPr="00050094">
        <w:rPr>
          <w:rFonts w:ascii="Arial" w:hAnsi="Arial" w:cs="Arial"/>
          <w:sz w:val="22"/>
          <w:szCs w:val="22"/>
        </w:rPr>
        <w:t>). This change indicates a more general idea that recovery does not happen only in terms of medical treatment but includes social, emotional, and psychological aspects of the life of a person (Slade et al., 2017). Recovery models nowadays are focused on empowerment, independence and people being able to live meaningful lives despite the persistent mental health struggles (Holttum, 2018). Moreover, recovery has become a well-known holistic process that encompasses social inclusion, individual development, and enhanced quality of life instead of just concentrating on the clinical results (World Health Organization, 2025). This approach emphasises the need to have external forces to promote recovery and resilience in the long term. In this framework, social support has been defined as one of the crucial variables affecting the outcomes of the recovery process because it gives emotional support, practical help, and coping mechanisms (Cohen and Wills, 1985; Bjørlykhaug et al., 2022</w:t>
      </w:r>
      <w:r w:rsidRPr="00050094" w:rsidR="004A27DF">
        <w:rPr>
          <w:rFonts w:ascii="Arial" w:hAnsi="Arial" w:cs="Arial"/>
          <w:sz w:val="22"/>
          <w:szCs w:val="22"/>
        </w:rPr>
        <w:t>).</w:t>
      </w:r>
    </w:p>
    <w:p w:rsidRPr="00050094" w:rsidR="004A27DF" w:rsidP="003502E9" w:rsidRDefault="004A27DF" w14:paraId="2BE4D825" w14:textId="18024F11">
      <w:pPr>
        <w:pStyle w:val="Heading2"/>
        <w:spacing w:line="360" w:lineRule="auto"/>
        <w:jc w:val="both"/>
        <w:rPr>
          <w:rFonts w:ascii="Arial" w:hAnsi="Arial" w:cs="Arial"/>
          <w:b/>
          <w:bCs/>
          <w:i/>
          <w:iCs/>
          <w:color w:val="auto"/>
          <w:sz w:val="28"/>
          <w:szCs w:val="28"/>
        </w:rPr>
      </w:pPr>
      <w:bookmarkStart w:name="_Toc225378494" w:id="2"/>
      <w:r w:rsidRPr="00050094">
        <w:rPr>
          <w:rFonts w:ascii="Arial" w:hAnsi="Arial" w:cs="Arial"/>
          <w:b/>
          <w:bCs/>
          <w:i/>
          <w:iCs/>
          <w:color w:val="auto"/>
          <w:sz w:val="28"/>
          <w:szCs w:val="28"/>
        </w:rPr>
        <w:t>1.2 Problem Statement</w:t>
      </w:r>
      <w:bookmarkEnd w:id="2"/>
      <w:r w:rsidRPr="00050094">
        <w:rPr>
          <w:rFonts w:ascii="Arial" w:hAnsi="Arial" w:cs="Arial"/>
          <w:b/>
          <w:bCs/>
          <w:i/>
          <w:iCs/>
          <w:color w:val="auto"/>
          <w:sz w:val="28"/>
          <w:szCs w:val="28"/>
        </w:rPr>
        <w:t xml:space="preserve"> </w:t>
      </w:r>
    </w:p>
    <w:p w:rsidRPr="00050094" w:rsidR="0008442A" w:rsidP="003502E9" w:rsidRDefault="0008442A" w14:paraId="4ECC40FC" w14:textId="0DB8FB92">
      <w:pPr>
        <w:spacing w:line="360" w:lineRule="auto"/>
        <w:jc w:val="both"/>
        <w:rPr>
          <w:rFonts w:ascii="Arial" w:hAnsi="Arial" w:cs="Arial"/>
          <w:sz w:val="22"/>
          <w:szCs w:val="22"/>
        </w:rPr>
      </w:pPr>
      <w:r w:rsidRPr="00050094">
        <w:rPr>
          <w:rFonts w:ascii="Arial" w:hAnsi="Arial" w:cs="Arial"/>
          <w:sz w:val="22"/>
          <w:szCs w:val="22"/>
        </w:rPr>
        <w:t>In the United Kingdom, it is becoming recognized that the role of family in the recovery process should be acknowledged as an essential aspect of mental health policies, and strategies like supporting families programme and NHS community mental health frameworks endorse collaborative and inclusive approaches to care (NHS England, 2024). These policies acknowledge families as being the significant players in enhancing recovery outcomes and continuity of care. Nonetheless, although this policy is pledged, it has been indicated that the family involvement is not always practiced throughout mental health services (</w:t>
      </w:r>
      <w:r w:rsidRPr="00050094" w:rsidR="009D1B8A">
        <w:rPr>
          <w:rFonts w:ascii="Arial" w:hAnsi="Arial" w:cs="Arial"/>
          <w:sz w:val="22"/>
          <w:szCs w:val="22"/>
        </w:rPr>
        <w:t>Bacon</w:t>
      </w:r>
      <w:r w:rsidRPr="00050094" w:rsidR="009D1B8A">
        <w:rPr>
          <w:rFonts w:ascii="Arial" w:hAnsi="Arial" w:cs="Arial"/>
          <w:sz w:val="22"/>
          <w:szCs w:val="22"/>
        </w:rPr>
        <w:t xml:space="preserve"> et al</w:t>
      </w:r>
      <w:r w:rsidRPr="00050094" w:rsidR="009D1B8A">
        <w:rPr>
          <w:rFonts w:ascii="Arial" w:hAnsi="Arial" w:cs="Arial"/>
          <w:sz w:val="22"/>
          <w:szCs w:val="22"/>
        </w:rPr>
        <w:t>., 2023</w:t>
      </w:r>
      <w:r w:rsidRPr="00050094">
        <w:rPr>
          <w:rFonts w:ascii="Arial" w:hAnsi="Arial" w:cs="Arial"/>
          <w:sz w:val="22"/>
          <w:szCs w:val="22"/>
        </w:rPr>
        <w:t>).</w:t>
      </w:r>
    </w:p>
    <w:p w:rsidRPr="00050094" w:rsidR="004A27DF" w:rsidP="003502E9" w:rsidRDefault="0008442A" w14:paraId="3C041AAF" w14:textId="0CE5F597">
      <w:pPr>
        <w:spacing w:line="360" w:lineRule="auto"/>
        <w:jc w:val="both"/>
        <w:rPr>
          <w:rFonts w:ascii="Arial" w:hAnsi="Arial" w:cs="Arial"/>
          <w:sz w:val="22"/>
          <w:szCs w:val="22"/>
        </w:rPr>
      </w:pPr>
      <w:r w:rsidRPr="00050094">
        <w:rPr>
          <w:rFonts w:ascii="Arial" w:hAnsi="Arial" w:cs="Arial"/>
          <w:sz w:val="22"/>
          <w:szCs w:val="22"/>
        </w:rPr>
        <w:t>This policy-practice gap creates a necessity to take an in-depth look at the integration of family support within the context of recovery processes in the UK (Searby et al., 2024</w:t>
      </w:r>
      <w:r w:rsidRPr="00050094" w:rsidR="004A27DF">
        <w:rPr>
          <w:rFonts w:ascii="Arial" w:hAnsi="Arial" w:cs="Arial"/>
          <w:sz w:val="22"/>
          <w:szCs w:val="22"/>
        </w:rPr>
        <w:t>).</w:t>
      </w:r>
    </w:p>
    <w:p w:rsidRPr="00050094" w:rsidR="004A27DF" w:rsidP="003502E9" w:rsidRDefault="004A27DF" w14:paraId="15371815" w14:textId="457C9EB8">
      <w:pPr>
        <w:pStyle w:val="Heading2"/>
        <w:spacing w:line="360" w:lineRule="auto"/>
        <w:jc w:val="both"/>
        <w:rPr>
          <w:rFonts w:ascii="Arial" w:hAnsi="Arial" w:cs="Arial"/>
          <w:b/>
          <w:bCs/>
          <w:i/>
          <w:iCs/>
          <w:color w:val="auto"/>
          <w:sz w:val="28"/>
          <w:szCs w:val="28"/>
        </w:rPr>
      </w:pPr>
      <w:bookmarkStart w:name="_Toc221900128" w:id="3"/>
      <w:bookmarkStart w:name="_Toc225378495" w:id="4"/>
      <w:r w:rsidRPr="00050094">
        <w:rPr>
          <w:rFonts w:ascii="Arial" w:hAnsi="Arial" w:cs="Arial"/>
          <w:b/>
          <w:bCs/>
          <w:i/>
          <w:iCs/>
          <w:color w:val="auto"/>
          <w:sz w:val="28"/>
          <w:szCs w:val="28"/>
        </w:rPr>
        <w:t>1.3. Research Aim and Objectives</w:t>
      </w:r>
      <w:bookmarkEnd w:id="3"/>
      <w:bookmarkEnd w:id="4"/>
    </w:p>
    <w:p w:rsidRPr="00050094" w:rsidR="004A27DF" w:rsidP="003502E9" w:rsidRDefault="004A27DF" w14:paraId="7DA38BEE" w14:textId="77777777">
      <w:pPr>
        <w:pStyle w:val="Heading3"/>
        <w:spacing w:line="360" w:lineRule="auto"/>
        <w:jc w:val="both"/>
        <w:rPr>
          <w:rFonts w:ascii="Arial" w:hAnsi="Arial" w:cs="Arial"/>
          <w:i/>
          <w:iCs/>
          <w:color w:val="auto"/>
          <w:sz w:val="24"/>
          <w:szCs w:val="24"/>
        </w:rPr>
      </w:pPr>
      <w:bookmarkStart w:name="_Toc221900129" w:id="5"/>
      <w:bookmarkStart w:name="_Toc225378496" w:id="6"/>
      <w:r w:rsidRPr="00050094">
        <w:rPr>
          <w:rFonts w:ascii="Arial" w:hAnsi="Arial" w:cs="Arial"/>
          <w:i/>
          <w:iCs/>
          <w:color w:val="auto"/>
          <w:sz w:val="24"/>
          <w:szCs w:val="24"/>
        </w:rPr>
        <w:t>Aim</w:t>
      </w:r>
      <w:bookmarkEnd w:id="5"/>
      <w:bookmarkEnd w:id="6"/>
    </w:p>
    <w:p w:rsidRPr="00050094" w:rsidR="004A27DF" w:rsidP="003502E9" w:rsidRDefault="004A27DF" w14:paraId="063C3368" w14:textId="77777777">
      <w:p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The aim of this study is to explore the role of family support in the recovery process of mental health service users in the UK.</w:t>
      </w:r>
    </w:p>
    <w:p w:rsidRPr="00050094" w:rsidR="004A27DF" w:rsidP="003502E9" w:rsidRDefault="004A27DF" w14:paraId="4E8CDFB1" w14:textId="77777777">
      <w:pPr>
        <w:pStyle w:val="Heading3"/>
        <w:spacing w:line="360" w:lineRule="auto"/>
        <w:jc w:val="both"/>
        <w:rPr>
          <w:rFonts w:ascii="Arial" w:hAnsi="Arial" w:cs="Arial"/>
          <w:i/>
          <w:iCs/>
          <w:color w:val="auto"/>
          <w:sz w:val="24"/>
          <w:szCs w:val="24"/>
        </w:rPr>
      </w:pPr>
      <w:bookmarkStart w:name="_Toc221900130" w:id="7"/>
      <w:bookmarkStart w:name="_Toc225378497" w:id="8"/>
      <w:r w:rsidRPr="00050094">
        <w:rPr>
          <w:rFonts w:ascii="Arial" w:hAnsi="Arial" w:cs="Arial"/>
          <w:i/>
          <w:iCs/>
          <w:color w:val="auto"/>
          <w:sz w:val="24"/>
          <w:szCs w:val="24"/>
        </w:rPr>
        <w:lastRenderedPageBreak/>
        <w:t>Objectives</w:t>
      </w:r>
      <w:bookmarkEnd w:id="7"/>
      <w:bookmarkEnd w:id="8"/>
    </w:p>
    <w:p w:rsidRPr="00050094" w:rsidR="004A27DF" w:rsidP="003502E9" w:rsidRDefault="004A27DF" w14:paraId="0D6E6B03" w14:textId="77777777">
      <w:pPr>
        <w:numPr>
          <w:ilvl w:val="0"/>
          <w:numId w:val="1"/>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To examine the different types of family support, including emotional, practical and advocacy-based support.</w:t>
      </w:r>
    </w:p>
    <w:p w:rsidRPr="00050094" w:rsidR="004A27DF" w:rsidP="003502E9" w:rsidRDefault="004A27DF" w14:paraId="600C002B" w14:textId="77777777">
      <w:pPr>
        <w:numPr>
          <w:ilvl w:val="0"/>
          <w:numId w:val="1"/>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To analyse how family involvement influences treatment adherence and relapse prevention.</w:t>
      </w:r>
    </w:p>
    <w:p w:rsidRPr="00050094" w:rsidR="004A27DF" w:rsidP="003502E9" w:rsidRDefault="004A27DF" w14:paraId="476F66A9" w14:textId="77777777">
      <w:pPr>
        <w:numPr>
          <w:ilvl w:val="0"/>
          <w:numId w:val="1"/>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To explore service users’ experiences and perceptions of family involvement in their care.</w:t>
      </w:r>
    </w:p>
    <w:p w:rsidRPr="00050094" w:rsidR="004A27DF" w:rsidP="003502E9" w:rsidRDefault="004A27DF" w14:paraId="17C23099" w14:textId="77777777">
      <w:pPr>
        <w:numPr>
          <w:ilvl w:val="0"/>
          <w:numId w:val="1"/>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To identify challenges faced by families when supporting recovery.</w:t>
      </w:r>
    </w:p>
    <w:p w:rsidRPr="00050094" w:rsidR="004A27DF" w:rsidP="003502E9" w:rsidRDefault="004A27DF" w14:paraId="0FCF10D6" w14:textId="77777777">
      <w:pPr>
        <w:pStyle w:val="Heading3"/>
        <w:spacing w:line="360" w:lineRule="auto"/>
        <w:jc w:val="both"/>
        <w:rPr>
          <w:rFonts w:ascii="Arial" w:hAnsi="Arial" w:cs="Arial"/>
          <w:i/>
          <w:iCs/>
          <w:color w:val="auto"/>
          <w:sz w:val="24"/>
          <w:szCs w:val="24"/>
        </w:rPr>
      </w:pPr>
      <w:bookmarkStart w:name="_Toc221900131" w:id="9"/>
      <w:bookmarkStart w:name="_Toc225378498" w:id="10"/>
      <w:r w:rsidRPr="00050094">
        <w:rPr>
          <w:rFonts w:ascii="Arial" w:hAnsi="Arial" w:cs="Arial"/>
          <w:i/>
          <w:iCs/>
          <w:color w:val="auto"/>
          <w:sz w:val="24"/>
          <w:szCs w:val="24"/>
        </w:rPr>
        <w:t>Research Questions</w:t>
      </w:r>
      <w:bookmarkEnd w:id="9"/>
      <w:bookmarkEnd w:id="10"/>
    </w:p>
    <w:p w:rsidRPr="00050094" w:rsidR="004A27DF" w:rsidP="003502E9" w:rsidRDefault="004A27DF" w14:paraId="15C59E83" w14:textId="77777777">
      <w:pPr>
        <w:numPr>
          <w:ilvl w:val="0"/>
          <w:numId w:val="2"/>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How does family support influence the recovery experiences of mental health service users in the UK?</w:t>
      </w:r>
    </w:p>
    <w:p w:rsidRPr="00050094" w:rsidR="004A27DF" w:rsidP="003502E9" w:rsidRDefault="004A27DF" w14:paraId="595EC6FA" w14:textId="77777777">
      <w:pPr>
        <w:numPr>
          <w:ilvl w:val="0"/>
          <w:numId w:val="2"/>
        </w:numPr>
        <w:spacing w:line="360" w:lineRule="auto"/>
        <w:jc w:val="both"/>
        <w:rPr>
          <w:rFonts w:ascii="Arial" w:hAnsi="Arial" w:cs="Arial"/>
          <w:color w:val="0D0D0D" w:themeColor="text1" w:themeTint="F2"/>
          <w:sz w:val="22"/>
          <w:szCs w:val="22"/>
        </w:rPr>
      </w:pPr>
      <w:r w:rsidRPr="00050094">
        <w:rPr>
          <w:rFonts w:ascii="Arial" w:hAnsi="Arial" w:cs="Arial"/>
          <w:color w:val="0D0D0D" w:themeColor="text1" w:themeTint="F2"/>
          <w:sz w:val="22"/>
          <w:szCs w:val="22"/>
        </w:rPr>
        <w:t>What barriers limit effective integration of families into mental health care planning and recovery processes?</w:t>
      </w:r>
    </w:p>
    <w:p w:rsidRPr="00050094" w:rsidR="004A27DF" w:rsidP="003502E9" w:rsidRDefault="004A27DF" w14:paraId="26C99969" w14:textId="12797896">
      <w:pPr>
        <w:pStyle w:val="Heading2"/>
        <w:spacing w:line="360" w:lineRule="auto"/>
        <w:jc w:val="both"/>
        <w:rPr>
          <w:rFonts w:ascii="Arial" w:hAnsi="Arial" w:cs="Arial"/>
          <w:i/>
          <w:iCs/>
          <w:color w:val="auto"/>
          <w:sz w:val="28"/>
          <w:szCs w:val="28"/>
        </w:rPr>
      </w:pPr>
      <w:bookmarkStart w:name="_Toc225378499" w:id="11"/>
      <w:r w:rsidRPr="00050094">
        <w:rPr>
          <w:rStyle w:val="Strong"/>
          <w:rFonts w:ascii="Arial" w:hAnsi="Arial" w:cs="Arial"/>
          <w:i/>
          <w:iCs/>
          <w:color w:val="auto"/>
          <w:sz w:val="28"/>
          <w:szCs w:val="28"/>
        </w:rPr>
        <w:t>1.6 Significance of the Study</w:t>
      </w:r>
      <w:bookmarkEnd w:id="11"/>
      <w:r w:rsidRPr="00050094">
        <w:rPr>
          <w:rStyle w:val="Strong"/>
          <w:rFonts w:ascii="Arial" w:hAnsi="Arial" w:cs="Arial"/>
          <w:i/>
          <w:iCs/>
          <w:color w:val="auto"/>
          <w:sz w:val="28"/>
          <w:szCs w:val="28"/>
        </w:rPr>
        <w:t xml:space="preserve"> </w:t>
      </w:r>
    </w:p>
    <w:p w:rsidRPr="00050094" w:rsidR="0008442A" w:rsidP="003502E9" w:rsidRDefault="0008442A" w14:paraId="09835E79" w14:textId="753BD67E">
      <w:pPr>
        <w:pStyle w:val="NormalWeb"/>
        <w:spacing w:line="360" w:lineRule="auto"/>
        <w:jc w:val="both"/>
        <w:rPr>
          <w:rFonts w:ascii="Arial" w:hAnsi="Arial" w:cs="Arial"/>
          <w:sz w:val="22"/>
          <w:szCs w:val="22"/>
        </w:rPr>
      </w:pPr>
      <w:r w:rsidRPr="00050094">
        <w:rPr>
          <w:rFonts w:ascii="Arial" w:hAnsi="Arial" w:cs="Arial"/>
          <w:sz w:val="22"/>
          <w:szCs w:val="22"/>
        </w:rPr>
        <w:t>The study is relevant because it can help in enhancing the delivery of mental health services in the United Kingdom by analyzing family support as an intervention to support the recovery process. The National Health Service is paying more attention to the role of recovery-oriented and community-based care, in which family engagement can be used to improve the effectiveness and outcomes of the services provided to the patient (</w:t>
      </w:r>
      <w:r w:rsidRPr="00050094" w:rsidR="009D1B8A">
        <w:rPr>
          <w:rFonts w:asciiTheme="minorBidi" w:hAnsiTheme="minorBidi" w:cstheme="minorBidi"/>
          <w:color w:val="000000" w:themeColor="text1"/>
        </w:rPr>
        <w:t>Norton</w:t>
      </w:r>
      <w:r w:rsidRPr="00050094" w:rsidR="009D1B8A">
        <w:rPr>
          <w:rFonts w:asciiTheme="minorBidi" w:hAnsiTheme="minorBidi" w:cstheme="minorBidi"/>
          <w:color w:val="000000" w:themeColor="text1"/>
        </w:rPr>
        <w:t xml:space="preserve"> </w:t>
      </w:r>
      <w:r w:rsidRPr="00050094" w:rsidR="009D1B8A">
        <w:rPr>
          <w:rFonts w:asciiTheme="minorBidi" w:hAnsiTheme="minorBidi" w:cstheme="minorBidi"/>
          <w:color w:val="000000" w:themeColor="text1"/>
        </w:rPr>
        <w:t>and Hartnett, 2024</w:t>
      </w:r>
      <w:r w:rsidRPr="00050094">
        <w:rPr>
          <w:rFonts w:ascii="Arial" w:hAnsi="Arial" w:cs="Arial"/>
          <w:sz w:val="22"/>
          <w:szCs w:val="22"/>
        </w:rPr>
        <w:t>). Through a critical analysis, the present study will offer insights that can be used in the creation of more inclusive and effective care practices in NHS systems.</w:t>
      </w:r>
    </w:p>
    <w:p w:rsidRPr="00050094" w:rsidR="0008442A" w:rsidP="003502E9" w:rsidRDefault="0008442A" w14:paraId="0FCC09D3" w14:textId="77D5D400">
      <w:pPr>
        <w:pStyle w:val="NormalWeb"/>
        <w:spacing w:line="360" w:lineRule="auto"/>
        <w:jc w:val="both"/>
        <w:rPr>
          <w:rFonts w:ascii="Arial" w:hAnsi="Arial" w:cs="Arial"/>
          <w:sz w:val="22"/>
          <w:szCs w:val="22"/>
        </w:rPr>
      </w:pPr>
      <w:r w:rsidRPr="00050094">
        <w:rPr>
          <w:rFonts w:ascii="Arial" w:hAnsi="Arial" w:cs="Arial"/>
          <w:sz w:val="22"/>
          <w:szCs w:val="22"/>
        </w:rPr>
        <w:t>Moreover, the study has high policy implications, since the UK health policies highlight the idea of integrated care and the cooperation between service users, professionals, and families (Department of Health and Social Care, 2022). Knowledge of the role family support impacts in practice can be used to close the divide between policy intentions and policy in practice, which will be used to improve future policies.</w:t>
      </w:r>
    </w:p>
    <w:p w:rsidRPr="00050094" w:rsidR="004A27DF" w:rsidP="003502E9" w:rsidRDefault="0008442A" w14:paraId="427A9E9A" w14:textId="31165BB5">
      <w:pPr>
        <w:pStyle w:val="NormalWeb"/>
        <w:spacing w:line="360" w:lineRule="auto"/>
        <w:jc w:val="both"/>
        <w:rPr>
          <w:rFonts w:ascii="Arial" w:hAnsi="Arial" w:cs="Arial"/>
          <w:sz w:val="22"/>
          <w:szCs w:val="22"/>
        </w:rPr>
      </w:pPr>
      <w:r w:rsidRPr="00050094">
        <w:rPr>
          <w:rFonts w:ascii="Arial" w:hAnsi="Arial" w:cs="Arial"/>
          <w:sz w:val="22"/>
          <w:szCs w:val="22"/>
        </w:rPr>
        <w:t>Besides, the paper identifies the problems affecting families, such as emotional burden, stigma, and the absence of recognition during care planning (</w:t>
      </w:r>
      <w:r w:rsidRPr="00050094" w:rsidR="009D1B8A">
        <w:rPr>
          <w:rFonts w:ascii="Arial" w:hAnsi="Arial" w:cs="Arial"/>
          <w:sz w:val="22"/>
          <w:szCs w:val="22"/>
        </w:rPr>
        <w:t>Melillo</w:t>
      </w:r>
      <w:r w:rsidRPr="00050094" w:rsidR="009D1B8A">
        <w:rPr>
          <w:rFonts w:ascii="Arial" w:hAnsi="Arial" w:cs="Arial"/>
          <w:sz w:val="22"/>
          <w:szCs w:val="22"/>
        </w:rPr>
        <w:t xml:space="preserve"> et al</w:t>
      </w:r>
      <w:r w:rsidRPr="00050094" w:rsidR="009D1B8A">
        <w:rPr>
          <w:rFonts w:ascii="Arial" w:hAnsi="Arial" w:cs="Arial"/>
          <w:sz w:val="22"/>
          <w:szCs w:val="22"/>
        </w:rPr>
        <w:t>., 2025</w:t>
      </w:r>
      <w:r w:rsidRPr="00050094">
        <w:rPr>
          <w:rFonts w:ascii="Arial" w:hAnsi="Arial" w:cs="Arial"/>
          <w:sz w:val="22"/>
          <w:szCs w:val="22"/>
        </w:rPr>
        <w:t xml:space="preserve">). These issues should </w:t>
      </w:r>
      <w:r w:rsidRPr="00050094">
        <w:rPr>
          <w:rFonts w:ascii="Arial" w:hAnsi="Arial" w:cs="Arial"/>
          <w:sz w:val="22"/>
          <w:szCs w:val="22"/>
        </w:rPr>
        <w:lastRenderedPageBreak/>
        <w:t>be addressed to make sure that families are properly supported and at the same time a part of the recovery processes (Yin et al., 2020</w:t>
      </w:r>
      <w:r w:rsidRPr="00050094" w:rsidR="004A27DF">
        <w:rPr>
          <w:rFonts w:ascii="Arial" w:hAnsi="Arial" w:cs="Arial"/>
          <w:sz w:val="22"/>
          <w:szCs w:val="22"/>
        </w:rPr>
        <w:t>).</w:t>
      </w:r>
    </w:p>
    <w:p w:rsidRPr="00050094" w:rsidR="004A27DF" w:rsidP="003502E9" w:rsidRDefault="004A27DF" w14:paraId="65D988A2" w14:textId="36F1AD7B">
      <w:pPr>
        <w:pStyle w:val="Heading2"/>
        <w:spacing w:line="360" w:lineRule="auto"/>
        <w:jc w:val="both"/>
        <w:rPr>
          <w:rFonts w:ascii="Arial" w:hAnsi="Arial" w:cs="Arial"/>
          <w:i/>
          <w:iCs/>
          <w:color w:val="auto"/>
          <w:sz w:val="28"/>
          <w:szCs w:val="28"/>
        </w:rPr>
      </w:pPr>
      <w:bookmarkStart w:name="_Toc225378500" w:id="12"/>
      <w:r w:rsidRPr="00050094">
        <w:rPr>
          <w:rStyle w:val="Strong"/>
          <w:rFonts w:ascii="Arial" w:hAnsi="Arial" w:cs="Arial"/>
          <w:i/>
          <w:iCs/>
          <w:color w:val="auto"/>
          <w:sz w:val="28"/>
          <w:szCs w:val="28"/>
        </w:rPr>
        <w:t>1.7 Structure of the Dissertation</w:t>
      </w:r>
      <w:bookmarkEnd w:id="12"/>
      <w:r w:rsidRPr="00050094">
        <w:rPr>
          <w:rStyle w:val="Strong"/>
          <w:rFonts w:ascii="Arial" w:hAnsi="Arial" w:cs="Arial"/>
          <w:i/>
          <w:iCs/>
          <w:color w:val="auto"/>
          <w:sz w:val="28"/>
          <w:szCs w:val="28"/>
        </w:rPr>
        <w:t xml:space="preserve"> </w:t>
      </w:r>
    </w:p>
    <w:p w:rsidRPr="00050094" w:rsidR="0008442A" w:rsidP="003502E9" w:rsidRDefault="0008442A" w14:paraId="19B514F9" w14:textId="77777777">
      <w:pPr>
        <w:pStyle w:val="NormalWeb"/>
        <w:spacing w:line="360" w:lineRule="auto"/>
        <w:jc w:val="both"/>
        <w:rPr>
          <w:rFonts w:ascii="Arial" w:hAnsi="Arial" w:cs="Arial"/>
          <w:sz w:val="22"/>
          <w:szCs w:val="22"/>
        </w:rPr>
      </w:pPr>
      <w:r w:rsidRPr="00050094">
        <w:rPr>
          <w:rFonts w:ascii="Arial" w:hAnsi="Arial" w:cs="Arial"/>
          <w:sz w:val="22"/>
          <w:szCs w:val="22"/>
        </w:rPr>
        <w:t>This dissertation has been structured into five chapters in order to give a coherent and chronological flow of the research. Chapter One brings the study with the background, research problem, aim, objectives and significance of the research. In Chapter Two, this is provided in an extensive review of the literature where critical concepts of mental health recovery, social support, and the importance of family involvement in this context within the UK is discussed.</w:t>
      </w:r>
    </w:p>
    <w:p w:rsidR="003502E9" w:rsidP="003502E9" w:rsidRDefault="0008442A" w14:paraId="03F3BBD7" w14:textId="4AB882D3">
      <w:pPr>
        <w:pStyle w:val="NormalWeb"/>
        <w:spacing w:line="360" w:lineRule="auto"/>
        <w:jc w:val="both"/>
        <w:rPr>
          <w:rFonts w:ascii="Arial" w:hAnsi="Arial" w:cs="Arial"/>
          <w:sz w:val="22"/>
          <w:szCs w:val="22"/>
        </w:rPr>
      </w:pPr>
      <w:r w:rsidRPr="00050094">
        <w:rPr>
          <w:rFonts w:ascii="Arial" w:hAnsi="Arial" w:cs="Arial"/>
          <w:sz w:val="22"/>
          <w:szCs w:val="22"/>
        </w:rPr>
        <w:t>Chapter Three discusses the research design with an explanation of the systematic literature review design, data collection procedure, inclusion criteria, and thematic analysis, including the application of PRISMA guidelines in ensuring transparency and rigour (Page et al., 2021). In chapter four, the findings and discussion are given where the major themes pertaining to family support and recovery will be analysed and connected to the existing theories and literature. The last chapter, Chapter Five gives recommendations and concludes the study by summarising the key findings and their implications to practice and policy</w:t>
      </w:r>
      <w:r w:rsidRPr="00050094" w:rsidR="004A27DF">
        <w:rPr>
          <w:rFonts w:ascii="Arial" w:hAnsi="Arial" w:cs="Arial"/>
          <w:sz w:val="22"/>
          <w:szCs w:val="22"/>
        </w:rPr>
        <w:t>.</w:t>
      </w:r>
    </w:p>
    <w:p w:rsidR="003502E9" w:rsidP="003502E9" w:rsidRDefault="003502E9" w14:paraId="237FB69D" w14:textId="77777777">
      <w:pPr>
        <w:spacing w:line="360" w:lineRule="auto"/>
        <w:rPr>
          <w:rFonts w:ascii="Arial" w:hAnsi="Arial" w:eastAsia="Times New Roman" w:cs="Arial"/>
          <w:kern w:val="0"/>
          <w:sz w:val="22"/>
          <w:szCs w:val="22"/>
          <w14:ligatures w14:val="none"/>
        </w:rPr>
      </w:pPr>
      <w:r>
        <w:rPr>
          <w:rFonts w:ascii="Arial" w:hAnsi="Arial" w:cs="Arial"/>
          <w:sz w:val="22"/>
          <w:szCs w:val="22"/>
        </w:rPr>
        <w:br w:type="page"/>
      </w:r>
    </w:p>
    <w:p w:rsidRPr="00050094" w:rsidR="004A27DF" w:rsidP="003502E9" w:rsidRDefault="004A27DF" w14:paraId="10849E45" w14:textId="77777777">
      <w:pPr>
        <w:pStyle w:val="NormalWeb"/>
        <w:spacing w:line="360" w:lineRule="auto"/>
        <w:jc w:val="both"/>
        <w:rPr>
          <w:rFonts w:ascii="Arial" w:hAnsi="Arial" w:cs="Arial"/>
          <w:sz w:val="22"/>
          <w:szCs w:val="22"/>
        </w:rPr>
      </w:pPr>
    </w:p>
    <w:p w:rsidRPr="00050094" w:rsidR="00275A3E" w:rsidP="003502E9" w:rsidRDefault="00275A3E" w14:paraId="14D6CEE1" w14:textId="1091E38D">
      <w:pPr>
        <w:pStyle w:val="Heading1"/>
        <w:spacing w:line="360" w:lineRule="auto"/>
        <w:jc w:val="both"/>
        <w:rPr>
          <w:rFonts w:ascii="Arial" w:hAnsi="Arial" w:cs="Arial"/>
          <w:b/>
          <w:bCs/>
          <w:color w:val="auto"/>
          <w:sz w:val="32"/>
          <w:szCs w:val="32"/>
        </w:rPr>
      </w:pPr>
      <w:bookmarkStart w:name="_Toc225378501" w:id="13"/>
      <w:r w:rsidRPr="00050094">
        <w:rPr>
          <w:rFonts w:ascii="Arial" w:hAnsi="Arial" w:cs="Arial"/>
          <w:b/>
          <w:bCs/>
          <w:color w:val="auto"/>
          <w:sz w:val="32"/>
          <w:szCs w:val="32"/>
        </w:rPr>
        <w:t xml:space="preserve">CHAPTER 2: </w:t>
      </w:r>
      <w:r w:rsidR="003502E9">
        <w:rPr>
          <w:rFonts w:ascii="Arial" w:hAnsi="Arial" w:cs="Arial"/>
          <w:b/>
          <w:bCs/>
          <w:color w:val="auto"/>
          <w:sz w:val="32"/>
          <w:szCs w:val="32"/>
        </w:rPr>
        <w:t>Background</w:t>
      </w:r>
      <w:bookmarkEnd w:id="13"/>
    </w:p>
    <w:p w:rsidRPr="00050094" w:rsidR="00275A3E" w:rsidP="003502E9" w:rsidRDefault="00275A3E" w14:paraId="72204492" w14:textId="4A6DD399">
      <w:pPr>
        <w:pStyle w:val="Heading2"/>
        <w:spacing w:line="360" w:lineRule="auto"/>
        <w:jc w:val="both"/>
        <w:rPr>
          <w:rFonts w:ascii="Arial" w:hAnsi="Arial" w:cs="Arial"/>
          <w:b/>
          <w:bCs/>
          <w:i/>
          <w:iCs/>
          <w:color w:val="auto"/>
          <w:sz w:val="28"/>
          <w:szCs w:val="28"/>
        </w:rPr>
      </w:pPr>
      <w:bookmarkStart w:name="_Toc225378502" w:id="14"/>
      <w:r w:rsidRPr="00050094">
        <w:rPr>
          <w:rFonts w:ascii="Arial" w:hAnsi="Arial" w:cs="Arial"/>
          <w:b/>
          <w:bCs/>
          <w:i/>
          <w:iCs/>
          <w:color w:val="auto"/>
          <w:sz w:val="28"/>
          <w:szCs w:val="28"/>
        </w:rPr>
        <w:t>2.1 Introduction</w:t>
      </w:r>
      <w:bookmarkEnd w:id="14"/>
      <w:r w:rsidRPr="00050094">
        <w:rPr>
          <w:rFonts w:ascii="Arial" w:hAnsi="Arial" w:cs="Arial"/>
          <w:b/>
          <w:bCs/>
          <w:i/>
          <w:iCs/>
          <w:color w:val="auto"/>
          <w:sz w:val="28"/>
          <w:szCs w:val="28"/>
        </w:rPr>
        <w:t xml:space="preserve"> </w:t>
      </w:r>
    </w:p>
    <w:p w:rsidRPr="00050094" w:rsidR="0008442A" w:rsidP="003502E9" w:rsidRDefault="0008442A" w14:paraId="6F4DAF8E" w14:textId="09F2F1F9">
      <w:pPr>
        <w:spacing w:line="360" w:lineRule="auto"/>
        <w:jc w:val="both"/>
        <w:rPr>
          <w:rFonts w:ascii="Arial" w:hAnsi="Arial" w:cs="Arial"/>
          <w:sz w:val="22"/>
          <w:szCs w:val="22"/>
        </w:rPr>
      </w:pPr>
      <w:r w:rsidRPr="00050094">
        <w:rPr>
          <w:rFonts w:ascii="Arial" w:hAnsi="Arial" w:cs="Arial"/>
          <w:sz w:val="22"/>
          <w:szCs w:val="22"/>
        </w:rPr>
        <w:t>The chapter is a critical review of current literature that has been related to mental health recovery as well as the role of family support in the UK situation. It addresses the creation of a theoretical and empirical base of the research through the analysis of the major concepts, models, and evidence related to recovery-oriented practice and social support systems (</w:t>
      </w:r>
      <w:proofErr w:type="spellStart"/>
      <w:r w:rsidRPr="00050094" w:rsidR="009D1B8A">
        <w:rPr>
          <w:rFonts w:ascii="Arial" w:hAnsi="Arial" w:cs="Arial"/>
          <w:sz w:val="22"/>
          <w:szCs w:val="22"/>
        </w:rPr>
        <w:t>Balenzano</w:t>
      </w:r>
      <w:proofErr w:type="spellEnd"/>
      <w:r w:rsidRPr="00050094" w:rsidR="009D1B8A">
        <w:rPr>
          <w:rFonts w:ascii="Arial" w:hAnsi="Arial" w:cs="Arial"/>
          <w:sz w:val="22"/>
          <w:szCs w:val="22"/>
        </w:rPr>
        <w:t xml:space="preserve"> and Moro, 2021</w:t>
      </w:r>
      <w:r w:rsidRPr="00050094">
        <w:rPr>
          <w:rFonts w:ascii="Arial" w:hAnsi="Arial" w:cs="Arial"/>
          <w:sz w:val="22"/>
          <w:szCs w:val="22"/>
        </w:rPr>
        <w:t>; Davidson et al., 2021). The chapter starts with the discussion of the concept of mental health recovery, and it is then succeeded by the analysis of the social support and the particular role that family involvement plays in improving recovery outcomes (Bjørlykhaug et al., 2022).</w:t>
      </w:r>
    </w:p>
    <w:p w:rsidRPr="00050094" w:rsidR="00275A3E" w:rsidP="003502E9" w:rsidRDefault="0008442A" w14:paraId="4C07DBF3" w14:textId="169EA9D0">
      <w:pPr>
        <w:spacing w:line="360" w:lineRule="auto"/>
        <w:jc w:val="both"/>
        <w:rPr>
          <w:rFonts w:ascii="Arial" w:hAnsi="Arial" w:cs="Arial"/>
          <w:sz w:val="22"/>
          <w:szCs w:val="22"/>
        </w:rPr>
      </w:pPr>
      <w:r w:rsidRPr="00050094">
        <w:rPr>
          <w:rFonts w:ascii="Arial" w:hAnsi="Arial" w:cs="Arial"/>
          <w:sz w:val="22"/>
          <w:szCs w:val="22"/>
        </w:rPr>
        <w:t xml:space="preserve">It also assesses obstructacles to family inclusion rather critically and finds gaps in the existing scientific literature, which explains the necessity of this study (Carbonell et al., 2020; </w:t>
      </w:r>
      <w:r w:rsidRPr="00050094" w:rsidR="009D1B8A">
        <w:rPr>
          <w:rFonts w:ascii="Arial" w:hAnsi="Arial" w:cs="Arial"/>
          <w:sz w:val="22"/>
          <w:szCs w:val="22"/>
        </w:rPr>
        <w:t>Edwards</w:t>
      </w:r>
      <w:r w:rsidRPr="00050094" w:rsidR="009D1B8A">
        <w:rPr>
          <w:rFonts w:ascii="Arial" w:hAnsi="Arial" w:cs="Arial"/>
          <w:sz w:val="22"/>
          <w:szCs w:val="22"/>
        </w:rPr>
        <w:t xml:space="preserve"> et al</w:t>
      </w:r>
      <w:r w:rsidRPr="00050094" w:rsidR="009D1B8A">
        <w:rPr>
          <w:rFonts w:ascii="Arial" w:hAnsi="Arial" w:cs="Arial"/>
          <w:sz w:val="22"/>
          <w:szCs w:val="22"/>
        </w:rPr>
        <w:t>., 2018</w:t>
      </w:r>
      <w:r w:rsidRPr="00050094" w:rsidR="00275A3E">
        <w:rPr>
          <w:rFonts w:ascii="Arial" w:hAnsi="Arial" w:cs="Arial"/>
          <w:sz w:val="22"/>
          <w:szCs w:val="22"/>
        </w:rPr>
        <w:t>).</w:t>
      </w:r>
    </w:p>
    <w:p w:rsidRPr="00050094" w:rsidR="00275A3E" w:rsidP="003502E9" w:rsidRDefault="00275A3E" w14:paraId="1E17A94F" w14:textId="44A219CB">
      <w:pPr>
        <w:pStyle w:val="Heading2"/>
        <w:spacing w:line="360" w:lineRule="auto"/>
        <w:jc w:val="both"/>
        <w:rPr>
          <w:rFonts w:ascii="Arial" w:hAnsi="Arial" w:cs="Arial"/>
          <w:b/>
          <w:bCs/>
          <w:i/>
          <w:iCs/>
          <w:color w:val="auto"/>
          <w:sz w:val="28"/>
          <w:szCs w:val="28"/>
        </w:rPr>
      </w:pPr>
      <w:bookmarkStart w:name="_Toc225378503" w:id="15"/>
      <w:r w:rsidRPr="00050094">
        <w:rPr>
          <w:rFonts w:ascii="Arial" w:hAnsi="Arial" w:cs="Arial"/>
          <w:b/>
          <w:bCs/>
          <w:i/>
          <w:iCs/>
          <w:color w:val="auto"/>
          <w:sz w:val="28"/>
          <w:szCs w:val="28"/>
        </w:rPr>
        <w:t>2.2 Concept of Mental Health Recovery</w:t>
      </w:r>
      <w:bookmarkEnd w:id="15"/>
      <w:r w:rsidRPr="00050094">
        <w:rPr>
          <w:rFonts w:ascii="Arial" w:hAnsi="Arial" w:cs="Arial"/>
          <w:b/>
          <w:bCs/>
          <w:i/>
          <w:iCs/>
          <w:color w:val="auto"/>
          <w:sz w:val="28"/>
          <w:szCs w:val="28"/>
        </w:rPr>
        <w:t xml:space="preserve"> </w:t>
      </w:r>
    </w:p>
    <w:p w:rsidRPr="00050094" w:rsidR="0008442A" w:rsidP="003502E9" w:rsidRDefault="0008442A" w14:paraId="3D46A116" w14:textId="5E864FF0">
      <w:pPr>
        <w:spacing w:line="360" w:lineRule="auto"/>
        <w:jc w:val="both"/>
        <w:rPr>
          <w:rFonts w:ascii="Arial" w:hAnsi="Arial" w:cs="Arial"/>
          <w:sz w:val="22"/>
          <w:szCs w:val="22"/>
        </w:rPr>
      </w:pPr>
      <w:r w:rsidRPr="00050094">
        <w:rPr>
          <w:rFonts w:ascii="Arial" w:hAnsi="Arial" w:cs="Arial"/>
          <w:sz w:val="22"/>
          <w:szCs w:val="22"/>
        </w:rPr>
        <w:t>The conceptualisation of mental health recovery has broadly been developed in the form of a multidimensional, individualised process that goes beyond a reduction of clinical symptoms and incorporates social integration, reconstructing identity, and better quality of life (Leamy et al., 2011; Anthony et al., 2003). The early recovery models stressed the role of hope, empowerment, and self-determination as one of the active participants in the recovery process and not a passive recipient of care. Such frameworks emphasize that recovery is not linear and its differences exist in individuals in relation to individual and contextual factors (Leamy et al., 2011).</w:t>
      </w:r>
    </w:p>
    <w:p w:rsidRPr="00050094" w:rsidR="0008442A" w:rsidP="003502E9" w:rsidRDefault="0008442A" w14:paraId="599E9EB5" w14:textId="61B5860C">
      <w:pPr>
        <w:spacing w:line="360" w:lineRule="auto"/>
        <w:jc w:val="both"/>
        <w:rPr>
          <w:rFonts w:ascii="Arial" w:hAnsi="Arial" w:cs="Arial"/>
          <w:sz w:val="22"/>
          <w:szCs w:val="22"/>
        </w:rPr>
      </w:pPr>
      <w:r w:rsidRPr="00050094">
        <w:rPr>
          <w:rFonts w:ascii="Arial" w:hAnsi="Arial" w:cs="Arial"/>
          <w:sz w:val="22"/>
          <w:szCs w:val="22"/>
        </w:rPr>
        <w:t>More modern methods have incorporated wellbeing as a notion within recovery because mental health has been identified to be strongly associated with life contentment, functioning, and resiliency (Marques and Battistella, 2025). This view changes the emphasis on empowering people to live meaningful lives even with prevailing mental health conditions.</w:t>
      </w:r>
    </w:p>
    <w:p w:rsidRPr="00050094" w:rsidR="00275A3E" w:rsidP="003502E9" w:rsidRDefault="0008442A" w14:paraId="1971CA50" w14:textId="5D90B2C2">
      <w:pPr>
        <w:spacing w:line="360" w:lineRule="auto"/>
        <w:jc w:val="both"/>
        <w:rPr>
          <w:rFonts w:ascii="Arial" w:hAnsi="Arial" w:cs="Arial"/>
          <w:sz w:val="22"/>
          <w:szCs w:val="22"/>
        </w:rPr>
      </w:pPr>
      <w:r w:rsidRPr="00050094">
        <w:rPr>
          <w:rFonts w:ascii="Arial" w:hAnsi="Arial" w:cs="Arial"/>
          <w:sz w:val="22"/>
          <w:szCs w:val="22"/>
        </w:rPr>
        <w:t xml:space="preserve">As well, modern recovery models additionally highlight the importance of community-based care and support systems, which encourages social inclusion and the sustainability of recovery outcomes in the long-term (Dell et al., 2021; Davidson et al., 2021). The models emphasize the importance of environmental and relational factors and imply that recovery might not only depend </w:t>
      </w:r>
      <w:r w:rsidRPr="00050094">
        <w:rPr>
          <w:rFonts w:ascii="Arial" w:hAnsi="Arial" w:cs="Arial"/>
          <w:sz w:val="22"/>
          <w:szCs w:val="22"/>
        </w:rPr>
        <w:lastRenderedPageBreak/>
        <w:t xml:space="preserve">on the efforts of an individual, but it is also affected by the wider social support systems </w:t>
      </w:r>
      <w:r w:rsidRPr="00050094" w:rsidR="009D1B8A">
        <w:rPr>
          <w:rFonts w:ascii="Arial" w:hAnsi="Arial" w:cs="Arial"/>
          <w:sz w:val="22"/>
          <w:szCs w:val="22"/>
        </w:rPr>
        <w:t>(</w:t>
      </w:r>
      <w:r w:rsidRPr="00050094" w:rsidR="009D1B8A">
        <w:rPr>
          <w:rFonts w:ascii="Arial" w:hAnsi="Arial" w:cs="Arial"/>
          <w:sz w:val="22"/>
          <w:szCs w:val="22"/>
        </w:rPr>
        <w:t>Camilleri, and Scerri, 2025</w:t>
      </w:r>
      <w:r w:rsidRPr="00050094" w:rsidR="00275A3E">
        <w:rPr>
          <w:rFonts w:ascii="Arial" w:hAnsi="Arial" w:cs="Arial"/>
          <w:sz w:val="22"/>
          <w:szCs w:val="22"/>
        </w:rPr>
        <w:t>).</w:t>
      </w:r>
    </w:p>
    <w:p w:rsidRPr="00050094" w:rsidR="00275A3E" w:rsidP="003502E9" w:rsidRDefault="00275A3E" w14:paraId="53DD79D3" w14:textId="4B2CB432">
      <w:pPr>
        <w:pStyle w:val="Heading2"/>
        <w:spacing w:line="360" w:lineRule="auto"/>
        <w:jc w:val="both"/>
        <w:rPr>
          <w:rFonts w:ascii="Arial" w:hAnsi="Arial" w:cs="Arial"/>
          <w:b/>
          <w:bCs/>
          <w:i/>
          <w:iCs/>
          <w:color w:val="auto"/>
          <w:sz w:val="28"/>
          <w:szCs w:val="28"/>
        </w:rPr>
      </w:pPr>
      <w:bookmarkStart w:name="_Toc225378504" w:id="16"/>
      <w:r w:rsidRPr="00050094">
        <w:rPr>
          <w:rFonts w:ascii="Arial" w:hAnsi="Arial" w:cs="Arial"/>
          <w:b/>
          <w:bCs/>
          <w:i/>
          <w:iCs/>
          <w:color w:val="auto"/>
          <w:sz w:val="28"/>
          <w:szCs w:val="28"/>
        </w:rPr>
        <w:t>2.3 Social Support and Recovery</w:t>
      </w:r>
      <w:bookmarkEnd w:id="16"/>
      <w:r w:rsidRPr="00050094">
        <w:rPr>
          <w:rFonts w:ascii="Arial" w:hAnsi="Arial" w:cs="Arial"/>
          <w:b/>
          <w:bCs/>
          <w:i/>
          <w:iCs/>
          <w:color w:val="auto"/>
          <w:sz w:val="28"/>
          <w:szCs w:val="28"/>
        </w:rPr>
        <w:t xml:space="preserve"> </w:t>
      </w:r>
    </w:p>
    <w:p w:rsidRPr="00050094" w:rsidR="0008442A" w:rsidP="003502E9" w:rsidRDefault="0008442A" w14:paraId="57F7C76A" w14:textId="05D6EDAC">
      <w:pPr>
        <w:spacing w:line="360" w:lineRule="auto"/>
        <w:jc w:val="both"/>
        <w:rPr>
          <w:rFonts w:ascii="Arial" w:hAnsi="Arial" w:cs="Arial"/>
          <w:sz w:val="22"/>
          <w:szCs w:val="22"/>
        </w:rPr>
      </w:pPr>
      <w:r w:rsidRPr="00050094">
        <w:rPr>
          <w:rFonts w:ascii="Arial" w:hAnsi="Arial" w:cs="Arial"/>
          <w:sz w:val="22"/>
          <w:szCs w:val="22"/>
        </w:rPr>
        <w:t>Social support is a vital component of mental health recovery as it gives individuals emotional, informational, and practical resources to recover and become resilient. According to the buffering theory (Cohen and Wills 1985), social support contains the bad impacts of stressful experiences by boosting the abilities of an individual to handle such difficult circumstances and be psychologically well. This theory offers a good theoretical background on the role played by support systems in the recovery processes</w:t>
      </w:r>
      <w:r w:rsidRPr="00050094" w:rsidR="00050094">
        <w:rPr>
          <w:rFonts w:ascii="Arial" w:hAnsi="Arial" w:cs="Arial"/>
          <w:sz w:val="22"/>
          <w:szCs w:val="22"/>
        </w:rPr>
        <w:t>.</w:t>
      </w:r>
    </w:p>
    <w:p w:rsidRPr="00050094" w:rsidR="0008442A" w:rsidP="003502E9" w:rsidRDefault="0008442A" w14:paraId="57AA204C" w14:textId="21CE2E1D">
      <w:pPr>
        <w:spacing w:line="360" w:lineRule="auto"/>
        <w:jc w:val="both"/>
        <w:rPr>
          <w:rFonts w:ascii="Arial" w:hAnsi="Arial" w:cs="Arial"/>
          <w:sz w:val="22"/>
          <w:szCs w:val="22"/>
        </w:rPr>
      </w:pPr>
      <w:r w:rsidRPr="00050094">
        <w:rPr>
          <w:rFonts w:ascii="Arial" w:hAnsi="Arial" w:cs="Arial"/>
          <w:sz w:val="22"/>
          <w:szCs w:val="22"/>
        </w:rPr>
        <w:t>Empirical studies also prove the role of social networks in the recovery results as a supportive relationship may enhance both the rate of treatment compliance and the level of relapse, as well as overall wellbeing (McGaffin et al., 2018; Khan and Sultan, 2023). These results suggest that those who have more supportive relationships have higher chances to show positive recovery patterns and maintain a stable and healthy condition in the long term.</w:t>
      </w:r>
    </w:p>
    <w:p w:rsidRPr="00050094" w:rsidR="00275A3E" w:rsidP="003502E9" w:rsidRDefault="0008442A" w14:paraId="7A8C1555" w14:textId="34A5E7F0">
      <w:pPr>
        <w:spacing w:line="360" w:lineRule="auto"/>
        <w:jc w:val="both"/>
        <w:rPr>
          <w:rFonts w:ascii="Arial" w:hAnsi="Arial" w:cs="Arial"/>
          <w:sz w:val="22"/>
          <w:szCs w:val="22"/>
        </w:rPr>
      </w:pPr>
      <w:r w:rsidRPr="00050094">
        <w:rPr>
          <w:rFonts w:ascii="Arial" w:hAnsi="Arial" w:cs="Arial"/>
          <w:sz w:val="22"/>
          <w:szCs w:val="22"/>
        </w:rPr>
        <w:t>Besides, the wider role of social networks in health has been demonstrated worldwide, and the World Health Organization acknowledges social support as a principal factor of mental wellbeing and health (World Health Organization, 2025). This supports the need of incorporating the social support system into recovery-oriented mental health services in order to attain long-term and comprehensive results</w:t>
      </w:r>
      <w:r w:rsidRPr="00050094" w:rsidR="00275A3E">
        <w:rPr>
          <w:rFonts w:ascii="Arial" w:hAnsi="Arial" w:cs="Arial"/>
          <w:sz w:val="22"/>
          <w:szCs w:val="22"/>
        </w:rPr>
        <w:t>.</w:t>
      </w:r>
    </w:p>
    <w:p w:rsidRPr="00050094" w:rsidR="00275A3E" w:rsidP="003502E9" w:rsidRDefault="00275A3E" w14:paraId="33CD4EB4" w14:textId="2CD2CCC3">
      <w:pPr>
        <w:pStyle w:val="Heading2"/>
        <w:spacing w:line="360" w:lineRule="auto"/>
        <w:jc w:val="both"/>
        <w:rPr>
          <w:rFonts w:ascii="Arial" w:hAnsi="Arial" w:cs="Arial"/>
          <w:b/>
          <w:bCs/>
          <w:i/>
          <w:iCs/>
          <w:color w:val="auto"/>
          <w:sz w:val="28"/>
          <w:szCs w:val="28"/>
        </w:rPr>
      </w:pPr>
      <w:bookmarkStart w:name="_Toc225378505" w:id="17"/>
      <w:r w:rsidRPr="00050094">
        <w:rPr>
          <w:rFonts w:ascii="Arial" w:hAnsi="Arial" w:cs="Arial"/>
          <w:b/>
          <w:bCs/>
          <w:i/>
          <w:iCs/>
          <w:color w:val="auto"/>
          <w:sz w:val="28"/>
          <w:szCs w:val="28"/>
        </w:rPr>
        <w:t>2.4 Role of Family Support</w:t>
      </w:r>
      <w:bookmarkEnd w:id="17"/>
      <w:r w:rsidRPr="00050094">
        <w:rPr>
          <w:rFonts w:ascii="Arial" w:hAnsi="Arial" w:cs="Arial"/>
          <w:b/>
          <w:bCs/>
          <w:i/>
          <w:iCs/>
          <w:color w:val="auto"/>
          <w:sz w:val="28"/>
          <w:szCs w:val="28"/>
        </w:rPr>
        <w:t xml:space="preserve"> </w:t>
      </w:r>
    </w:p>
    <w:p w:rsidRPr="00050094" w:rsidR="0008442A" w:rsidP="003502E9" w:rsidRDefault="0008442A" w14:paraId="657A41F8" w14:textId="55B92C3B">
      <w:pPr>
        <w:spacing w:line="360" w:lineRule="auto"/>
        <w:jc w:val="both"/>
        <w:rPr>
          <w:rFonts w:ascii="Arial" w:hAnsi="Arial" w:cs="Arial"/>
          <w:sz w:val="22"/>
          <w:szCs w:val="22"/>
        </w:rPr>
      </w:pPr>
      <w:r w:rsidRPr="00050094">
        <w:rPr>
          <w:rFonts w:ascii="Arial" w:hAnsi="Arial" w:cs="Arial"/>
          <w:sz w:val="22"/>
          <w:szCs w:val="22"/>
        </w:rPr>
        <w:t>The family support is core in recovery of mental health service users through a mix of emotional, practical and advocacy support. Family members can offer emotional support, including empathy, reassurance and encouragement, as well as helping a person manage psychological distress and improve the sense of belonging and stability (Cameron et al., 2023). Simultaneously, practical assistance such as support with daily tasks, medication, and receiving healthcare services would help lead to better treatment adherence and continuity of the care (</w:t>
      </w:r>
      <w:proofErr w:type="spellStart"/>
      <w:r w:rsidRPr="00050094" w:rsidR="00050094">
        <w:rPr>
          <w:rFonts w:ascii="Arial" w:hAnsi="Arial" w:cs="Arial"/>
          <w:sz w:val="22"/>
          <w:szCs w:val="22"/>
        </w:rPr>
        <w:t>Chatwiriyaphong</w:t>
      </w:r>
      <w:proofErr w:type="spellEnd"/>
      <w:r w:rsidRPr="00050094" w:rsidR="00050094">
        <w:rPr>
          <w:rFonts w:ascii="Arial" w:hAnsi="Arial" w:cs="Arial"/>
          <w:sz w:val="22"/>
          <w:szCs w:val="22"/>
        </w:rPr>
        <w:t xml:space="preserve"> et al</w:t>
      </w:r>
      <w:r w:rsidRPr="00050094" w:rsidR="00050094">
        <w:rPr>
          <w:rFonts w:ascii="Arial" w:hAnsi="Arial" w:cs="Arial"/>
          <w:sz w:val="22"/>
          <w:szCs w:val="22"/>
        </w:rPr>
        <w:t>.</w:t>
      </w:r>
      <w:r w:rsidRPr="00050094" w:rsidR="00050094">
        <w:rPr>
          <w:rFonts w:ascii="Arial" w:hAnsi="Arial" w:cs="Arial"/>
          <w:sz w:val="22"/>
          <w:szCs w:val="22"/>
        </w:rPr>
        <w:t>,</w:t>
      </w:r>
      <w:r w:rsidRPr="00050094" w:rsidR="00050094">
        <w:rPr>
          <w:rFonts w:ascii="Arial" w:hAnsi="Arial" w:cs="Arial"/>
          <w:sz w:val="22"/>
          <w:szCs w:val="22"/>
        </w:rPr>
        <w:t xml:space="preserve"> 2023</w:t>
      </w:r>
      <w:r w:rsidRPr="00050094">
        <w:rPr>
          <w:rFonts w:ascii="Arial" w:hAnsi="Arial" w:cs="Arial"/>
          <w:sz w:val="22"/>
          <w:szCs w:val="22"/>
        </w:rPr>
        <w:t>).</w:t>
      </w:r>
    </w:p>
    <w:p w:rsidRPr="00050094" w:rsidR="0008442A" w:rsidP="003502E9" w:rsidRDefault="0008442A" w14:paraId="1E41B611" w14:textId="0448EF25">
      <w:pPr>
        <w:spacing w:line="360" w:lineRule="auto"/>
        <w:jc w:val="both"/>
        <w:rPr>
          <w:rFonts w:ascii="Arial" w:hAnsi="Arial" w:cs="Arial"/>
          <w:sz w:val="22"/>
          <w:szCs w:val="22"/>
        </w:rPr>
      </w:pPr>
      <w:r w:rsidRPr="00050094">
        <w:rPr>
          <w:rFonts w:ascii="Arial" w:hAnsi="Arial" w:cs="Arial"/>
          <w:sz w:val="22"/>
          <w:szCs w:val="22"/>
        </w:rPr>
        <w:t>Theoretically, family therapy theory, and specifically the family systems theory by Bowen underscores the fact that one should not be understood out of the family context as family relationships have considerable role in behaviour, coping skills and emotional wellbeing (Bowen, 1978). This viewpoint points out that recovery cannot occur without support, communication, and understanding in the family, as far as there is support, the family dynamics will support recovery.</w:t>
      </w:r>
    </w:p>
    <w:p w:rsidRPr="00050094" w:rsidR="00275A3E" w:rsidP="003502E9" w:rsidRDefault="0008442A" w14:paraId="010305F0" w14:textId="577B08C0">
      <w:pPr>
        <w:spacing w:line="360" w:lineRule="auto"/>
        <w:jc w:val="both"/>
        <w:rPr>
          <w:rFonts w:ascii="Arial" w:hAnsi="Arial" w:cs="Arial"/>
          <w:sz w:val="22"/>
          <w:szCs w:val="22"/>
        </w:rPr>
      </w:pPr>
      <w:r w:rsidRPr="00050094">
        <w:rPr>
          <w:rFonts w:ascii="Arial" w:hAnsi="Arial" w:cs="Arial"/>
          <w:sz w:val="22"/>
          <w:szCs w:val="22"/>
        </w:rPr>
        <w:lastRenderedPageBreak/>
        <w:t>Empirical data also show that family engagement is linked to better recovery rates, such as lower levels of relapses, better emotional health, and greater access to mental health care (Norton and Cuskelly, 2021; Arya and Rentala, 2024). Recovery interventions that involve family have also been reported to enhance resilience and stable conditions in the long term among service users (</w:t>
      </w:r>
      <w:proofErr w:type="spellStart"/>
      <w:r w:rsidRPr="00050094" w:rsidR="00050094">
        <w:rPr>
          <w:rFonts w:ascii="Arial" w:hAnsi="Arial" w:cs="Arial"/>
          <w:sz w:val="22"/>
          <w:szCs w:val="22"/>
        </w:rPr>
        <w:t>Dallinger</w:t>
      </w:r>
      <w:proofErr w:type="spellEnd"/>
      <w:r w:rsidRPr="00050094" w:rsidR="00050094">
        <w:rPr>
          <w:rFonts w:ascii="Arial" w:hAnsi="Arial" w:cs="Arial"/>
          <w:sz w:val="22"/>
          <w:szCs w:val="22"/>
        </w:rPr>
        <w:t xml:space="preserve"> </w:t>
      </w:r>
      <w:r w:rsidRPr="00050094" w:rsidR="00050094">
        <w:rPr>
          <w:rFonts w:ascii="Arial" w:hAnsi="Arial" w:cs="Arial"/>
          <w:i/>
          <w:iCs/>
          <w:sz w:val="22"/>
          <w:szCs w:val="22"/>
        </w:rPr>
        <w:t>et al.</w:t>
      </w:r>
      <w:r w:rsidRPr="00050094" w:rsidR="00050094">
        <w:rPr>
          <w:rFonts w:ascii="Arial" w:hAnsi="Arial" w:cs="Arial"/>
          <w:sz w:val="22"/>
          <w:szCs w:val="22"/>
        </w:rPr>
        <w:t xml:space="preserve">, </w:t>
      </w:r>
      <w:r w:rsidRPr="00050094" w:rsidR="00050094">
        <w:rPr>
          <w:rFonts w:ascii="Arial" w:hAnsi="Arial" w:cs="Arial"/>
          <w:sz w:val="22"/>
          <w:szCs w:val="22"/>
        </w:rPr>
        <w:t>2023</w:t>
      </w:r>
      <w:r w:rsidRPr="00050094">
        <w:rPr>
          <w:rFonts w:ascii="Arial" w:hAnsi="Arial" w:cs="Arial"/>
          <w:sz w:val="22"/>
          <w:szCs w:val="22"/>
        </w:rPr>
        <w:t>). Nevertheless, the efficiency of the family support is limited by the level at which the families are informed, supported, and even being actively engaged in the process of care</w:t>
      </w:r>
      <w:r w:rsidRPr="00050094" w:rsidR="00275A3E">
        <w:rPr>
          <w:rFonts w:ascii="Arial" w:hAnsi="Arial" w:cs="Arial"/>
          <w:sz w:val="22"/>
          <w:szCs w:val="22"/>
        </w:rPr>
        <w:t>.</w:t>
      </w:r>
    </w:p>
    <w:p w:rsidRPr="00050094" w:rsidR="00275A3E" w:rsidP="003502E9" w:rsidRDefault="00275A3E" w14:paraId="6C0772E5" w14:textId="11564B3D">
      <w:pPr>
        <w:pStyle w:val="Heading2"/>
        <w:spacing w:line="360" w:lineRule="auto"/>
        <w:jc w:val="both"/>
        <w:rPr>
          <w:rFonts w:ascii="Arial" w:hAnsi="Arial" w:cs="Arial"/>
          <w:b/>
          <w:bCs/>
          <w:i/>
          <w:iCs/>
          <w:color w:val="auto"/>
          <w:sz w:val="28"/>
          <w:szCs w:val="28"/>
        </w:rPr>
      </w:pPr>
      <w:bookmarkStart w:name="_Toc225378506" w:id="18"/>
      <w:r w:rsidRPr="00050094">
        <w:rPr>
          <w:rFonts w:ascii="Arial" w:hAnsi="Arial" w:cs="Arial"/>
          <w:b/>
          <w:bCs/>
          <w:i/>
          <w:iCs/>
          <w:color w:val="auto"/>
          <w:sz w:val="28"/>
          <w:szCs w:val="28"/>
        </w:rPr>
        <w:t>2.5 Family Involvement in the UK Mental Health System</w:t>
      </w:r>
      <w:bookmarkEnd w:id="18"/>
      <w:r w:rsidRPr="00050094">
        <w:rPr>
          <w:rFonts w:ascii="Arial" w:hAnsi="Arial" w:cs="Arial"/>
          <w:b/>
          <w:bCs/>
          <w:i/>
          <w:iCs/>
          <w:color w:val="auto"/>
          <w:sz w:val="28"/>
          <w:szCs w:val="28"/>
        </w:rPr>
        <w:t xml:space="preserve"> </w:t>
      </w:r>
    </w:p>
    <w:p w:rsidRPr="00050094" w:rsidR="00C776C7" w:rsidP="003502E9" w:rsidRDefault="00C776C7" w14:paraId="5CCC1FF4" w14:textId="77777777">
      <w:pPr>
        <w:spacing w:line="360" w:lineRule="auto"/>
        <w:jc w:val="both"/>
        <w:rPr>
          <w:rFonts w:ascii="Arial" w:hAnsi="Arial" w:cs="Arial"/>
          <w:sz w:val="22"/>
          <w:szCs w:val="22"/>
        </w:rPr>
      </w:pPr>
      <w:r w:rsidRPr="00050094">
        <w:rPr>
          <w:rFonts w:ascii="Arial" w:hAnsi="Arial" w:cs="Arial"/>
          <w:sz w:val="22"/>
          <w:szCs w:val="22"/>
        </w:rPr>
        <w:t>Family involvement has been gradually considered an important aspect of mental health care in the UK, especially in the context of recovery-based and community-based mental services. The National Health Service advocates collaborative models of care that will foster the involvement of families in the process of planning treatments, making decisions, and supporting the service users (NHS England, 2024). The objectives of these approaches are to increase continuity of care and the effective recovery outcomes through the incorporation of family support within formal healthcare systems (NHS England, 2024).</w:t>
      </w:r>
    </w:p>
    <w:p w:rsidRPr="00050094" w:rsidR="00C776C7" w:rsidP="003502E9" w:rsidRDefault="00C776C7" w14:paraId="1DF2C8D5" w14:textId="77777777">
      <w:pPr>
        <w:spacing w:line="360" w:lineRule="auto"/>
        <w:jc w:val="both"/>
        <w:rPr>
          <w:rFonts w:ascii="Arial" w:hAnsi="Arial" w:cs="Arial"/>
          <w:sz w:val="22"/>
          <w:szCs w:val="22"/>
        </w:rPr>
      </w:pPr>
      <w:r w:rsidRPr="00050094">
        <w:rPr>
          <w:rFonts w:ascii="Arial" w:hAnsi="Arial" w:cs="Arial"/>
          <w:sz w:val="22"/>
          <w:szCs w:val="22"/>
        </w:rPr>
        <w:t>Moreover, the emergence of integrated health and social care systems has strengthened the role of family involvement because they operate on the principle of coordinating services of various sectors to offer holistic and person-centred care (Henderson et al., 2021). The integrated care models acknowledge that families are crucial in the provision of care to individuals outside a clinical facility, especially during community-based recovery efforts (Baxter et al., 2018).</w:t>
      </w:r>
    </w:p>
    <w:p w:rsidRPr="00050094" w:rsidR="00275A3E" w:rsidP="003502E9" w:rsidRDefault="00C776C7" w14:paraId="4C94393D" w14:textId="060F4A28">
      <w:pPr>
        <w:spacing w:line="360" w:lineRule="auto"/>
        <w:jc w:val="both"/>
        <w:rPr>
          <w:rFonts w:ascii="Arial" w:hAnsi="Arial" w:cs="Arial"/>
          <w:sz w:val="22"/>
          <w:szCs w:val="22"/>
        </w:rPr>
      </w:pPr>
      <w:r w:rsidRPr="00050094">
        <w:rPr>
          <w:rFonts w:ascii="Arial" w:hAnsi="Arial" w:cs="Arial"/>
          <w:sz w:val="22"/>
          <w:szCs w:val="22"/>
        </w:rPr>
        <w:t>However, irrespective of these developments, the level of active family involvement in practice differs among services, which suggests that more solid adoption of family-inclusive strategies should be made in the UK mental health system (Henderson et al., 2021</w:t>
      </w:r>
      <w:r w:rsidRPr="00050094" w:rsidR="00275A3E">
        <w:rPr>
          <w:rFonts w:ascii="Arial" w:hAnsi="Arial" w:cs="Arial"/>
          <w:sz w:val="22"/>
          <w:szCs w:val="22"/>
        </w:rPr>
        <w:t>).</w:t>
      </w:r>
    </w:p>
    <w:p w:rsidRPr="00050094" w:rsidR="00275A3E" w:rsidP="003502E9" w:rsidRDefault="00275A3E" w14:paraId="6D64AEA7" w14:textId="6628FBD5">
      <w:pPr>
        <w:pStyle w:val="Heading2"/>
        <w:spacing w:line="360" w:lineRule="auto"/>
        <w:jc w:val="both"/>
        <w:rPr>
          <w:rFonts w:ascii="Arial" w:hAnsi="Arial" w:cs="Arial"/>
          <w:b/>
          <w:bCs/>
          <w:i/>
          <w:iCs/>
          <w:color w:val="auto"/>
          <w:sz w:val="28"/>
          <w:szCs w:val="28"/>
        </w:rPr>
      </w:pPr>
      <w:bookmarkStart w:name="_Toc225378507" w:id="19"/>
      <w:r w:rsidRPr="00050094">
        <w:rPr>
          <w:rFonts w:ascii="Arial" w:hAnsi="Arial" w:cs="Arial"/>
          <w:b/>
          <w:bCs/>
          <w:i/>
          <w:iCs/>
          <w:color w:val="auto"/>
          <w:sz w:val="28"/>
          <w:szCs w:val="28"/>
        </w:rPr>
        <w:t>2.6 Barriers to Family Involvement</w:t>
      </w:r>
      <w:bookmarkEnd w:id="19"/>
    </w:p>
    <w:p w:rsidRPr="00050094" w:rsidR="00C776C7" w:rsidP="003502E9" w:rsidRDefault="00C776C7" w14:paraId="16C51690" w14:textId="77777777">
      <w:pPr>
        <w:spacing w:line="360" w:lineRule="auto"/>
        <w:jc w:val="both"/>
        <w:rPr>
          <w:rFonts w:ascii="Arial" w:hAnsi="Arial" w:cs="Arial"/>
          <w:sz w:val="22"/>
          <w:szCs w:val="22"/>
        </w:rPr>
      </w:pPr>
      <w:r w:rsidRPr="00050094">
        <w:rPr>
          <w:rFonts w:ascii="Arial" w:hAnsi="Arial" w:cs="Arial"/>
          <w:sz w:val="22"/>
          <w:szCs w:val="22"/>
        </w:rPr>
        <w:t>Although the role of family support has been realised to be vital, a number of obstacles restrict the successful participation of families in mental health recovery. Mental illness stigma is one of the most pressing ones that may deter service users and their families to interact freely with mental health services (Wilson and McGuire, 2021). Secondary stigma can also affect the family members, which translates into the social isolation of the family and their lack of desire to engage in the care procedures (Yin et al., 2020).</w:t>
      </w:r>
    </w:p>
    <w:p w:rsidRPr="00050094" w:rsidR="00C776C7" w:rsidP="003502E9" w:rsidRDefault="00C776C7" w14:paraId="21FF52FA" w14:textId="77777777">
      <w:pPr>
        <w:spacing w:line="360" w:lineRule="auto"/>
        <w:jc w:val="both"/>
        <w:rPr>
          <w:rFonts w:ascii="Arial" w:hAnsi="Arial" w:cs="Arial"/>
          <w:sz w:val="22"/>
          <w:szCs w:val="22"/>
        </w:rPr>
      </w:pPr>
      <w:r w:rsidRPr="00050094">
        <w:rPr>
          <w:rFonts w:ascii="Arial" w:hAnsi="Arial" w:cs="Arial"/>
          <w:sz w:val="22"/>
          <w:szCs w:val="22"/>
        </w:rPr>
        <w:lastRenderedPageBreak/>
        <w:t>Further on, family involvement may be impeded by structural and systemic obstacles within healthcare systems. They consist of the lack of communication between professionals and families, issues of confidentiality and the absence of formal mechanisms to engage families in the planning of care (Wakida et al., 2018). These barriers can lead to a situation when the families are not included in the decision-making processes, although they are highly important in the process of supporting recovery (Carbonell et al., 2020).</w:t>
      </w:r>
    </w:p>
    <w:p w:rsidRPr="00050094" w:rsidR="00275A3E" w:rsidP="003502E9" w:rsidRDefault="00C776C7" w14:paraId="6EB28ED6" w14:textId="0135FCC9">
      <w:pPr>
        <w:spacing w:line="360" w:lineRule="auto"/>
        <w:jc w:val="both"/>
        <w:rPr>
          <w:rFonts w:ascii="Arial" w:hAnsi="Arial" w:cs="Arial"/>
          <w:sz w:val="22"/>
          <w:szCs w:val="22"/>
        </w:rPr>
      </w:pPr>
      <w:r w:rsidRPr="00050094">
        <w:rPr>
          <w:rFonts w:ascii="Arial" w:hAnsi="Arial" w:cs="Arial"/>
          <w:sz w:val="22"/>
          <w:szCs w:val="22"/>
        </w:rPr>
        <w:t>Furthermore, there is a high disconnection between policy and practice as various policies in the UK suggest the use of family-inclusive practices, yet do not guarantee their use in all services (</w:t>
      </w:r>
      <w:r w:rsidRPr="00050094" w:rsidR="009D1B8A">
        <w:rPr>
          <w:rFonts w:asciiTheme="minorBidi" w:hAnsiTheme="minorBidi"/>
        </w:rPr>
        <w:t>Waid</w:t>
      </w:r>
      <w:r w:rsidRPr="00050094" w:rsidR="009D1B8A">
        <w:rPr>
          <w:rFonts w:asciiTheme="minorBidi" w:hAnsiTheme="minorBidi"/>
        </w:rPr>
        <w:t xml:space="preserve"> </w:t>
      </w:r>
      <w:r w:rsidRPr="00050094" w:rsidR="009D1B8A">
        <w:rPr>
          <w:rFonts w:asciiTheme="minorBidi" w:hAnsiTheme="minorBidi"/>
        </w:rPr>
        <w:t>and Kelly, 2020</w:t>
      </w:r>
      <w:r w:rsidRPr="00050094">
        <w:rPr>
          <w:rFonts w:ascii="Arial" w:hAnsi="Arial" w:cs="Arial"/>
          <w:sz w:val="22"/>
          <w:szCs w:val="22"/>
        </w:rPr>
        <w:t>). This disconnect identifies the necessity of more prominent approaches to attaching families to mental health care in a meaningful and a sustainable way (Carbonell et al., 2020</w:t>
      </w:r>
      <w:r w:rsidRPr="00050094" w:rsidR="00275A3E">
        <w:rPr>
          <w:rFonts w:ascii="Arial" w:hAnsi="Arial" w:cs="Arial"/>
          <w:sz w:val="22"/>
          <w:szCs w:val="22"/>
        </w:rPr>
        <w:t>).</w:t>
      </w:r>
    </w:p>
    <w:p w:rsidRPr="00050094" w:rsidR="00275A3E" w:rsidP="003502E9" w:rsidRDefault="00275A3E" w14:paraId="71359DE2" w14:textId="17A8BD01">
      <w:pPr>
        <w:pStyle w:val="Heading2"/>
        <w:spacing w:line="360" w:lineRule="auto"/>
        <w:jc w:val="both"/>
        <w:rPr>
          <w:rFonts w:ascii="Arial" w:hAnsi="Arial" w:cs="Arial"/>
          <w:b/>
          <w:bCs/>
          <w:i/>
          <w:iCs/>
          <w:color w:val="auto"/>
          <w:sz w:val="28"/>
          <w:szCs w:val="28"/>
        </w:rPr>
      </w:pPr>
      <w:bookmarkStart w:name="_Toc225378508" w:id="20"/>
      <w:r w:rsidRPr="00050094">
        <w:rPr>
          <w:rFonts w:ascii="Arial" w:hAnsi="Arial" w:cs="Arial"/>
          <w:b/>
          <w:bCs/>
          <w:i/>
          <w:iCs/>
          <w:color w:val="auto"/>
          <w:sz w:val="28"/>
          <w:szCs w:val="28"/>
        </w:rPr>
        <w:t>2.7 Critical Analysis and Research Gap</w:t>
      </w:r>
      <w:bookmarkEnd w:id="20"/>
      <w:r w:rsidRPr="00050094">
        <w:rPr>
          <w:rFonts w:ascii="Arial" w:hAnsi="Arial" w:cs="Arial"/>
          <w:b/>
          <w:bCs/>
          <w:i/>
          <w:iCs/>
          <w:color w:val="auto"/>
          <w:sz w:val="28"/>
          <w:szCs w:val="28"/>
        </w:rPr>
        <w:t xml:space="preserve"> </w:t>
      </w:r>
    </w:p>
    <w:p w:rsidRPr="00050094" w:rsidR="00C776C7" w:rsidP="003502E9" w:rsidRDefault="00C776C7" w14:paraId="364C606E" w14:textId="77777777">
      <w:pPr>
        <w:spacing w:line="360" w:lineRule="auto"/>
        <w:jc w:val="both"/>
        <w:rPr>
          <w:rFonts w:ascii="Arial" w:hAnsi="Arial" w:cs="Arial"/>
          <w:sz w:val="22"/>
          <w:szCs w:val="22"/>
        </w:rPr>
      </w:pPr>
      <w:r w:rsidRPr="00050094">
        <w:rPr>
          <w:rFonts w:ascii="Arial" w:hAnsi="Arial" w:cs="Arial"/>
          <w:sz w:val="22"/>
          <w:szCs w:val="22"/>
        </w:rPr>
        <w:t>The available literature is very resourceful in its understanding of mental health recovery and the impact of social and family support; nevertheless, there are some crucial gaps that need to be addressed. One of those limitations is the absence of synthesis specifically related to the UK, with many studies relying on an international background, and it may not be applicable to the particular framework, policies, and service delivery paradigms of the UK mental health system (Henderson et al., 2021). This restricts the transferability of the results to the context of the UK, specifically to the NHS services and recovery-based care models.</w:t>
      </w:r>
    </w:p>
    <w:p w:rsidRPr="00050094" w:rsidR="00C776C7" w:rsidP="003502E9" w:rsidRDefault="00C776C7" w14:paraId="2B1C2611" w14:textId="77777777">
      <w:pPr>
        <w:spacing w:line="360" w:lineRule="auto"/>
        <w:jc w:val="both"/>
        <w:rPr>
          <w:rFonts w:ascii="Arial" w:hAnsi="Arial" w:cs="Arial"/>
          <w:sz w:val="22"/>
          <w:szCs w:val="22"/>
        </w:rPr>
      </w:pPr>
      <w:r w:rsidRPr="00050094">
        <w:rPr>
          <w:rFonts w:ascii="Arial" w:hAnsi="Arial" w:cs="Arial"/>
          <w:sz w:val="22"/>
          <w:szCs w:val="22"/>
        </w:rPr>
        <w:t>Moreover, little incorporation of lived experience of mental health services users and their family into the literature exists. Although other researchers recognize the significance of family involvement, they do not always reveal the subjective experiences, difficult situations, and impressions of service consumers and caregivers (Berzins et al., 2020). This does not bring out experiential understanding of how family support works in real life practice.</w:t>
      </w:r>
    </w:p>
    <w:p w:rsidRPr="00050094" w:rsidR="00275A3E" w:rsidP="003502E9" w:rsidRDefault="00C776C7" w14:paraId="622B99FA" w14:textId="5EDE4B75">
      <w:pPr>
        <w:spacing w:line="360" w:lineRule="auto"/>
        <w:jc w:val="both"/>
        <w:rPr>
          <w:rFonts w:ascii="Arial" w:hAnsi="Arial" w:cs="Arial"/>
          <w:sz w:val="22"/>
          <w:szCs w:val="22"/>
        </w:rPr>
      </w:pPr>
      <w:r w:rsidRPr="00050094">
        <w:rPr>
          <w:rFonts w:ascii="Arial" w:hAnsi="Arial" w:cs="Arial"/>
          <w:sz w:val="22"/>
          <w:szCs w:val="22"/>
        </w:rPr>
        <w:t>Also the current literature tend to be disjointed with little efforts to synthesise evidence on family support and recovery outcomes in a systematic way. This indicates that there is a necessity to conduct a systematic literature review that will include a critical evaluation and synthesis of existing evidence to offer a more consistent and context-specific interpretation of the subject matter (</w:t>
      </w:r>
      <w:r w:rsidRPr="00050094" w:rsidR="00050094">
        <w:rPr>
          <w:rFonts w:ascii="Arial" w:hAnsi="Arial" w:cs="Arial"/>
          <w:sz w:val="22"/>
          <w:szCs w:val="22"/>
        </w:rPr>
        <w:t xml:space="preserve">Davies </w:t>
      </w:r>
      <w:r w:rsidRPr="00050094" w:rsidR="00050094">
        <w:rPr>
          <w:rFonts w:ascii="Arial" w:hAnsi="Arial" w:cs="Arial"/>
          <w:i/>
          <w:iCs/>
          <w:sz w:val="22"/>
          <w:szCs w:val="22"/>
        </w:rPr>
        <w:t>et al.</w:t>
      </w:r>
      <w:r w:rsidRPr="00050094" w:rsidR="00050094">
        <w:rPr>
          <w:rFonts w:ascii="Arial" w:hAnsi="Arial" w:cs="Arial"/>
          <w:sz w:val="22"/>
          <w:szCs w:val="22"/>
        </w:rPr>
        <w:t xml:space="preserve">, </w:t>
      </w:r>
      <w:r w:rsidRPr="00050094" w:rsidR="00050094">
        <w:rPr>
          <w:rFonts w:ascii="Arial" w:hAnsi="Arial" w:cs="Arial"/>
          <w:sz w:val="22"/>
          <w:szCs w:val="22"/>
        </w:rPr>
        <w:t>2023</w:t>
      </w:r>
      <w:r w:rsidRPr="00050094" w:rsidR="00275A3E">
        <w:rPr>
          <w:rFonts w:ascii="Arial" w:hAnsi="Arial" w:cs="Arial"/>
          <w:sz w:val="22"/>
          <w:szCs w:val="22"/>
        </w:rPr>
        <w:t>).</w:t>
      </w:r>
    </w:p>
    <w:p w:rsidRPr="00050094" w:rsidR="00275A3E" w:rsidP="003502E9" w:rsidRDefault="00275A3E" w14:paraId="3DBEEB48" w14:textId="6160FD9E">
      <w:pPr>
        <w:pStyle w:val="Heading2"/>
        <w:spacing w:line="360" w:lineRule="auto"/>
        <w:jc w:val="both"/>
        <w:rPr>
          <w:rFonts w:ascii="Arial" w:hAnsi="Arial" w:cs="Arial"/>
          <w:b/>
          <w:bCs/>
          <w:i/>
          <w:iCs/>
          <w:color w:val="auto"/>
          <w:sz w:val="28"/>
          <w:szCs w:val="28"/>
        </w:rPr>
      </w:pPr>
      <w:bookmarkStart w:name="_Toc225378509" w:id="21"/>
      <w:r w:rsidRPr="00050094">
        <w:rPr>
          <w:rFonts w:ascii="Arial" w:hAnsi="Arial" w:cs="Arial"/>
          <w:b/>
          <w:bCs/>
          <w:i/>
          <w:iCs/>
          <w:color w:val="auto"/>
          <w:sz w:val="28"/>
          <w:szCs w:val="28"/>
        </w:rPr>
        <w:lastRenderedPageBreak/>
        <w:t>2.8 Chapter Summary</w:t>
      </w:r>
      <w:bookmarkEnd w:id="21"/>
      <w:r w:rsidRPr="00050094">
        <w:rPr>
          <w:rFonts w:ascii="Arial" w:hAnsi="Arial" w:cs="Arial"/>
          <w:b/>
          <w:bCs/>
          <w:i/>
          <w:iCs/>
          <w:color w:val="auto"/>
          <w:sz w:val="28"/>
          <w:szCs w:val="28"/>
        </w:rPr>
        <w:t xml:space="preserve"> </w:t>
      </w:r>
    </w:p>
    <w:p w:rsidR="003502E9" w:rsidP="003502E9" w:rsidRDefault="00C776C7" w14:paraId="34FCA95E" w14:textId="03E816C0">
      <w:pPr>
        <w:spacing w:line="360" w:lineRule="auto"/>
        <w:jc w:val="both"/>
        <w:rPr>
          <w:rFonts w:ascii="Arial" w:hAnsi="Arial" w:cs="Arial"/>
          <w:sz w:val="22"/>
          <w:szCs w:val="22"/>
        </w:rPr>
      </w:pPr>
      <w:r w:rsidRPr="00050094">
        <w:rPr>
          <w:rFonts w:ascii="Arial" w:hAnsi="Arial" w:cs="Arial"/>
          <w:sz w:val="22"/>
          <w:szCs w:val="22"/>
        </w:rPr>
        <w:t>The chapter has critically examined the most important literature pertaining to mental health recovery, social support and family involvement role in the context of UK. It has brought out the value of recovery-oriented practices and the role of a family support in improving recovery outcomes. There are also critical barriers that were identified in the chapter and they are stigma, systemic constraints, and policy to practice gap that constrain successful family involvement. Lastly, the review has found research gaps that are significant, especially missing the UK-centered synthesis and the incorporation of lived experiences, which have assumed the necessity of the current study</w:t>
      </w:r>
      <w:r w:rsidRPr="00050094" w:rsidR="00275A3E">
        <w:rPr>
          <w:rFonts w:ascii="Arial" w:hAnsi="Arial" w:cs="Arial"/>
          <w:sz w:val="22"/>
          <w:szCs w:val="22"/>
        </w:rPr>
        <w:t>.</w:t>
      </w:r>
    </w:p>
    <w:p w:rsidR="003502E9" w:rsidP="003502E9" w:rsidRDefault="003502E9" w14:paraId="79BD8409" w14:textId="77777777">
      <w:pPr>
        <w:spacing w:line="360" w:lineRule="auto"/>
        <w:rPr>
          <w:rFonts w:ascii="Arial" w:hAnsi="Arial" w:cs="Arial"/>
          <w:sz w:val="22"/>
          <w:szCs w:val="22"/>
        </w:rPr>
      </w:pPr>
      <w:r>
        <w:rPr>
          <w:rFonts w:ascii="Arial" w:hAnsi="Arial" w:cs="Arial"/>
          <w:sz w:val="22"/>
          <w:szCs w:val="22"/>
        </w:rPr>
        <w:br w:type="page"/>
      </w:r>
    </w:p>
    <w:p w:rsidRPr="00050094" w:rsidR="00275A3E" w:rsidP="003502E9" w:rsidRDefault="00275A3E" w14:paraId="532D176A" w14:textId="77777777">
      <w:pPr>
        <w:spacing w:line="360" w:lineRule="auto"/>
        <w:jc w:val="both"/>
        <w:rPr>
          <w:rFonts w:ascii="Arial" w:hAnsi="Arial" w:cs="Arial"/>
          <w:sz w:val="22"/>
          <w:szCs w:val="22"/>
        </w:rPr>
      </w:pPr>
    </w:p>
    <w:p w:rsidRPr="00050094" w:rsidR="000F11C2" w:rsidP="003502E9" w:rsidRDefault="00841283" w14:paraId="3E0AF34D" w14:textId="06F7D333">
      <w:pPr>
        <w:pStyle w:val="Heading1"/>
        <w:spacing w:line="360" w:lineRule="auto"/>
        <w:jc w:val="both"/>
        <w:rPr>
          <w:rFonts w:ascii="Arial" w:hAnsi="Arial" w:cs="Arial"/>
          <w:b/>
          <w:bCs/>
          <w:color w:val="auto"/>
          <w:sz w:val="32"/>
          <w:szCs w:val="32"/>
        </w:rPr>
      </w:pPr>
      <w:bookmarkStart w:name="_Toc225378510" w:id="22"/>
      <w:r w:rsidRPr="00050094">
        <w:rPr>
          <w:rFonts w:ascii="Arial" w:hAnsi="Arial" w:cs="Arial"/>
          <w:b/>
          <w:bCs/>
          <w:color w:val="auto"/>
          <w:sz w:val="32"/>
          <w:szCs w:val="32"/>
        </w:rPr>
        <w:t>Chapter 3: Meth</w:t>
      </w:r>
      <w:r w:rsidR="003502E9">
        <w:rPr>
          <w:rFonts w:ascii="Arial" w:hAnsi="Arial" w:cs="Arial"/>
          <w:b/>
          <w:bCs/>
          <w:color w:val="auto"/>
          <w:sz w:val="32"/>
          <w:szCs w:val="32"/>
        </w:rPr>
        <w:t>ods</w:t>
      </w:r>
      <w:bookmarkEnd w:id="22"/>
    </w:p>
    <w:p w:rsidRPr="00050094" w:rsidR="00841283" w:rsidP="003502E9" w:rsidRDefault="00841283" w14:paraId="7DE8E16D" w14:textId="23477998">
      <w:pPr>
        <w:pStyle w:val="Heading2"/>
        <w:spacing w:line="360" w:lineRule="auto"/>
        <w:jc w:val="both"/>
        <w:rPr>
          <w:rFonts w:ascii="Arial" w:hAnsi="Arial" w:cs="Arial"/>
          <w:b/>
          <w:bCs/>
          <w:i/>
          <w:iCs/>
          <w:color w:val="auto"/>
          <w:sz w:val="28"/>
          <w:szCs w:val="28"/>
        </w:rPr>
      </w:pPr>
      <w:bookmarkStart w:name="_Toc225378511" w:id="23"/>
      <w:r w:rsidRPr="00050094">
        <w:rPr>
          <w:rFonts w:ascii="Arial" w:hAnsi="Arial" w:cs="Arial"/>
          <w:b/>
          <w:bCs/>
          <w:i/>
          <w:iCs/>
          <w:color w:val="auto"/>
          <w:sz w:val="28"/>
          <w:szCs w:val="28"/>
        </w:rPr>
        <w:t>3.1 Introduction</w:t>
      </w:r>
      <w:bookmarkEnd w:id="23"/>
      <w:r w:rsidRPr="00050094">
        <w:rPr>
          <w:rFonts w:ascii="Arial" w:hAnsi="Arial" w:cs="Arial"/>
          <w:b/>
          <w:bCs/>
          <w:i/>
          <w:iCs/>
          <w:color w:val="auto"/>
          <w:sz w:val="28"/>
          <w:szCs w:val="28"/>
        </w:rPr>
        <w:t xml:space="preserve"> </w:t>
      </w:r>
    </w:p>
    <w:p w:rsidRPr="00050094" w:rsidR="00C776C7" w:rsidP="003502E9" w:rsidRDefault="00C776C7" w14:paraId="22C4AC45" w14:textId="77777777">
      <w:pPr>
        <w:spacing w:line="360" w:lineRule="auto"/>
        <w:jc w:val="both"/>
        <w:rPr>
          <w:rFonts w:ascii="Arial" w:hAnsi="Arial" w:cs="Arial"/>
          <w:sz w:val="22"/>
          <w:szCs w:val="22"/>
        </w:rPr>
      </w:pPr>
      <w:r w:rsidRPr="00050094">
        <w:rPr>
          <w:rFonts w:ascii="Arial" w:hAnsi="Arial" w:cs="Arial"/>
          <w:sz w:val="22"/>
          <w:szCs w:val="22"/>
        </w:rPr>
        <w:t>This chapter describes the methodology that will be used to explore the role of family support in recovery of mental health service users in the UK. It discusses the research design, data sources, data collection methods as well as the methods of data analysis in order to provide a systematic and rigorous review of the available literature. The paper will take a systematic method in reviewing pertinent information and offering an in-depth insight into the subject matter (Norton and Cuskelly, 2021).</w:t>
      </w:r>
    </w:p>
    <w:p w:rsidRPr="00050094" w:rsidR="00841283" w:rsidP="003502E9" w:rsidRDefault="00C776C7" w14:paraId="3187527E" w14:textId="6E118E55">
      <w:pPr>
        <w:spacing w:line="360" w:lineRule="auto"/>
        <w:jc w:val="both"/>
        <w:rPr>
          <w:rFonts w:ascii="Arial" w:hAnsi="Arial" w:cs="Arial"/>
          <w:sz w:val="22"/>
          <w:szCs w:val="22"/>
        </w:rPr>
      </w:pPr>
      <w:r w:rsidRPr="00050094">
        <w:rPr>
          <w:rFonts w:ascii="Arial" w:hAnsi="Arial" w:cs="Arial"/>
          <w:sz w:val="22"/>
          <w:szCs w:val="22"/>
        </w:rPr>
        <w:t>The use of the methodological frameworks that are set in this chapter makes the research process transparent, reliable, and valid, thus contributing to the credibility of the findings and their applicability to the objectives of the study (Page et al., 2021</w:t>
      </w:r>
      <w:r w:rsidRPr="00050094" w:rsidR="00841283">
        <w:rPr>
          <w:rFonts w:ascii="Arial" w:hAnsi="Arial" w:cs="Arial"/>
          <w:sz w:val="22"/>
          <w:szCs w:val="22"/>
        </w:rPr>
        <w:t>).</w:t>
      </w:r>
    </w:p>
    <w:p w:rsidRPr="00050094" w:rsidR="00841283" w:rsidP="003502E9" w:rsidRDefault="00841283" w14:paraId="2F746F6F" w14:textId="12A57A1C">
      <w:pPr>
        <w:pStyle w:val="Heading2"/>
        <w:spacing w:line="360" w:lineRule="auto"/>
        <w:jc w:val="both"/>
        <w:rPr>
          <w:rFonts w:ascii="Arial" w:hAnsi="Arial" w:cs="Arial"/>
          <w:b/>
          <w:bCs/>
          <w:i/>
          <w:iCs/>
          <w:color w:val="auto"/>
          <w:sz w:val="28"/>
          <w:szCs w:val="28"/>
        </w:rPr>
      </w:pPr>
      <w:bookmarkStart w:name="_Toc225378512" w:id="24"/>
      <w:r w:rsidRPr="00050094">
        <w:rPr>
          <w:rFonts w:ascii="Arial" w:hAnsi="Arial" w:cs="Arial"/>
          <w:b/>
          <w:bCs/>
          <w:i/>
          <w:iCs/>
          <w:color w:val="auto"/>
          <w:sz w:val="28"/>
          <w:szCs w:val="28"/>
        </w:rPr>
        <w:t>3.2 Research Design</w:t>
      </w:r>
      <w:bookmarkEnd w:id="24"/>
      <w:r w:rsidRPr="00050094">
        <w:rPr>
          <w:rFonts w:ascii="Arial" w:hAnsi="Arial" w:cs="Arial"/>
          <w:b/>
          <w:bCs/>
          <w:i/>
          <w:iCs/>
          <w:color w:val="auto"/>
          <w:sz w:val="28"/>
          <w:szCs w:val="28"/>
        </w:rPr>
        <w:t xml:space="preserve"> </w:t>
      </w:r>
    </w:p>
    <w:p w:rsidRPr="00050094" w:rsidR="00C776C7" w:rsidP="003502E9" w:rsidRDefault="00C776C7" w14:paraId="2D94DA7E" w14:textId="527E5FB1">
      <w:pPr>
        <w:spacing w:line="360" w:lineRule="auto"/>
        <w:jc w:val="both"/>
        <w:rPr>
          <w:rFonts w:ascii="Arial" w:hAnsi="Arial" w:cs="Arial"/>
          <w:sz w:val="22"/>
          <w:szCs w:val="22"/>
        </w:rPr>
      </w:pPr>
      <w:r w:rsidRPr="00050094">
        <w:rPr>
          <w:rFonts w:ascii="Arial" w:hAnsi="Arial" w:cs="Arial"/>
          <w:sz w:val="22"/>
          <w:szCs w:val="22"/>
        </w:rPr>
        <w:t>The research design adopted in this study is a secondary qualitative research design based on systematic literature review approach to determine the role of family support in mental health recovery. The secondary research design also makes the study efficient and ethically correct, since the researcher does not have to collect primary data by collecting information about the relevant issue, policies, or reports, but rather analyse and synthesise the findings (</w:t>
      </w:r>
      <w:proofErr w:type="spellStart"/>
      <w:r w:rsidRPr="00050094" w:rsidR="00050094">
        <w:rPr>
          <w:rFonts w:ascii="Arial" w:hAnsi="Arial" w:cs="Arial"/>
          <w:sz w:val="22"/>
          <w:szCs w:val="22"/>
        </w:rPr>
        <w:t>Handayani</w:t>
      </w:r>
      <w:proofErr w:type="spellEnd"/>
      <w:r w:rsidRPr="00050094" w:rsidR="00050094">
        <w:rPr>
          <w:rFonts w:ascii="Arial" w:hAnsi="Arial" w:cs="Arial"/>
          <w:sz w:val="22"/>
          <w:szCs w:val="22"/>
        </w:rPr>
        <w:t>, 2022</w:t>
      </w:r>
      <w:r w:rsidRPr="00050094">
        <w:rPr>
          <w:rFonts w:ascii="Arial" w:hAnsi="Arial" w:cs="Arial"/>
          <w:sz w:val="22"/>
          <w:szCs w:val="22"/>
        </w:rPr>
        <w:t>). The given approach enables one to gain a complete understanding of the issue because it relies on the various credible and peer-reviewed sources.</w:t>
      </w:r>
    </w:p>
    <w:p w:rsidRPr="00050094" w:rsidR="00C776C7" w:rsidP="003502E9" w:rsidRDefault="00C776C7" w14:paraId="428EF122" w14:textId="1CD83C57">
      <w:pPr>
        <w:spacing w:line="360" w:lineRule="auto"/>
        <w:jc w:val="both"/>
        <w:rPr>
          <w:rFonts w:ascii="Arial" w:hAnsi="Arial" w:cs="Arial"/>
          <w:sz w:val="22"/>
          <w:szCs w:val="22"/>
        </w:rPr>
      </w:pPr>
      <w:r w:rsidRPr="00050094">
        <w:rPr>
          <w:rFonts w:ascii="Arial" w:hAnsi="Arial" w:cs="Arial"/>
          <w:sz w:val="22"/>
          <w:szCs w:val="22"/>
        </w:rPr>
        <w:t>The qualitative character of the research is also quite appropriate insofar as it is devoted to an interpretation of meanings, experiences, and patterns in literature devoted to family involvement and recovery processes. Qualitative methods, based on the research principles, are effective when it comes to studying complex social phenomena when the contextual knowledge is needed (</w:t>
      </w:r>
      <w:r w:rsidRPr="00050094" w:rsidR="00050094">
        <w:rPr>
          <w:rFonts w:ascii="Arial" w:hAnsi="Arial" w:cs="Arial"/>
          <w:sz w:val="22"/>
          <w:szCs w:val="22"/>
        </w:rPr>
        <w:t>Hine</w:t>
      </w:r>
      <w:r w:rsidRPr="00050094" w:rsidR="00050094">
        <w:rPr>
          <w:rFonts w:ascii="Arial" w:hAnsi="Arial" w:cs="Arial"/>
          <w:sz w:val="22"/>
          <w:szCs w:val="22"/>
        </w:rPr>
        <w:t xml:space="preserve"> </w:t>
      </w:r>
      <w:r w:rsidRPr="00050094" w:rsidR="00050094">
        <w:rPr>
          <w:rFonts w:ascii="Arial" w:hAnsi="Arial" w:cs="Arial"/>
          <w:i/>
          <w:iCs/>
          <w:sz w:val="22"/>
          <w:szCs w:val="22"/>
        </w:rPr>
        <w:t>et al.</w:t>
      </w:r>
      <w:r w:rsidRPr="00050094" w:rsidR="00050094">
        <w:rPr>
          <w:rFonts w:ascii="Arial" w:hAnsi="Arial" w:cs="Arial"/>
          <w:sz w:val="22"/>
          <w:szCs w:val="22"/>
        </w:rPr>
        <w:t xml:space="preserve">, </w:t>
      </w:r>
      <w:r w:rsidRPr="00050094" w:rsidR="00050094">
        <w:rPr>
          <w:rFonts w:ascii="Arial" w:hAnsi="Arial" w:cs="Arial"/>
          <w:sz w:val="22"/>
          <w:szCs w:val="22"/>
        </w:rPr>
        <w:t>2023</w:t>
      </w:r>
      <w:r w:rsidRPr="00050094">
        <w:rPr>
          <w:rFonts w:ascii="Arial" w:hAnsi="Arial" w:cs="Arial"/>
          <w:sz w:val="22"/>
          <w:szCs w:val="22"/>
        </w:rPr>
        <w:t>). This applies to mental health studies particularly because subjective experiences and social forces play a large role in such studies.</w:t>
      </w:r>
    </w:p>
    <w:p w:rsidRPr="00050094" w:rsidR="00841283" w:rsidP="003502E9" w:rsidRDefault="00C776C7" w14:paraId="505E89A6" w14:textId="651EEE7B">
      <w:pPr>
        <w:spacing w:line="360" w:lineRule="auto"/>
        <w:jc w:val="both"/>
        <w:rPr>
          <w:rFonts w:ascii="Arial" w:hAnsi="Arial" w:cs="Arial"/>
          <w:sz w:val="22"/>
          <w:szCs w:val="22"/>
        </w:rPr>
      </w:pPr>
      <w:r w:rsidRPr="00050094">
        <w:rPr>
          <w:rFonts w:ascii="Arial" w:hAnsi="Arial" w:cs="Arial"/>
          <w:sz w:val="22"/>
          <w:szCs w:val="22"/>
        </w:rPr>
        <w:t>Moreover, systematic literature review method guarantees the organisation and clear procedure of the identification, selection, and analysis of the appropriate studies. It enables the incorporation of the results of different sources, which contributes to the improved reliability and validity of the conclusions made (</w:t>
      </w:r>
      <w:r w:rsidRPr="00050094" w:rsidR="00050094">
        <w:rPr>
          <w:rFonts w:ascii="Arial" w:hAnsi="Arial" w:cs="Arial"/>
          <w:sz w:val="22"/>
          <w:szCs w:val="22"/>
        </w:rPr>
        <w:t>Islam</w:t>
      </w:r>
      <w:r w:rsidRPr="00050094" w:rsidR="00050094">
        <w:rPr>
          <w:rFonts w:ascii="Arial" w:hAnsi="Arial" w:cs="Arial"/>
          <w:sz w:val="22"/>
          <w:szCs w:val="22"/>
        </w:rPr>
        <w:t xml:space="preserve"> et al</w:t>
      </w:r>
      <w:r w:rsidRPr="00050094" w:rsidR="00050094">
        <w:rPr>
          <w:rFonts w:ascii="Arial" w:hAnsi="Arial" w:cs="Arial"/>
          <w:sz w:val="22"/>
          <w:szCs w:val="22"/>
        </w:rPr>
        <w:t>., 2023</w:t>
      </w:r>
      <w:r w:rsidRPr="00050094" w:rsidR="00841283">
        <w:rPr>
          <w:rFonts w:ascii="Arial" w:hAnsi="Arial" w:cs="Arial"/>
          <w:sz w:val="22"/>
          <w:szCs w:val="22"/>
        </w:rPr>
        <w:t>).</w:t>
      </w:r>
    </w:p>
    <w:p w:rsidRPr="00050094" w:rsidR="00841283" w:rsidP="003502E9" w:rsidRDefault="00841283" w14:paraId="55D3971F" w14:textId="46E65FFE">
      <w:pPr>
        <w:pStyle w:val="Heading2"/>
        <w:spacing w:line="360" w:lineRule="auto"/>
        <w:jc w:val="both"/>
        <w:rPr>
          <w:rFonts w:ascii="Arial" w:hAnsi="Arial" w:cs="Arial"/>
          <w:b/>
          <w:bCs/>
          <w:i/>
          <w:iCs/>
          <w:color w:val="auto"/>
          <w:sz w:val="28"/>
          <w:szCs w:val="28"/>
        </w:rPr>
      </w:pPr>
      <w:bookmarkStart w:name="_Toc225378513" w:id="25"/>
      <w:r w:rsidRPr="00050094">
        <w:rPr>
          <w:rFonts w:ascii="Arial" w:hAnsi="Arial" w:cs="Arial"/>
          <w:b/>
          <w:bCs/>
          <w:i/>
          <w:iCs/>
          <w:color w:val="auto"/>
          <w:sz w:val="28"/>
          <w:szCs w:val="28"/>
        </w:rPr>
        <w:lastRenderedPageBreak/>
        <w:t>3.3 Data Sources and Collection</w:t>
      </w:r>
      <w:bookmarkEnd w:id="25"/>
      <w:r w:rsidRPr="00050094">
        <w:rPr>
          <w:rFonts w:ascii="Arial" w:hAnsi="Arial" w:cs="Arial"/>
          <w:b/>
          <w:bCs/>
          <w:i/>
          <w:iCs/>
          <w:color w:val="auto"/>
          <w:sz w:val="28"/>
          <w:szCs w:val="28"/>
        </w:rPr>
        <w:t xml:space="preserve"> </w:t>
      </w:r>
    </w:p>
    <w:p w:rsidRPr="00050094" w:rsidR="00C776C7" w:rsidP="003502E9" w:rsidRDefault="00C776C7" w14:paraId="193FDAB0" w14:textId="77777777">
      <w:pPr>
        <w:spacing w:line="360" w:lineRule="auto"/>
        <w:jc w:val="both"/>
        <w:rPr>
          <w:rFonts w:ascii="Arial" w:hAnsi="Arial" w:cs="Arial"/>
          <w:sz w:val="22"/>
          <w:szCs w:val="22"/>
        </w:rPr>
      </w:pPr>
      <w:r w:rsidRPr="00050094">
        <w:rPr>
          <w:rFonts w:ascii="Arial" w:hAnsi="Arial" w:cs="Arial"/>
          <w:sz w:val="22"/>
          <w:szCs w:val="22"/>
        </w:rPr>
        <w:t>The information used in this research was gathered using various reliable and pertinent secondary materials such as peer-reviewed journal articles, reports of the National Health Service (NHS) and publications of the UK government. The sources have been chosen to guarantee that the selection of the material includes the high-quality and authoritative data on mental health recovery and family support in the UK context (NHS England, 2024). The multiplicity of sources allows making the gathered information more comprehensive and reliable.</w:t>
      </w:r>
    </w:p>
    <w:p w:rsidRPr="00050094" w:rsidR="00C776C7" w:rsidP="003502E9" w:rsidRDefault="00C776C7" w14:paraId="41B55AFE" w14:textId="7D413B95">
      <w:pPr>
        <w:spacing w:line="360" w:lineRule="auto"/>
        <w:jc w:val="both"/>
        <w:rPr>
          <w:rFonts w:ascii="Arial" w:hAnsi="Arial" w:cs="Arial"/>
          <w:sz w:val="22"/>
          <w:szCs w:val="22"/>
        </w:rPr>
      </w:pPr>
      <w:r w:rsidRPr="00050094">
        <w:rPr>
          <w:rFonts w:ascii="Arial" w:hAnsi="Arial" w:cs="Arial"/>
          <w:sz w:val="22"/>
          <w:szCs w:val="22"/>
        </w:rPr>
        <w:t>The selection process was done based on specific inclusion criteria so that it is relevant and consistent. It was required that the studies must have been published in the past decade, concerned mental health recovery, and involved the discussion of family/social support in the UK environment. Nevertheless, works that present valuable theoretical backgrounds were also taken irrespective of the date of publication (</w:t>
      </w:r>
      <w:r w:rsidRPr="00050094" w:rsidR="00050094">
        <w:rPr>
          <w:rFonts w:ascii="Arial" w:hAnsi="Arial" w:cs="Arial"/>
          <w:sz w:val="22"/>
          <w:szCs w:val="22"/>
        </w:rPr>
        <w:t>Khan</w:t>
      </w:r>
      <w:r w:rsidRPr="00050094" w:rsidR="00050094">
        <w:rPr>
          <w:rFonts w:ascii="Arial" w:hAnsi="Arial" w:cs="Arial"/>
          <w:sz w:val="22"/>
          <w:szCs w:val="22"/>
        </w:rPr>
        <w:t xml:space="preserve"> </w:t>
      </w:r>
      <w:r w:rsidRPr="00050094" w:rsidR="00050094">
        <w:rPr>
          <w:rFonts w:ascii="Arial" w:hAnsi="Arial" w:cs="Arial"/>
          <w:sz w:val="22"/>
          <w:szCs w:val="22"/>
        </w:rPr>
        <w:t>and Sultan, 2023</w:t>
      </w:r>
      <w:r w:rsidRPr="00050094">
        <w:rPr>
          <w:rFonts w:ascii="Arial" w:hAnsi="Arial" w:cs="Arial"/>
          <w:sz w:val="22"/>
          <w:szCs w:val="22"/>
        </w:rPr>
        <w:t>). This method guarantees that the modern and traditional points of view are taken into account.</w:t>
      </w:r>
    </w:p>
    <w:p w:rsidRPr="00050094" w:rsidR="00841283" w:rsidP="003502E9" w:rsidRDefault="00C776C7" w14:paraId="6586E035" w14:textId="65709FEF">
      <w:pPr>
        <w:spacing w:line="360" w:lineRule="auto"/>
        <w:jc w:val="both"/>
        <w:rPr>
          <w:rFonts w:ascii="Arial" w:hAnsi="Arial" w:cs="Arial"/>
          <w:sz w:val="22"/>
          <w:szCs w:val="22"/>
        </w:rPr>
      </w:pPr>
      <w:r w:rsidRPr="00050094">
        <w:rPr>
          <w:rFonts w:ascii="Arial" w:hAnsi="Arial" w:cs="Arial"/>
          <w:sz w:val="22"/>
          <w:szCs w:val="22"/>
        </w:rPr>
        <w:t>Moreover, the studies had to be in English and obtained through the reliable databases and organisations. The structured method of gathering data allows selecting the most relevant, credible, and consistent literature in terms of meeting the research purpose, which enhances the overall quality of the study (Page et al., 2021</w:t>
      </w:r>
      <w:r w:rsidRPr="00050094" w:rsidR="00841283">
        <w:rPr>
          <w:rFonts w:ascii="Arial" w:hAnsi="Arial" w:cs="Arial"/>
          <w:sz w:val="22"/>
          <w:szCs w:val="22"/>
        </w:rPr>
        <w:t>).</w:t>
      </w:r>
    </w:p>
    <w:p w:rsidRPr="00050094" w:rsidR="00841283" w:rsidP="003502E9" w:rsidRDefault="00841283" w14:paraId="43544821" w14:textId="27C170D6">
      <w:pPr>
        <w:pStyle w:val="Heading2"/>
        <w:spacing w:line="360" w:lineRule="auto"/>
        <w:jc w:val="both"/>
        <w:rPr>
          <w:rFonts w:ascii="Arial" w:hAnsi="Arial" w:cs="Arial"/>
          <w:b/>
          <w:bCs/>
          <w:i/>
          <w:iCs/>
          <w:color w:val="auto"/>
          <w:sz w:val="28"/>
          <w:szCs w:val="28"/>
        </w:rPr>
      </w:pPr>
      <w:bookmarkStart w:name="_Toc225378514" w:id="26"/>
      <w:r w:rsidRPr="00050094">
        <w:rPr>
          <w:rFonts w:ascii="Arial" w:hAnsi="Arial" w:cs="Arial"/>
          <w:b/>
          <w:bCs/>
          <w:i/>
          <w:iCs/>
          <w:color w:val="auto"/>
          <w:sz w:val="28"/>
          <w:szCs w:val="28"/>
        </w:rPr>
        <w:t>3.4 PRISMA Process</w:t>
      </w:r>
      <w:bookmarkEnd w:id="26"/>
      <w:r w:rsidRPr="00050094">
        <w:rPr>
          <w:rFonts w:ascii="Arial" w:hAnsi="Arial" w:cs="Arial"/>
          <w:b/>
          <w:bCs/>
          <w:i/>
          <w:iCs/>
          <w:color w:val="auto"/>
          <w:sz w:val="28"/>
          <w:szCs w:val="28"/>
        </w:rPr>
        <w:t xml:space="preserve"> </w:t>
      </w:r>
    </w:p>
    <w:p w:rsidRPr="00050094" w:rsidR="00C776C7" w:rsidP="003502E9" w:rsidRDefault="00C776C7" w14:paraId="4B0A5204" w14:textId="77777777">
      <w:pPr>
        <w:spacing w:line="360" w:lineRule="auto"/>
        <w:jc w:val="both"/>
        <w:rPr>
          <w:rFonts w:ascii="Arial" w:hAnsi="Arial" w:cs="Arial"/>
          <w:sz w:val="22"/>
          <w:szCs w:val="22"/>
        </w:rPr>
      </w:pPr>
      <w:r w:rsidRPr="00050094">
        <w:rPr>
          <w:rFonts w:ascii="Arial" w:hAnsi="Arial" w:cs="Arial"/>
          <w:sz w:val="22"/>
          <w:szCs w:val="22"/>
        </w:rPr>
        <w:t>The research employs the PRISMA (Preferred Reporting Items to Systematic Reviews and Meta-Analyses) framework in order to achieve transparency, rigour, and reproducibility in the selection of the relevant literature. The PRISMA methodology is a systematic way to identify, screen, and select articles, which increases the credibility and validity of systematic reviews (PRISMA, 2020; Page et al., 2021). During preliminary identification, about 120150 papers were obtained in academic databases and other sources as per the search criteria.</w:t>
      </w:r>
    </w:p>
    <w:p w:rsidRPr="00050094" w:rsidR="00C776C7" w:rsidP="003502E9" w:rsidRDefault="00C776C7" w14:paraId="65F93353" w14:textId="77777777">
      <w:pPr>
        <w:spacing w:line="360" w:lineRule="auto"/>
        <w:jc w:val="both"/>
        <w:rPr>
          <w:rFonts w:ascii="Arial" w:hAnsi="Arial" w:cs="Arial"/>
          <w:sz w:val="22"/>
          <w:szCs w:val="22"/>
        </w:rPr>
      </w:pPr>
      <w:r w:rsidRPr="00050094">
        <w:rPr>
          <w:rFonts w:ascii="Arial" w:hAnsi="Arial" w:cs="Arial"/>
          <w:sz w:val="22"/>
          <w:szCs w:val="22"/>
        </w:rPr>
        <w:t>Subsequently, the duplicate records have been eliminated, which leaves around 100 unique studies in the next round of evaluation. At the screening phase, titles and abstracts were filtered in accordance with inclusion and exclusion criteria, which resulted in the selection of approximately 70 studies that were potentially relevant. Eligibility stage showed full-text review of the studies and reduced them to about 50 studies that fit the research methodological and contextual requirements.</w:t>
      </w:r>
    </w:p>
    <w:p w:rsidRPr="00050094" w:rsidR="00841283" w:rsidP="003502E9" w:rsidRDefault="00C776C7" w14:paraId="0D6D8E86" w14:textId="06A0D7C7">
      <w:pPr>
        <w:spacing w:line="360" w:lineRule="auto"/>
        <w:jc w:val="both"/>
        <w:rPr>
          <w:rFonts w:ascii="Arial" w:hAnsi="Arial" w:cs="Arial"/>
          <w:sz w:val="22"/>
          <w:szCs w:val="22"/>
        </w:rPr>
      </w:pPr>
      <w:r w:rsidRPr="00050094">
        <w:rPr>
          <w:rFonts w:ascii="Arial" w:hAnsi="Arial" w:cs="Arial"/>
          <w:sz w:val="22"/>
          <w:szCs w:val="22"/>
        </w:rPr>
        <w:lastRenderedPageBreak/>
        <w:t>Lastly, on the final review, about 35 studies were incorporated after the use of rigorous inclusion and quality evaluation rules. This stepwise procedure will make sure the chosen literature is topical, trustworthy, and consistent with the aims of the research, which will enhance the overall validity of the results (Sohrabi et al., 2021</w:t>
      </w:r>
      <w:r w:rsidRPr="00050094" w:rsidR="00841283">
        <w:rPr>
          <w:rFonts w:ascii="Arial" w:hAnsi="Arial" w:cs="Arial"/>
          <w:sz w:val="22"/>
          <w:szCs w:val="22"/>
        </w:rPr>
        <w:t>).</w:t>
      </w:r>
    </w:p>
    <w:p w:rsidRPr="00050094" w:rsidR="00841283" w:rsidP="003502E9" w:rsidRDefault="00841283" w14:paraId="3F015D42" w14:textId="2647B397">
      <w:pPr>
        <w:pStyle w:val="Heading2"/>
        <w:spacing w:line="360" w:lineRule="auto"/>
        <w:jc w:val="both"/>
        <w:rPr>
          <w:rFonts w:ascii="Arial" w:hAnsi="Arial" w:cs="Arial"/>
          <w:b/>
          <w:bCs/>
          <w:i/>
          <w:iCs/>
          <w:color w:val="auto"/>
          <w:sz w:val="28"/>
          <w:szCs w:val="28"/>
        </w:rPr>
      </w:pPr>
      <w:bookmarkStart w:name="_Toc225378515" w:id="27"/>
      <w:r w:rsidRPr="00050094">
        <w:rPr>
          <w:rFonts w:ascii="Arial" w:hAnsi="Arial" w:cs="Arial"/>
          <w:b/>
          <w:bCs/>
          <w:i/>
          <w:iCs/>
          <w:color w:val="auto"/>
          <w:sz w:val="28"/>
          <w:szCs w:val="28"/>
        </w:rPr>
        <w:t>3.5 Data Analysis</w:t>
      </w:r>
      <w:bookmarkEnd w:id="27"/>
      <w:r w:rsidRPr="00050094">
        <w:rPr>
          <w:rFonts w:ascii="Arial" w:hAnsi="Arial" w:cs="Arial"/>
          <w:b/>
          <w:bCs/>
          <w:i/>
          <w:iCs/>
          <w:color w:val="auto"/>
          <w:sz w:val="28"/>
          <w:szCs w:val="28"/>
        </w:rPr>
        <w:t xml:space="preserve"> </w:t>
      </w:r>
    </w:p>
    <w:p w:rsidRPr="00050094" w:rsidR="00C776C7" w:rsidP="003502E9" w:rsidRDefault="00C776C7" w14:paraId="4A98BA10" w14:textId="77777777">
      <w:pPr>
        <w:spacing w:line="360" w:lineRule="auto"/>
        <w:jc w:val="both"/>
        <w:rPr>
          <w:rFonts w:ascii="Arial" w:hAnsi="Arial" w:cs="Arial"/>
          <w:sz w:val="22"/>
          <w:szCs w:val="22"/>
        </w:rPr>
      </w:pPr>
      <w:r w:rsidRPr="00050094">
        <w:rPr>
          <w:rFonts w:ascii="Arial" w:hAnsi="Arial" w:cs="Arial"/>
          <w:sz w:val="22"/>
          <w:szCs w:val="22"/>
        </w:rPr>
        <w:t>Thematic analysis was used to analyse the data collected in relation to this study and is one of the well recognised qualitative methods of identifying, analyzing and interpreting patterns in textual information. Such a method would be optimal in the case of systematic literature reviews because it enables the combination of the results of many studies into consistent and meaningful themes (Naeem et al., 2023; McLeod, 2024). The evaluation was conducted in a systematic, progressive manner in the quest to provide dependability and richness of meaning.</w:t>
      </w:r>
    </w:p>
    <w:p w:rsidRPr="00050094" w:rsidR="00C776C7" w:rsidP="003502E9" w:rsidRDefault="00C776C7" w14:paraId="6026C9DB" w14:textId="77777777">
      <w:pPr>
        <w:spacing w:line="360" w:lineRule="auto"/>
        <w:jc w:val="both"/>
        <w:rPr>
          <w:rFonts w:ascii="Arial" w:hAnsi="Arial" w:cs="Arial"/>
          <w:sz w:val="22"/>
          <w:szCs w:val="22"/>
        </w:rPr>
      </w:pPr>
      <w:r w:rsidRPr="00050094">
        <w:rPr>
          <w:rFonts w:ascii="Arial" w:hAnsi="Arial" w:cs="Arial"/>
          <w:sz w:val="22"/>
          <w:szCs w:val="22"/>
        </w:rPr>
        <w:t>The initial step was the familiarisation of the data in which the chosen studies were fully read and reviewed in order to have a general idea of the content. This was then succeeded by the coding process whereby important ideas, concepts, and recurrent patterns as pertaining to family support as well as mental health recovery were systematically identified and labeled. The process of coding occurred manually to ensure that data analysis is done in a detailed and context-sensitive way (Naeem et al., 2023).</w:t>
      </w:r>
    </w:p>
    <w:p w:rsidRPr="00050094" w:rsidR="00841283" w:rsidP="003502E9" w:rsidRDefault="00C776C7" w14:paraId="76278FF2" w14:textId="4B1AD2CA">
      <w:pPr>
        <w:spacing w:line="360" w:lineRule="auto"/>
        <w:jc w:val="both"/>
        <w:rPr>
          <w:rFonts w:ascii="Arial" w:hAnsi="Arial" w:cs="Arial"/>
          <w:sz w:val="22"/>
          <w:szCs w:val="22"/>
        </w:rPr>
      </w:pPr>
      <w:r w:rsidRPr="00050094">
        <w:rPr>
          <w:rFonts w:ascii="Arial" w:hAnsi="Arial" w:cs="Arial"/>
          <w:sz w:val="22"/>
          <w:szCs w:val="22"/>
        </w:rPr>
        <w:t>The codes were then put under more general categories to form the initial themes. These themes were then discussed, narrowed down and formulated to reflect the data the best and fit the research purpose. The last themes offered a systematic framework of presenting and discussing the findings concerning the existing literature (McLeod, 2024</w:t>
      </w:r>
      <w:r w:rsidRPr="00050094" w:rsidR="00841283">
        <w:rPr>
          <w:rFonts w:ascii="Arial" w:hAnsi="Arial" w:cs="Arial"/>
          <w:sz w:val="22"/>
          <w:szCs w:val="22"/>
        </w:rPr>
        <w:t>).</w:t>
      </w:r>
    </w:p>
    <w:p w:rsidRPr="00050094" w:rsidR="00841283" w:rsidP="003502E9" w:rsidRDefault="00841283" w14:paraId="059B62BC" w14:textId="13DE975E">
      <w:pPr>
        <w:pStyle w:val="Heading2"/>
        <w:spacing w:line="360" w:lineRule="auto"/>
        <w:jc w:val="both"/>
        <w:rPr>
          <w:rFonts w:ascii="Arial" w:hAnsi="Arial" w:cs="Arial"/>
          <w:b/>
          <w:bCs/>
          <w:i/>
          <w:iCs/>
          <w:color w:val="auto"/>
          <w:sz w:val="28"/>
          <w:szCs w:val="28"/>
        </w:rPr>
      </w:pPr>
      <w:bookmarkStart w:name="_Toc225378516" w:id="28"/>
      <w:r w:rsidRPr="00050094">
        <w:rPr>
          <w:rFonts w:ascii="Arial" w:hAnsi="Arial" w:cs="Arial"/>
          <w:b/>
          <w:bCs/>
          <w:i/>
          <w:iCs/>
          <w:color w:val="auto"/>
          <w:sz w:val="28"/>
          <w:szCs w:val="28"/>
        </w:rPr>
        <w:t>3.6 Ethical Considerations</w:t>
      </w:r>
      <w:bookmarkEnd w:id="28"/>
      <w:r w:rsidRPr="00050094">
        <w:rPr>
          <w:rFonts w:ascii="Arial" w:hAnsi="Arial" w:cs="Arial"/>
          <w:b/>
          <w:bCs/>
          <w:i/>
          <w:iCs/>
          <w:color w:val="auto"/>
          <w:sz w:val="28"/>
          <w:szCs w:val="28"/>
        </w:rPr>
        <w:t xml:space="preserve"> </w:t>
      </w:r>
    </w:p>
    <w:p w:rsidRPr="00050094" w:rsidR="00D64613" w:rsidP="003502E9" w:rsidRDefault="00D64613" w14:paraId="136BB991" w14:textId="77777777">
      <w:pPr>
        <w:spacing w:line="360" w:lineRule="auto"/>
        <w:jc w:val="both"/>
        <w:rPr>
          <w:rFonts w:ascii="Arial" w:hAnsi="Arial" w:cs="Arial"/>
          <w:sz w:val="22"/>
          <w:szCs w:val="22"/>
        </w:rPr>
      </w:pPr>
      <w:r w:rsidRPr="00050094">
        <w:rPr>
          <w:rFonts w:ascii="Arial" w:hAnsi="Arial" w:cs="Arial"/>
          <w:sz w:val="22"/>
          <w:szCs w:val="22"/>
        </w:rPr>
        <w:t>The research is a qualitative study that is formed upon secondary research, and it does not entail interacting with human subjects; as such, institutional review boards or NHS do not require formal ethical approval. The study is also based on information that is publicly available only, such as peer-reviewed journal articles, governmental publications, and NHS reports, which reduces the possible ethical risks (Page et al., 2021). Nevertheless, the ethical principles are still indispensable in establishing the integrity and the credibility of the research process.</w:t>
      </w:r>
    </w:p>
    <w:p w:rsidRPr="00050094" w:rsidR="00841283" w:rsidP="003502E9" w:rsidRDefault="00D64613" w14:paraId="075F0E11" w14:textId="1141197C">
      <w:pPr>
        <w:spacing w:line="360" w:lineRule="auto"/>
        <w:jc w:val="both"/>
        <w:rPr>
          <w:rFonts w:ascii="Arial" w:hAnsi="Arial" w:cs="Arial"/>
          <w:sz w:val="22"/>
          <w:szCs w:val="22"/>
        </w:rPr>
      </w:pPr>
      <w:r w:rsidRPr="00050094">
        <w:rPr>
          <w:rFonts w:ascii="Arial" w:hAnsi="Arial" w:cs="Arial"/>
          <w:sz w:val="22"/>
          <w:szCs w:val="22"/>
        </w:rPr>
        <w:t xml:space="preserve">The references in the present study are properly referenced with the help of the UWTSD Harvard referencing style that ensures that the original authors are mentioned and plagiarism is avoided. This shows a sense of academic integrity and the openness of results (Department of Health and </w:t>
      </w:r>
      <w:r w:rsidRPr="00050094">
        <w:rPr>
          <w:rFonts w:ascii="Arial" w:hAnsi="Arial" w:cs="Arial"/>
          <w:sz w:val="22"/>
          <w:szCs w:val="22"/>
        </w:rPr>
        <w:lastRenderedPageBreak/>
        <w:t>Social Care, 2022). Moreover, the researcher makes sure that the information is not distorted or biased, all data are presented in an unbiased manner, and the literature synthesis can be deemed as authentic and credible (</w:t>
      </w:r>
      <w:r w:rsidRPr="00050094" w:rsidR="00050094">
        <w:rPr>
          <w:rFonts w:ascii="Arial" w:hAnsi="Arial" w:cs="Arial"/>
          <w:sz w:val="22"/>
          <w:szCs w:val="22"/>
        </w:rPr>
        <w:t>Mabunda, 2025</w:t>
      </w:r>
      <w:r w:rsidRPr="00050094" w:rsidR="00841283">
        <w:rPr>
          <w:rFonts w:ascii="Arial" w:hAnsi="Arial" w:cs="Arial"/>
          <w:sz w:val="22"/>
          <w:szCs w:val="22"/>
        </w:rPr>
        <w:t>).</w:t>
      </w:r>
    </w:p>
    <w:p w:rsidRPr="00050094" w:rsidR="00841283" w:rsidP="003502E9" w:rsidRDefault="00841283" w14:paraId="64AB5D71" w14:textId="259B0AE8">
      <w:pPr>
        <w:pStyle w:val="Heading2"/>
        <w:spacing w:line="360" w:lineRule="auto"/>
        <w:jc w:val="both"/>
        <w:rPr>
          <w:rFonts w:ascii="Arial" w:hAnsi="Arial" w:cs="Arial"/>
          <w:b/>
          <w:bCs/>
          <w:i/>
          <w:iCs/>
          <w:color w:val="auto"/>
          <w:sz w:val="28"/>
          <w:szCs w:val="28"/>
        </w:rPr>
      </w:pPr>
      <w:bookmarkStart w:name="_Toc225378517" w:id="29"/>
      <w:r w:rsidRPr="00050094">
        <w:rPr>
          <w:rFonts w:ascii="Arial" w:hAnsi="Arial" w:cs="Arial"/>
          <w:b/>
          <w:bCs/>
          <w:i/>
          <w:iCs/>
          <w:color w:val="auto"/>
          <w:sz w:val="28"/>
          <w:szCs w:val="28"/>
        </w:rPr>
        <w:t>3.7 Limitations</w:t>
      </w:r>
      <w:bookmarkEnd w:id="29"/>
      <w:r w:rsidRPr="00050094">
        <w:rPr>
          <w:rFonts w:ascii="Arial" w:hAnsi="Arial" w:cs="Arial"/>
          <w:b/>
          <w:bCs/>
          <w:i/>
          <w:iCs/>
          <w:color w:val="auto"/>
          <w:sz w:val="28"/>
          <w:szCs w:val="28"/>
        </w:rPr>
        <w:t xml:space="preserve"> </w:t>
      </w:r>
    </w:p>
    <w:p w:rsidR="003502E9" w:rsidP="003502E9" w:rsidRDefault="00CF3194" w14:paraId="6C15F4F2" w14:textId="4CF6D69E">
      <w:pPr>
        <w:spacing w:line="360" w:lineRule="auto"/>
        <w:jc w:val="both"/>
        <w:rPr>
          <w:rFonts w:ascii="Arial" w:hAnsi="Arial" w:cs="Arial"/>
          <w:sz w:val="22"/>
          <w:szCs w:val="22"/>
        </w:rPr>
      </w:pPr>
      <w:r w:rsidRPr="00050094">
        <w:rPr>
          <w:rFonts w:ascii="Arial" w:hAnsi="Arial" w:cs="Arial"/>
          <w:sz w:val="22"/>
          <w:szCs w:val="22"/>
        </w:rPr>
        <w:t xml:space="preserve">In spite of the merits of using the systematic literature review method, a number of limitations that are inherent to this study must be mentioned. The use of secondary data is one of the main weaknesses that can cause bias because of the reliance on the existing studies of various quality, methodology, and scopes. This way, the results are biased by the limitations of the original study which might influence the general interpretation of the results (Norton and Cuskelly, 2021). An additional weakness is the concentration on the UK-based studies that, although providing contextualism, can limit the ability to generalise the results to other countries or even healthcare systems. The mental health services and </w:t>
      </w:r>
      <w:r w:rsidRPr="00050094" w:rsidR="003502E9">
        <w:rPr>
          <w:rFonts w:ascii="Arial" w:hAnsi="Arial" w:cs="Arial"/>
          <w:sz w:val="22"/>
          <w:szCs w:val="22"/>
        </w:rPr>
        <w:t>family’s</w:t>
      </w:r>
      <w:r w:rsidRPr="00050094">
        <w:rPr>
          <w:rFonts w:ascii="Arial" w:hAnsi="Arial" w:cs="Arial"/>
          <w:sz w:val="22"/>
          <w:szCs w:val="22"/>
        </w:rPr>
        <w:t xml:space="preserve"> involvement practices vary depending on context, and thus the conclusions made might not be universal (</w:t>
      </w:r>
      <w:r w:rsidRPr="00050094" w:rsidR="00050094">
        <w:rPr>
          <w:rFonts w:ascii="Arial" w:hAnsi="Arial" w:cs="Arial"/>
          <w:sz w:val="22"/>
          <w:szCs w:val="22"/>
        </w:rPr>
        <w:t>Mosley, 2015</w:t>
      </w:r>
      <w:r w:rsidRPr="00050094">
        <w:rPr>
          <w:rFonts w:ascii="Arial" w:hAnsi="Arial" w:cs="Arial"/>
          <w:sz w:val="22"/>
          <w:szCs w:val="22"/>
        </w:rPr>
        <w:t>). Moreover, lack of primary data implies that no direct views on service users or families are obtained, which can restrict the level of experiences in the study (Cameron et al., 202</w:t>
      </w:r>
      <w:r w:rsidRPr="00050094" w:rsidR="00841283">
        <w:rPr>
          <w:rFonts w:ascii="Arial" w:hAnsi="Arial" w:cs="Arial"/>
          <w:sz w:val="22"/>
          <w:szCs w:val="22"/>
        </w:rPr>
        <w:t>3).</w:t>
      </w:r>
    </w:p>
    <w:p w:rsidR="003502E9" w:rsidP="003502E9" w:rsidRDefault="003502E9" w14:paraId="76AE4665" w14:textId="77777777">
      <w:pPr>
        <w:spacing w:line="360" w:lineRule="auto"/>
        <w:rPr>
          <w:rFonts w:ascii="Arial" w:hAnsi="Arial" w:cs="Arial"/>
          <w:sz w:val="22"/>
          <w:szCs w:val="22"/>
        </w:rPr>
      </w:pPr>
      <w:r>
        <w:rPr>
          <w:rFonts w:ascii="Arial" w:hAnsi="Arial" w:cs="Arial"/>
          <w:sz w:val="22"/>
          <w:szCs w:val="22"/>
        </w:rPr>
        <w:br w:type="page"/>
      </w:r>
    </w:p>
    <w:p w:rsidRPr="00050094" w:rsidR="00841283" w:rsidP="003502E9" w:rsidRDefault="00841283" w14:paraId="5D7E3264" w14:textId="77777777">
      <w:pPr>
        <w:spacing w:line="360" w:lineRule="auto"/>
        <w:jc w:val="both"/>
        <w:rPr>
          <w:rFonts w:ascii="Arial" w:hAnsi="Arial" w:cs="Arial"/>
          <w:sz w:val="22"/>
          <w:szCs w:val="22"/>
        </w:rPr>
      </w:pPr>
    </w:p>
    <w:p w:rsidRPr="00050094" w:rsidR="00FF3442" w:rsidP="003502E9" w:rsidRDefault="00FF3442" w14:paraId="3150DE02" w14:textId="359DDCE0">
      <w:pPr>
        <w:pStyle w:val="Heading1"/>
        <w:spacing w:line="360" w:lineRule="auto"/>
        <w:jc w:val="both"/>
        <w:rPr>
          <w:rFonts w:ascii="Arial" w:hAnsi="Arial" w:cs="Arial"/>
          <w:b/>
          <w:bCs/>
          <w:color w:val="auto"/>
          <w:sz w:val="32"/>
          <w:szCs w:val="32"/>
        </w:rPr>
      </w:pPr>
      <w:bookmarkStart w:name="_Toc225378518" w:id="30"/>
      <w:r w:rsidRPr="00050094">
        <w:rPr>
          <w:rFonts w:ascii="Arial" w:hAnsi="Arial" w:cs="Arial"/>
          <w:b/>
          <w:bCs/>
          <w:color w:val="auto"/>
          <w:sz w:val="32"/>
          <w:szCs w:val="32"/>
        </w:rPr>
        <w:t>CHAPTER 4: RESULTS &amp; DISCUSSION</w:t>
      </w:r>
      <w:bookmarkEnd w:id="30"/>
      <w:r w:rsidRPr="00050094">
        <w:rPr>
          <w:rFonts w:ascii="Arial" w:hAnsi="Arial" w:cs="Arial"/>
          <w:b/>
          <w:bCs/>
          <w:color w:val="auto"/>
          <w:sz w:val="32"/>
          <w:szCs w:val="32"/>
        </w:rPr>
        <w:t xml:space="preserve"> </w:t>
      </w:r>
    </w:p>
    <w:p w:rsidRPr="00050094" w:rsidR="00FF3442" w:rsidP="003502E9" w:rsidRDefault="00FF3442" w14:paraId="14AF55EC" w14:textId="24FE4401">
      <w:pPr>
        <w:pStyle w:val="Heading2"/>
        <w:spacing w:line="360" w:lineRule="auto"/>
        <w:jc w:val="both"/>
        <w:rPr>
          <w:rFonts w:ascii="Arial" w:hAnsi="Arial" w:cs="Arial"/>
          <w:b/>
          <w:bCs/>
          <w:i/>
          <w:iCs/>
          <w:color w:val="auto"/>
          <w:sz w:val="28"/>
          <w:szCs w:val="28"/>
        </w:rPr>
      </w:pPr>
      <w:bookmarkStart w:name="_Toc225378519" w:id="31"/>
      <w:r w:rsidRPr="00050094">
        <w:rPr>
          <w:rFonts w:ascii="Arial" w:hAnsi="Arial" w:cs="Arial"/>
          <w:b/>
          <w:bCs/>
          <w:i/>
          <w:iCs/>
          <w:color w:val="auto"/>
          <w:sz w:val="28"/>
          <w:szCs w:val="28"/>
        </w:rPr>
        <w:t>4.1 Introduction</w:t>
      </w:r>
      <w:bookmarkEnd w:id="31"/>
      <w:r w:rsidRPr="00050094">
        <w:rPr>
          <w:rFonts w:ascii="Arial" w:hAnsi="Arial" w:cs="Arial"/>
          <w:b/>
          <w:bCs/>
          <w:i/>
          <w:iCs/>
          <w:color w:val="auto"/>
          <w:sz w:val="28"/>
          <w:szCs w:val="28"/>
        </w:rPr>
        <w:t xml:space="preserve"> </w:t>
      </w:r>
    </w:p>
    <w:p w:rsidRPr="00050094" w:rsidR="00CF3194" w:rsidP="003502E9" w:rsidRDefault="00CF3194" w14:paraId="2F07B459" w14:textId="77777777">
      <w:pPr>
        <w:spacing w:line="360" w:lineRule="auto"/>
        <w:jc w:val="both"/>
        <w:rPr>
          <w:rFonts w:ascii="Arial" w:hAnsi="Arial" w:cs="Arial"/>
          <w:sz w:val="22"/>
          <w:szCs w:val="22"/>
        </w:rPr>
      </w:pPr>
      <w:r w:rsidRPr="00050094">
        <w:rPr>
          <w:rFonts w:ascii="Arial" w:hAnsi="Arial" w:cs="Arial"/>
          <w:sz w:val="22"/>
          <w:szCs w:val="22"/>
        </w:rPr>
        <w:t>This chapter outlines and reports the most important results of the systematic review of the literature on the significance of family support during the recovery of mental health. The results are structured into thematic groups to allow giving an ordered and consistent analysis of the role of various forms of family support in the recovery outcomes of users of mental health services in the UK (Naeem et al., 2023). The thematic analysis makes it possible to identify the patterns and relationships between data that are repeated, and thus understand the issue deeper (McLeod, 2024).</w:t>
      </w:r>
    </w:p>
    <w:p w:rsidRPr="00050094" w:rsidR="00FF3442" w:rsidP="003502E9" w:rsidRDefault="00CF3194" w14:paraId="55BB4943" w14:textId="559E8602">
      <w:pPr>
        <w:spacing w:line="360" w:lineRule="auto"/>
        <w:jc w:val="both"/>
        <w:rPr>
          <w:rFonts w:ascii="Arial" w:hAnsi="Arial" w:cs="Arial"/>
          <w:sz w:val="22"/>
          <w:szCs w:val="22"/>
        </w:rPr>
      </w:pPr>
      <w:r w:rsidRPr="00050094">
        <w:rPr>
          <w:rFonts w:ascii="Arial" w:hAnsi="Arial" w:cs="Arial"/>
          <w:sz w:val="22"/>
          <w:szCs w:val="22"/>
        </w:rPr>
        <w:t>These findings are combined with the existing theories and existing empirical evidence in the discussion that will assess the effectiveness of family involvement in recovery-oriented care. This method allows making the results not only descriptive but also critically assessed against the existing literature and theoretical foundations (Norton and Cuskelly, 2021). This chapter starts with the analysis of emotional support as an important subject that contributes to the recovery of mental health</w:t>
      </w:r>
      <w:r w:rsidRPr="00050094" w:rsidR="00FF3442">
        <w:rPr>
          <w:rFonts w:ascii="Arial" w:hAnsi="Arial" w:cs="Arial"/>
          <w:sz w:val="22"/>
          <w:szCs w:val="22"/>
        </w:rPr>
        <w:t>.</w:t>
      </w:r>
    </w:p>
    <w:p w:rsidRPr="00050094" w:rsidR="00FF3442" w:rsidP="003502E9" w:rsidRDefault="00FF3442" w14:paraId="0CF67BC4" w14:textId="57247FEE">
      <w:pPr>
        <w:pStyle w:val="Heading2"/>
        <w:spacing w:line="360" w:lineRule="auto"/>
        <w:jc w:val="both"/>
        <w:rPr>
          <w:rFonts w:ascii="Arial" w:hAnsi="Arial" w:cs="Arial"/>
          <w:b/>
          <w:bCs/>
          <w:i/>
          <w:iCs/>
          <w:color w:val="auto"/>
          <w:sz w:val="28"/>
          <w:szCs w:val="28"/>
        </w:rPr>
      </w:pPr>
      <w:bookmarkStart w:name="_Toc225378520" w:id="32"/>
      <w:r w:rsidRPr="00050094">
        <w:rPr>
          <w:rFonts w:ascii="Arial" w:hAnsi="Arial" w:cs="Arial"/>
          <w:b/>
          <w:bCs/>
          <w:i/>
          <w:iCs/>
          <w:color w:val="auto"/>
          <w:sz w:val="28"/>
          <w:szCs w:val="28"/>
        </w:rPr>
        <w:t>4.2 Theme 1: Emotional Support</w:t>
      </w:r>
      <w:bookmarkEnd w:id="32"/>
      <w:r w:rsidRPr="00050094">
        <w:rPr>
          <w:rFonts w:ascii="Arial" w:hAnsi="Arial" w:cs="Arial"/>
          <w:b/>
          <w:bCs/>
          <w:i/>
          <w:iCs/>
          <w:color w:val="auto"/>
          <w:sz w:val="28"/>
          <w:szCs w:val="28"/>
        </w:rPr>
        <w:t xml:space="preserve"> </w:t>
      </w:r>
    </w:p>
    <w:p w:rsidRPr="00050094" w:rsidR="007174F8" w:rsidP="003502E9" w:rsidRDefault="007174F8" w14:paraId="2836B840" w14:textId="77777777">
      <w:pPr>
        <w:pStyle w:val="Heading3"/>
        <w:spacing w:line="360" w:lineRule="auto"/>
        <w:jc w:val="both"/>
        <w:rPr>
          <w:rFonts w:ascii="Arial" w:hAnsi="Arial" w:cs="Arial"/>
          <w:i/>
          <w:iCs/>
          <w:color w:val="auto"/>
          <w:sz w:val="24"/>
          <w:szCs w:val="24"/>
        </w:rPr>
      </w:pPr>
      <w:bookmarkStart w:name="_Toc225378521" w:id="33"/>
      <w:r w:rsidRPr="00050094">
        <w:rPr>
          <w:rFonts w:ascii="Arial" w:hAnsi="Arial" w:cs="Arial"/>
          <w:i/>
          <w:iCs/>
          <w:color w:val="auto"/>
          <w:sz w:val="24"/>
          <w:szCs w:val="24"/>
        </w:rPr>
        <w:t>4.2.1 Emotional Support and Psychological Wellbeing</w:t>
      </w:r>
      <w:bookmarkEnd w:id="33"/>
    </w:p>
    <w:p w:rsidRPr="00050094" w:rsidR="007174F8" w:rsidP="003502E9" w:rsidRDefault="00CF3194" w14:paraId="56474065" w14:textId="1EC33681">
      <w:pPr>
        <w:spacing w:line="360" w:lineRule="auto"/>
        <w:jc w:val="both"/>
        <w:rPr>
          <w:rFonts w:asciiTheme="minorBidi" w:hAnsiTheme="minorBidi"/>
          <w:sz w:val="22"/>
          <w:szCs w:val="22"/>
        </w:rPr>
      </w:pPr>
      <w:r w:rsidRPr="00050094">
        <w:rPr>
          <w:rFonts w:asciiTheme="minorBidi" w:hAnsiTheme="minorBidi"/>
          <w:sz w:val="22"/>
          <w:szCs w:val="22"/>
        </w:rPr>
        <w:t>Family-based emotional support proves to be a major issue that contributes to the recovery of users of mental health services. It implies the use of expressions of empathy, understanding, reassurance, and encouragement, which help a great deal to enhance psychological wellbeing and emotional stability (Bjørlykhaug et al., 2022). People with strong support in their family members have higher chances to become resilient and have a positive attitude to the recovery process (</w:t>
      </w:r>
      <w:proofErr w:type="spellStart"/>
      <w:r w:rsidRPr="00050094" w:rsidR="00050094">
        <w:rPr>
          <w:rFonts w:asciiTheme="minorBidi" w:hAnsiTheme="minorBidi"/>
          <w:sz w:val="22"/>
          <w:szCs w:val="22"/>
        </w:rPr>
        <w:t>Mousavizadeh</w:t>
      </w:r>
      <w:proofErr w:type="spellEnd"/>
      <w:r w:rsidRPr="00050094" w:rsidR="00050094">
        <w:rPr>
          <w:rFonts w:asciiTheme="minorBidi" w:hAnsiTheme="minorBidi"/>
          <w:sz w:val="22"/>
          <w:szCs w:val="22"/>
        </w:rPr>
        <w:t xml:space="preserve"> and Bidgoli, 2023</w:t>
      </w:r>
      <w:r w:rsidRPr="00050094">
        <w:rPr>
          <w:rFonts w:asciiTheme="minorBidi" w:hAnsiTheme="minorBidi"/>
          <w:sz w:val="22"/>
          <w:szCs w:val="22"/>
        </w:rPr>
        <w:t>). It means that emotional support is a protective factor that enhances coping responses and leads to recovery</w:t>
      </w:r>
      <w:r w:rsidRPr="00050094" w:rsidR="007174F8">
        <w:rPr>
          <w:rFonts w:asciiTheme="minorBidi" w:hAnsiTheme="minorBidi"/>
          <w:sz w:val="22"/>
          <w:szCs w:val="22"/>
        </w:rPr>
        <w:t>.</w:t>
      </w:r>
    </w:p>
    <w:p w:rsidRPr="00050094" w:rsidR="007174F8" w:rsidP="003502E9" w:rsidRDefault="007174F8" w14:paraId="067E5808" w14:textId="77777777">
      <w:pPr>
        <w:pStyle w:val="Heading3"/>
        <w:spacing w:line="360" w:lineRule="auto"/>
        <w:jc w:val="both"/>
        <w:rPr>
          <w:rFonts w:ascii="Arial" w:hAnsi="Arial" w:cs="Arial"/>
          <w:i/>
          <w:iCs/>
          <w:color w:val="auto"/>
          <w:sz w:val="24"/>
          <w:szCs w:val="24"/>
        </w:rPr>
      </w:pPr>
      <w:bookmarkStart w:name="_Toc225378522" w:id="34"/>
      <w:r w:rsidRPr="00050094">
        <w:rPr>
          <w:rFonts w:ascii="Arial" w:hAnsi="Arial" w:cs="Arial"/>
          <w:i/>
          <w:iCs/>
          <w:color w:val="auto"/>
          <w:sz w:val="24"/>
          <w:szCs w:val="24"/>
        </w:rPr>
        <w:t>4.2.2 Reduction of Isolation and Emotional Regulation</w:t>
      </w:r>
      <w:bookmarkEnd w:id="34"/>
    </w:p>
    <w:p w:rsidRPr="00050094" w:rsidR="007174F8" w:rsidP="003502E9" w:rsidRDefault="00CF3194" w14:paraId="3803EF9E" w14:textId="4CC672D9">
      <w:pPr>
        <w:spacing w:line="360" w:lineRule="auto"/>
        <w:jc w:val="both"/>
        <w:rPr>
          <w:rFonts w:asciiTheme="minorBidi" w:hAnsiTheme="minorBidi"/>
          <w:sz w:val="22"/>
          <w:szCs w:val="22"/>
        </w:rPr>
      </w:pPr>
      <w:r w:rsidRPr="00050094">
        <w:rPr>
          <w:rFonts w:asciiTheme="minorBidi" w:hAnsiTheme="minorBidi"/>
          <w:sz w:val="22"/>
          <w:szCs w:val="22"/>
        </w:rPr>
        <w:t xml:space="preserve">Emotions, particularly support, is important in alleviating feelings of isolation and loneliness that are usually felt by persons with mental illnesses. When family members create an atmosphere where the service user feels free to share his/her emotions, this will allow him to cope and regulate </w:t>
      </w:r>
      <w:r w:rsidRPr="00050094">
        <w:rPr>
          <w:rFonts w:asciiTheme="minorBidi" w:hAnsiTheme="minorBidi"/>
          <w:sz w:val="22"/>
          <w:szCs w:val="22"/>
        </w:rPr>
        <w:lastRenderedPageBreak/>
        <w:t>his/her emotions because of this non-judgemental environment (Elger et al., 2025). This positive climate leads to the establishment of trust and the reinforcement of the inter-personal relationships, which are vital in long-term recovery (Elger et al., 2025). Consequently, emotional support also makes people feel that they are understood and connected, and this is crucial to maintain a positive mental state</w:t>
      </w:r>
      <w:r w:rsidRPr="00050094" w:rsidR="007174F8">
        <w:rPr>
          <w:rFonts w:asciiTheme="minorBidi" w:hAnsiTheme="minorBidi"/>
          <w:sz w:val="22"/>
          <w:szCs w:val="22"/>
        </w:rPr>
        <w:t>.</w:t>
      </w:r>
    </w:p>
    <w:p w:rsidRPr="00050094" w:rsidR="007174F8" w:rsidP="003502E9" w:rsidRDefault="007174F8" w14:paraId="0A0C4988" w14:textId="77777777">
      <w:pPr>
        <w:pStyle w:val="Heading3"/>
        <w:spacing w:line="360" w:lineRule="auto"/>
        <w:jc w:val="both"/>
        <w:rPr>
          <w:rFonts w:asciiTheme="minorBidi" w:hAnsiTheme="minorBidi" w:cstheme="minorBidi"/>
          <w:i/>
          <w:iCs/>
          <w:color w:val="auto"/>
          <w:sz w:val="24"/>
          <w:szCs w:val="24"/>
        </w:rPr>
      </w:pPr>
      <w:bookmarkStart w:name="_Toc225378523" w:id="35"/>
      <w:r w:rsidRPr="00050094">
        <w:rPr>
          <w:rFonts w:asciiTheme="minorBidi" w:hAnsiTheme="minorBidi" w:cstheme="minorBidi"/>
          <w:i/>
          <w:iCs/>
          <w:color w:val="auto"/>
          <w:sz w:val="24"/>
          <w:szCs w:val="24"/>
        </w:rPr>
        <w:t>4.2.3 Emotional Support and Recovery Outcomes</w:t>
      </w:r>
      <w:bookmarkEnd w:id="35"/>
    </w:p>
    <w:p w:rsidRPr="00050094" w:rsidR="007174F8" w:rsidP="003502E9" w:rsidRDefault="00CF3194" w14:paraId="146DA4AD" w14:textId="14FAF4E0">
      <w:pPr>
        <w:spacing w:line="360" w:lineRule="auto"/>
        <w:jc w:val="both"/>
        <w:rPr>
          <w:rFonts w:asciiTheme="minorBidi" w:hAnsiTheme="minorBidi"/>
          <w:sz w:val="22"/>
          <w:szCs w:val="22"/>
        </w:rPr>
      </w:pPr>
      <w:r w:rsidRPr="00050094">
        <w:rPr>
          <w:rFonts w:asciiTheme="minorBidi" w:hAnsiTheme="minorBidi"/>
          <w:sz w:val="22"/>
          <w:szCs w:val="22"/>
        </w:rPr>
        <w:t>Moreover, emotional support has been attributed to better mental health outcomes since it assists people to cope with stress and overcome the difficulties that are related to their condition. Caring family members may increase the sense of belonging and security of an individual, which eventually makes the individual psychologically stable and lowers the chances of relapse (Bjørlykhaug et al., 2022). This is in line with the overall findings of studies that suggest that emotional bonding is essential to the recovery and wellbeing in the long term (Elger et al., 2025). Thus, emotional support is an aspect that does not only help in achieving stability in the short term but also long-term recovery</w:t>
      </w:r>
      <w:r w:rsidRPr="00050094" w:rsidR="007174F8">
        <w:rPr>
          <w:rFonts w:asciiTheme="minorBidi" w:hAnsiTheme="minorBidi"/>
          <w:sz w:val="22"/>
          <w:szCs w:val="22"/>
        </w:rPr>
        <w:t>.</w:t>
      </w:r>
    </w:p>
    <w:p w:rsidRPr="00050094" w:rsidR="007174F8" w:rsidP="003502E9" w:rsidRDefault="007174F8" w14:paraId="4D533226" w14:textId="77777777">
      <w:pPr>
        <w:pStyle w:val="Heading3"/>
        <w:spacing w:line="360" w:lineRule="auto"/>
        <w:jc w:val="both"/>
        <w:rPr>
          <w:rFonts w:asciiTheme="minorBidi" w:hAnsiTheme="minorBidi" w:cstheme="minorBidi"/>
          <w:i/>
          <w:iCs/>
          <w:color w:val="auto"/>
          <w:sz w:val="24"/>
          <w:szCs w:val="24"/>
        </w:rPr>
      </w:pPr>
      <w:bookmarkStart w:name="_Toc225378524" w:id="36"/>
      <w:r w:rsidRPr="00050094">
        <w:rPr>
          <w:rFonts w:asciiTheme="minorBidi" w:hAnsiTheme="minorBidi" w:cstheme="minorBidi"/>
          <w:i/>
          <w:iCs/>
          <w:color w:val="auto"/>
          <w:sz w:val="24"/>
          <w:szCs w:val="24"/>
        </w:rPr>
        <w:t>4.2.4 Engagement with Mental Health Services</w:t>
      </w:r>
      <w:bookmarkEnd w:id="36"/>
    </w:p>
    <w:p w:rsidRPr="00050094" w:rsidR="007174F8" w:rsidP="003502E9" w:rsidRDefault="00CF3194" w14:paraId="0BB7C994" w14:textId="1EE0B152">
      <w:pPr>
        <w:spacing w:line="360" w:lineRule="auto"/>
        <w:jc w:val="both"/>
        <w:rPr>
          <w:rFonts w:asciiTheme="minorBidi" w:hAnsiTheme="minorBidi"/>
          <w:sz w:val="22"/>
          <w:szCs w:val="22"/>
        </w:rPr>
      </w:pPr>
      <w:r w:rsidRPr="00050094">
        <w:rPr>
          <w:rFonts w:asciiTheme="minorBidi" w:hAnsiTheme="minorBidi"/>
          <w:sz w:val="22"/>
          <w:szCs w:val="22"/>
        </w:rPr>
        <w:t>Moreover, emotional support may lead to a higher level of involvement in mental health services, whereby when a person feels supported, there is the likelihood of the person observing the treatment plan and fully engaging in their treatment process. Service users may be inspired to use therapeutic interventions and treatment plans and stick to their recovery process by supportive family members (</w:t>
      </w:r>
      <w:r w:rsidRPr="00050094" w:rsidR="00050094">
        <w:rPr>
          <w:rFonts w:asciiTheme="minorBidi" w:hAnsiTheme="minorBidi"/>
          <w:sz w:val="22"/>
          <w:szCs w:val="22"/>
        </w:rPr>
        <w:t>Smith</w:t>
      </w:r>
      <w:r w:rsidRPr="00050094" w:rsidR="00050094">
        <w:rPr>
          <w:rFonts w:asciiTheme="minorBidi" w:hAnsiTheme="minorBidi"/>
          <w:sz w:val="22"/>
          <w:szCs w:val="22"/>
        </w:rPr>
        <w:t xml:space="preserve"> et al</w:t>
      </w:r>
      <w:r w:rsidRPr="00050094" w:rsidR="00050094">
        <w:rPr>
          <w:rFonts w:asciiTheme="minorBidi" w:hAnsiTheme="minorBidi"/>
          <w:sz w:val="22"/>
          <w:szCs w:val="22"/>
        </w:rPr>
        <w:t>, 2021</w:t>
      </w:r>
      <w:r w:rsidRPr="00050094">
        <w:rPr>
          <w:rFonts w:asciiTheme="minorBidi" w:hAnsiTheme="minorBidi"/>
          <w:sz w:val="22"/>
          <w:szCs w:val="22"/>
        </w:rPr>
        <w:t>). This points out the interrelation between emotional support and treatment adherence in obtaining positive results and enhancing service performance</w:t>
      </w:r>
      <w:r w:rsidRPr="00050094" w:rsidR="007174F8">
        <w:rPr>
          <w:rFonts w:asciiTheme="minorBidi" w:hAnsiTheme="minorBidi"/>
          <w:sz w:val="22"/>
          <w:szCs w:val="22"/>
        </w:rPr>
        <w:t>.</w:t>
      </w:r>
    </w:p>
    <w:p w:rsidRPr="00050094" w:rsidR="007174F8" w:rsidP="003502E9" w:rsidRDefault="007174F8" w14:paraId="24BCEA37" w14:textId="77777777">
      <w:pPr>
        <w:pStyle w:val="Heading3"/>
        <w:spacing w:line="360" w:lineRule="auto"/>
        <w:jc w:val="both"/>
        <w:rPr>
          <w:rFonts w:asciiTheme="minorBidi" w:hAnsiTheme="minorBidi" w:cstheme="minorBidi"/>
          <w:i/>
          <w:iCs/>
          <w:color w:val="auto"/>
          <w:sz w:val="24"/>
          <w:szCs w:val="24"/>
        </w:rPr>
      </w:pPr>
      <w:bookmarkStart w:name="_Toc225378525" w:id="37"/>
      <w:r w:rsidRPr="00050094">
        <w:rPr>
          <w:rFonts w:asciiTheme="minorBidi" w:hAnsiTheme="minorBidi" w:cstheme="minorBidi"/>
          <w:i/>
          <w:iCs/>
          <w:color w:val="auto"/>
          <w:sz w:val="24"/>
          <w:szCs w:val="24"/>
        </w:rPr>
        <w:t>4.2.5 Limitations of Emotional Support</w:t>
      </w:r>
      <w:bookmarkEnd w:id="37"/>
    </w:p>
    <w:p w:rsidRPr="00050094" w:rsidR="007174F8" w:rsidP="003502E9" w:rsidRDefault="00CF3194" w14:paraId="0843C0B0" w14:textId="63BB410E">
      <w:pPr>
        <w:spacing w:line="360" w:lineRule="auto"/>
        <w:jc w:val="both"/>
        <w:rPr>
          <w:rFonts w:asciiTheme="minorBidi" w:hAnsiTheme="minorBidi"/>
          <w:sz w:val="22"/>
          <w:szCs w:val="22"/>
        </w:rPr>
      </w:pPr>
      <w:r w:rsidRPr="00050094">
        <w:rPr>
          <w:rFonts w:asciiTheme="minorBidi" w:hAnsiTheme="minorBidi"/>
          <w:sz w:val="22"/>
          <w:szCs w:val="22"/>
        </w:rPr>
        <w:t>Nevertheless, the efficacy of the emotional support depends on the quality of the family relations and the degree of the awareness of mental health concerns in the family members. Family awareness or negative attitudes can also be a limiting factor in the delivery of effective emotional support in certain instances, which prevents recovery (Elger et al., 2025). That is why, both advantages and disadvantages of family-based emotional support should be taken into account as applied to mental health recovery</w:t>
      </w:r>
      <w:r w:rsidRPr="00050094" w:rsidR="007174F8">
        <w:rPr>
          <w:rFonts w:asciiTheme="minorBidi" w:hAnsiTheme="minorBidi"/>
          <w:sz w:val="22"/>
          <w:szCs w:val="22"/>
        </w:rPr>
        <w:t>.</w:t>
      </w:r>
    </w:p>
    <w:p w:rsidRPr="00050094" w:rsidR="00080D6F" w:rsidP="003502E9" w:rsidRDefault="00080D6F" w14:paraId="1AAA43DF" w14:textId="0EDD4755">
      <w:pPr>
        <w:pStyle w:val="Heading2"/>
        <w:spacing w:line="360" w:lineRule="auto"/>
        <w:jc w:val="both"/>
        <w:rPr>
          <w:rFonts w:ascii="Arial" w:hAnsi="Arial" w:cs="Arial"/>
          <w:sz w:val="22"/>
          <w:szCs w:val="22"/>
        </w:rPr>
      </w:pPr>
      <w:bookmarkStart w:name="_Toc225378526" w:id="38"/>
      <w:r w:rsidRPr="00050094">
        <w:rPr>
          <w:rFonts w:ascii="Arial" w:hAnsi="Arial" w:cs="Arial"/>
          <w:b/>
          <w:bCs/>
          <w:i/>
          <w:iCs/>
          <w:color w:val="auto"/>
          <w:sz w:val="28"/>
          <w:szCs w:val="28"/>
        </w:rPr>
        <w:lastRenderedPageBreak/>
        <w:t>4.3 Theme 2: Practical Support</w:t>
      </w:r>
      <w:bookmarkEnd w:id="38"/>
      <w:r w:rsidRPr="00050094">
        <w:rPr>
          <w:rFonts w:ascii="Arial" w:hAnsi="Arial" w:cs="Arial"/>
          <w:b/>
          <w:bCs/>
          <w:i/>
          <w:iCs/>
          <w:color w:val="auto"/>
          <w:sz w:val="28"/>
          <w:szCs w:val="28"/>
        </w:rPr>
        <w:t xml:space="preserve"> </w:t>
      </w:r>
    </w:p>
    <w:p w:rsidRPr="00050094" w:rsidR="00A51233" w:rsidP="003502E9" w:rsidRDefault="00A51233" w14:paraId="7B6D5F68" w14:textId="77777777">
      <w:pPr>
        <w:pStyle w:val="Heading3"/>
        <w:spacing w:line="360" w:lineRule="auto"/>
        <w:jc w:val="both"/>
        <w:rPr>
          <w:rFonts w:ascii="Arial" w:hAnsi="Arial" w:cs="Arial"/>
          <w:i/>
          <w:iCs/>
          <w:color w:val="auto"/>
          <w:sz w:val="24"/>
          <w:szCs w:val="24"/>
        </w:rPr>
      </w:pPr>
      <w:bookmarkStart w:name="_Toc225378527" w:id="39"/>
      <w:r w:rsidRPr="00050094">
        <w:rPr>
          <w:rFonts w:ascii="Arial" w:hAnsi="Arial" w:cs="Arial"/>
          <w:i/>
          <w:iCs/>
          <w:color w:val="auto"/>
          <w:sz w:val="24"/>
          <w:szCs w:val="24"/>
        </w:rPr>
        <w:t>4.3.1 Practical Support and Daily Functioning</w:t>
      </w:r>
      <w:bookmarkEnd w:id="39"/>
    </w:p>
    <w:p w:rsidRPr="00050094" w:rsidR="00A51233" w:rsidP="003502E9" w:rsidRDefault="00CF3194" w14:paraId="2DF20AAC" w14:textId="3817316C">
      <w:pPr>
        <w:spacing w:line="360" w:lineRule="auto"/>
        <w:jc w:val="both"/>
        <w:rPr>
          <w:rFonts w:asciiTheme="minorBidi" w:hAnsiTheme="minorBidi"/>
          <w:sz w:val="22"/>
          <w:szCs w:val="22"/>
        </w:rPr>
      </w:pPr>
      <w:r w:rsidRPr="00050094">
        <w:rPr>
          <w:rFonts w:asciiTheme="minorBidi" w:hAnsiTheme="minorBidi"/>
          <w:sz w:val="22"/>
          <w:szCs w:val="22"/>
        </w:rPr>
        <w:t>Practical assistance given by family members is critical in aiding the recovery of mental health service users as it has direct bearing as to whether or not the users can cope with the day-to-day life and comply with the treatment programs. This type of support comprises the help with medication schedules, visiting medical appointments, finances management, and organised daily activities, which are imperative in stabilising the mental conditions (Norton and Cuskelly, 2021). With the help of these practical aspects, families lead to continuity of care and improve the efficacy of clinical interventions (Norton and Cuskelly, 2021</w:t>
      </w:r>
      <w:r w:rsidRPr="00050094" w:rsidR="00A51233">
        <w:rPr>
          <w:rFonts w:asciiTheme="minorBidi" w:hAnsiTheme="minorBidi"/>
          <w:sz w:val="22"/>
          <w:szCs w:val="22"/>
        </w:rPr>
        <w:t>).</w:t>
      </w:r>
    </w:p>
    <w:p w:rsidRPr="00050094" w:rsidR="00A51233" w:rsidP="003502E9" w:rsidRDefault="00A51233" w14:paraId="399045EC" w14:textId="77777777">
      <w:pPr>
        <w:pStyle w:val="Heading3"/>
        <w:spacing w:line="360" w:lineRule="auto"/>
        <w:jc w:val="both"/>
        <w:rPr>
          <w:rFonts w:asciiTheme="minorBidi" w:hAnsiTheme="minorBidi" w:cstheme="minorBidi"/>
          <w:i/>
          <w:iCs/>
          <w:color w:val="auto"/>
          <w:sz w:val="24"/>
          <w:szCs w:val="24"/>
        </w:rPr>
      </w:pPr>
      <w:bookmarkStart w:name="_Toc225378528" w:id="40"/>
      <w:r w:rsidRPr="00050094">
        <w:rPr>
          <w:rFonts w:asciiTheme="minorBidi" w:hAnsiTheme="minorBidi" w:cstheme="minorBidi"/>
          <w:i/>
          <w:iCs/>
          <w:color w:val="auto"/>
          <w:sz w:val="24"/>
          <w:szCs w:val="24"/>
        </w:rPr>
        <w:t>4.3.2 Medication Adherence</w:t>
      </w:r>
      <w:bookmarkEnd w:id="40"/>
    </w:p>
    <w:p w:rsidRPr="00050094" w:rsidR="00A51233" w:rsidP="003502E9" w:rsidRDefault="00CF3194" w14:paraId="6ED7359D" w14:textId="5C3101F4">
      <w:pPr>
        <w:spacing w:line="360" w:lineRule="auto"/>
        <w:jc w:val="both"/>
        <w:rPr>
          <w:rFonts w:asciiTheme="minorBidi" w:hAnsiTheme="minorBidi"/>
          <w:sz w:val="22"/>
          <w:szCs w:val="22"/>
        </w:rPr>
      </w:pPr>
      <w:r w:rsidRPr="00050094">
        <w:rPr>
          <w:rFonts w:asciiTheme="minorBidi" w:hAnsiTheme="minorBidi"/>
          <w:sz w:val="22"/>
          <w:szCs w:val="22"/>
        </w:rPr>
        <w:t>The effect on medication adherence is among the most valuable effects of practical support as it is one of the determinants in managing mental illnesses and avoiding a relapse. Family members are usually very active by reminding them of taking prescribed medications, checking treatment continuity, and tracking changes in behaviour or side effects (Norton and Cuskelly, 2021). Such support lowers the chances of non-adherence to doses and enhances positive health results, especially in the cases of self-management inefficiency because of the specifics of the identified disease (Norton and Cuskelly, 2021</w:t>
      </w:r>
      <w:r w:rsidRPr="00050094" w:rsidR="00A51233">
        <w:rPr>
          <w:rFonts w:asciiTheme="minorBidi" w:hAnsiTheme="minorBidi"/>
          <w:sz w:val="22"/>
          <w:szCs w:val="22"/>
        </w:rPr>
        <w:t>).</w:t>
      </w:r>
    </w:p>
    <w:p w:rsidRPr="00050094" w:rsidR="00A51233" w:rsidP="003502E9" w:rsidRDefault="00A51233" w14:paraId="5130C1CB" w14:textId="77777777">
      <w:pPr>
        <w:pStyle w:val="Heading3"/>
        <w:spacing w:line="360" w:lineRule="auto"/>
        <w:jc w:val="both"/>
        <w:rPr>
          <w:rFonts w:asciiTheme="minorBidi" w:hAnsiTheme="minorBidi" w:cstheme="minorBidi"/>
          <w:i/>
          <w:iCs/>
          <w:color w:val="auto"/>
          <w:sz w:val="24"/>
          <w:szCs w:val="24"/>
        </w:rPr>
      </w:pPr>
      <w:bookmarkStart w:name="_Toc225378529" w:id="41"/>
      <w:r w:rsidRPr="00050094">
        <w:rPr>
          <w:rFonts w:asciiTheme="minorBidi" w:hAnsiTheme="minorBidi" w:cstheme="minorBidi"/>
          <w:i/>
          <w:iCs/>
          <w:color w:val="auto"/>
          <w:sz w:val="24"/>
          <w:szCs w:val="24"/>
        </w:rPr>
        <w:t>4.3.3 Relapse Prevention</w:t>
      </w:r>
      <w:bookmarkEnd w:id="41"/>
    </w:p>
    <w:p w:rsidRPr="00050094" w:rsidR="00A51233" w:rsidP="003502E9" w:rsidRDefault="00CF3194" w14:paraId="56876907" w14:textId="2FB66542">
      <w:pPr>
        <w:spacing w:line="360" w:lineRule="auto"/>
        <w:jc w:val="both"/>
        <w:rPr>
          <w:rFonts w:asciiTheme="minorBidi" w:hAnsiTheme="minorBidi"/>
          <w:sz w:val="22"/>
          <w:szCs w:val="22"/>
        </w:rPr>
      </w:pPr>
      <w:r w:rsidRPr="00050094">
        <w:rPr>
          <w:rFonts w:asciiTheme="minorBidi" w:hAnsiTheme="minorBidi"/>
          <w:sz w:val="22"/>
          <w:szCs w:val="22"/>
        </w:rPr>
        <w:t>Besides medication compliance, practical assistance has a vital role in the process of relapse prevention since the family is the first to notice the signs of worsening early. These can be behaviour changes, withdrawal, or stress that, when dealt with early, can avert more serious occurrences or hospitalisation (Zaidi, 2020). It is possible to conduct early intervention by involving families actively in the monitoring and responding of such signs, which would reduce the risk of relapses and help in long-term recovery (Zaidi, 2020</w:t>
      </w:r>
      <w:r w:rsidRPr="00050094" w:rsidR="00A51233">
        <w:rPr>
          <w:rFonts w:asciiTheme="minorBidi" w:hAnsiTheme="minorBidi"/>
          <w:sz w:val="22"/>
          <w:szCs w:val="22"/>
        </w:rPr>
        <w:t>).</w:t>
      </w:r>
    </w:p>
    <w:p w:rsidRPr="00050094" w:rsidR="00A51233" w:rsidP="003502E9" w:rsidRDefault="00A51233" w14:paraId="23D51B0B" w14:textId="77777777">
      <w:pPr>
        <w:pStyle w:val="Heading3"/>
        <w:spacing w:line="360" w:lineRule="auto"/>
        <w:jc w:val="both"/>
        <w:rPr>
          <w:rFonts w:asciiTheme="minorBidi" w:hAnsiTheme="minorBidi" w:cstheme="minorBidi"/>
          <w:i/>
          <w:iCs/>
          <w:color w:val="auto"/>
          <w:sz w:val="24"/>
          <w:szCs w:val="24"/>
        </w:rPr>
      </w:pPr>
      <w:bookmarkStart w:name="_Toc225378530" w:id="42"/>
      <w:r w:rsidRPr="00050094">
        <w:rPr>
          <w:rFonts w:asciiTheme="minorBidi" w:hAnsiTheme="minorBidi" w:cstheme="minorBidi"/>
          <w:i/>
          <w:iCs/>
          <w:color w:val="auto"/>
          <w:sz w:val="24"/>
          <w:szCs w:val="24"/>
        </w:rPr>
        <w:t>4.3.4 Support in Daily Living Activities</w:t>
      </w:r>
      <w:bookmarkEnd w:id="42"/>
    </w:p>
    <w:p w:rsidRPr="00050094" w:rsidR="00A51233" w:rsidP="003502E9" w:rsidRDefault="00CF3194" w14:paraId="417B453F" w14:textId="79E2DF57">
      <w:pPr>
        <w:spacing w:line="360" w:lineRule="auto"/>
        <w:jc w:val="both"/>
        <w:rPr>
          <w:rFonts w:asciiTheme="minorBidi" w:hAnsiTheme="minorBidi"/>
          <w:sz w:val="22"/>
          <w:szCs w:val="22"/>
        </w:rPr>
      </w:pPr>
      <w:r w:rsidRPr="00050094">
        <w:rPr>
          <w:rFonts w:asciiTheme="minorBidi" w:hAnsiTheme="minorBidi"/>
          <w:sz w:val="22"/>
          <w:szCs w:val="22"/>
        </w:rPr>
        <w:t>In addition, the practical support is also provided to help individuals with their daily living including personal hygiene, household duties, and community resource access. Such types of assistance allow people to be more independent and enhance their lives in general (Norton and Cuskelly, 2021). Families play their part in social integration and alleviating the burden of mental illnesses compared to the service users in everyday life by assisting them to overcome their challenges (Zaidi, 2020</w:t>
      </w:r>
      <w:r w:rsidRPr="00050094" w:rsidR="00A51233">
        <w:rPr>
          <w:rFonts w:asciiTheme="minorBidi" w:hAnsiTheme="minorBidi"/>
          <w:sz w:val="22"/>
          <w:szCs w:val="22"/>
        </w:rPr>
        <w:t>).</w:t>
      </w:r>
    </w:p>
    <w:p w:rsidRPr="00050094" w:rsidR="00A51233" w:rsidP="003502E9" w:rsidRDefault="00A51233" w14:paraId="311C49F8" w14:textId="77777777">
      <w:pPr>
        <w:pStyle w:val="Heading3"/>
        <w:spacing w:line="360" w:lineRule="auto"/>
        <w:jc w:val="both"/>
        <w:rPr>
          <w:rFonts w:asciiTheme="minorBidi" w:hAnsiTheme="minorBidi" w:cstheme="minorBidi"/>
          <w:i/>
          <w:iCs/>
          <w:color w:val="auto"/>
          <w:sz w:val="24"/>
          <w:szCs w:val="24"/>
        </w:rPr>
      </w:pPr>
      <w:bookmarkStart w:name="_Toc225378531" w:id="43"/>
      <w:r w:rsidRPr="00050094">
        <w:rPr>
          <w:rFonts w:asciiTheme="minorBidi" w:hAnsiTheme="minorBidi" w:cstheme="minorBidi"/>
          <w:i/>
          <w:iCs/>
          <w:color w:val="auto"/>
          <w:sz w:val="24"/>
          <w:szCs w:val="24"/>
        </w:rPr>
        <w:lastRenderedPageBreak/>
        <w:t>4.3.5 Engagement with Mental Health Services</w:t>
      </w:r>
      <w:bookmarkEnd w:id="43"/>
    </w:p>
    <w:p w:rsidRPr="00050094" w:rsidR="00A51233" w:rsidP="003502E9" w:rsidRDefault="00B05CED" w14:paraId="254E7EE5" w14:textId="23EA8EB3">
      <w:pPr>
        <w:spacing w:line="360" w:lineRule="auto"/>
        <w:jc w:val="both"/>
        <w:rPr>
          <w:rFonts w:asciiTheme="minorBidi" w:hAnsiTheme="minorBidi"/>
          <w:sz w:val="22"/>
          <w:szCs w:val="22"/>
        </w:rPr>
      </w:pPr>
      <w:r w:rsidRPr="00050094">
        <w:rPr>
          <w:rFonts w:asciiTheme="minorBidi" w:hAnsiTheme="minorBidi"/>
          <w:sz w:val="22"/>
          <w:szCs w:val="22"/>
        </w:rPr>
        <w:t>The other crucial factor of practical support is that it helps to promote access to mental health services. At times, family members would be helpful in scheduling appointments, taking people to the health facilities, and keeping them linked with support systems. This practice will raise the chances of continuing with treatment and boosting interaction between service users and medical personnel (Norton and Cuskelly, 2021). Consequently, practical support enhances the general care process and better recovery results (Zaidi, 2020</w:t>
      </w:r>
      <w:r w:rsidRPr="00050094" w:rsidR="00A51233">
        <w:rPr>
          <w:rFonts w:asciiTheme="minorBidi" w:hAnsiTheme="minorBidi"/>
          <w:sz w:val="22"/>
          <w:szCs w:val="22"/>
        </w:rPr>
        <w:t>).</w:t>
      </w:r>
    </w:p>
    <w:p w:rsidRPr="00050094" w:rsidR="00A51233" w:rsidP="003502E9" w:rsidRDefault="00A51233" w14:paraId="4F66DBD3" w14:textId="77777777">
      <w:pPr>
        <w:pStyle w:val="Heading3"/>
        <w:spacing w:line="360" w:lineRule="auto"/>
        <w:jc w:val="both"/>
        <w:rPr>
          <w:rFonts w:asciiTheme="minorBidi" w:hAnsiTheme="minorBidi" w:cstheme="minorBidi"/>
          <w:i/>
          <w:iCs/>
          <w:color w:val="auto"/>
          <w:sz w:val="24"/>
          <w:szCs w:val="24"/>
        </w:rPr>
      </w:pPr>
      <w:bookmarkStart w:name="_Toc225378532" w:id="44"/>
      <w:r w:rsidRPr="00050094">
        <w:rPr>
          <w:rFonts w:asciiTheme="minorBidi" w:hAnsiTheme="minorBidi" w:cstheme="minorBidi"/>
          <w:i/>
          <w:iCs/>
          <w:color w:val="auto"/>
          <w:sz w:val="24"/>
          <w:szCs w:val="24"/>
        </w:rPr>
        <w:t>4.3.6 Caregiver Burden and Challenges</w:t>
      </w:r>
      <w:bookmarkEnd w:id="44"/>
    </w:p>
    <w:p w:rsidRPr="00050094" w:rsidR="00A51233" w:rsidP="003502E9" w:rsidRDefault="00B05CED" w14:paraId="380C162E" w14:textId="6BE070A8">
      <w:pPr>
        <w:spacing w:line="360" w:lineRule="auto"/>
        <w:jc w:val="both"/>
        <w:rPr>
          <w:rFonts w:asciiTheme="minorBidi" w:hAnsiTheme="minorBidi"/>
          <w:sz w:val="22"/>
          <w:szCs w:val="22"/>
        </w:rPr>
      </w:pPr>
      <w:r w:rsidRPr="00050094">
        <w:rPr>
          <w:rFonts w:asciiTheme="minorBidi" w:hAnsiTheme="minorBidi"/>
          <w:sz w:val="22"/>
          <w:szCs w:val="22"/>
        </w:rPr>
        <w:t>Nevertheless, as much as the practical support has a lot of value, it may put a lot of responsibility on the family members and this may result in caregiver burden. These requirements of the constant support can lead to emotional distress, stress, and burnout, especially when families do not have the necessary resources or support systems (Norton and Cuskelly, 2021). This indicates the necessity to acknowledge the needs of caregivers and offer them the relevant support to make the recovery process sustainable (Zaidi, 2020</w:t>
      </w:r>
      <w:r w:rsidRPr="00050094" w:rsidR="00A51233">
        <w:rPr>
          <w:rFonts w:asciiTheme="minorBidi" w:hAnsiTheme="minorBidi"/>
          <w:sz w:val="22"/>
          <w:szCs w:val="22"/>
        </w:rPr>
        <w:t>).</w:t>
      </w:r>
    </w:p>
    <w:p w:rsidRPr="00050094" w:rsidR="00A51233" w:rsidP="003502E9" w:rsidRDefault="00A51233" w14:paraId="42BBA519" w14:textId="77777777">
      <w:pPr>
        <w:pStyle w:val="Heading3"/>
        <w:spacing w:line="360" w:lineRule="auto"/>
        <w:jc w:val="both"/>
        <w:rPr>
          <w:rFonts w:asciiTheme="minorBidi" w:hAnsiTheme="minorBidi" w:cstheme="minorBidi"/>
          <w:i/>
          <w:iCs/>
          <w:color w:val="auto"/>
          <w:sz w:val="24"/>
          <w:szCs w:val="24"/>
        </w:rPr>
      </w:pPr>
      <w:bookmarkStart w:name="_Toc225378533" w:id="45"/>
      <w:r w:rsidRPr="00050094">
        <w:rPr>
          <w:rFonts w:asciiTheme="minorBidi" w:hAnsiTheme="minorBidi" w:cstheme="minorBidi"/>
          <w:i/>
          <w:iCs/>
          <w:color w:val="auto"/>
          <w:sz w:val="24"/>
          <w:szCs w:val="24"/>
        </w:rPr>
        <w:t>4.3.7 Knowledge and Awareness of Families</w:t>
      </w:r>
      <w:bookmarkEnd w:id="45"/>
    </w:p>
    <w:p w:rsidRPr="00050094" w:rsidR="00A51233" w:rsidP="003502E9" w:rsidRDefault="00B05CED" w14:paraId="33B98760" w14:textId="3014835B">
      <w:pPr>
        <w:spacing w:line="360" w:lineRule="auto"/>
        <w:jc w:val="both"/>
        <w:rPr>
          <w:rFonts w:asciiTheme="minorBidi" w:hAnsiTheme="minorBidi"/>
          <w:sz w:val="22"/>
          <w:szCs w:val="22"/>
        </w:rPr>
      </w:pPr>
      <w:r w:rsidRPr="00050094">
        <w:rPr>
          <w:rFonts w:asciiTheme="minorBidi" w:hAnsiTheme="minorBidi"/>
          <w:sz w:val="22"/>
          <w:szCs w:val="22"/>
        </w:rPr>
        <w:t>Also, the degree of knowledge and awareness that family members possess concerning mental health conditions will determine the success of the practical support. Well-educated families regarding the treatment processes and recovery strategies can be more competent to offer the necessary help, and the absence of knowledge can restrict their effectiveness (Norton and Cuskelly, 2021). Thus, family education and training should become the key elements of the maximisation of the advantages of the practical support (Zaidi, 2020</w:t>
      </w:r>
      <w:r w:rsidRPr="00050094" w:rsidR="00A51233">
        <w:rPr>
          <w:rFonts w:asciiTheme="minorBidi" w:hAnsiTheme="minorBidi"/>
          <w:sz w:val="22"/>
          <w:szCs w:val="22"/>
        </w:rPr>
        <w:t>).</w:t>
      </w:r>
    </w:p>
    <w:p w:rsidRPr="00050094" w:rsidR="00A51233" w:rsidP="003502E9" w:rsidRDefault="00A51233" w14:paraId="6F8B38CD" w14:textId="77777777">
      <w:pPr>
        <w:pStyle w:val="Heading3"/>
        <w:spacing w:line="360" w:lineRule="auto"/>
        <w:jc w:val="both"/>
        <w:rPr>
          <w:rFonts w:asciiTheme="minorBidi" w:hAnsiTheme="minorBidi" w:cstheme="minorBidi"/>
          <w:i/>
          <w:iCs/>
          <w:color w:val="auto"/>
          <w:sz w:val="24"/>
          <w:szCs w:val="24"/>
        </w:rPr>
      </w:pPr>
      <w:bookmarkStart w:name="_Toc225378534" w:id="46"/>
      <w:r w:rsidRPr="00050094">
        <w:rPr>
          <w:rFonts w:asciiTheme="minorBidi" w:hAnsiTheme="minorBidi" w:cstheme="minorBidi"/>
          <w:i/>
          <w:iCs/>
          <w:color w:val="auto"/>
          <w:sz w:val="24"/>
          <w:szCs w:val="24"/>
        </w:rPr>
        <w:t>4.3.8 Overall Importance of Practical Support</w:t>
      </w:r>
      <w:bookmarkEnd w:id="46"/>
    </w:p>
    <w:p w:rsidRPr="00050094" w:rsidR="00A51233" w:rsidP="003502E9" w:rsidRDefault="00B05CED" w14:paraId="3B53CCEA" w14:textId="1F09C424">
      <w:pPr>
        <w:spacing w:line="360" w:lineRule="auto"/>
        <w:jc w:val="both"/>
        <w:rPr>
          <w:rFonts w:asciiTheme="minorBidi" w:hAnsiTheme="minorBidi"/>
          <w:sz w:val="22"/>
          <w:szCs w:val="22"/>
        </w:rPr>
      </w:pPr>
      <w:r w:rsidRPr="00050094">
        <w:rPr>
          <w:rFonts w:asciiTheme="minorBidi" w:hAnsiTheme="minorBidi"/>
          <w:sz w:val="22"/>
          <w:szCs w:val="22"/>
        </w:rPr>
        <w:t>All in all, practical support is an essential component of mental health recovery, which directly influences the adherence rates to treatment, relapse prevention, and everyday activities. The results indicate that family engagement in the practical parts of care improves recovery rates and contributes to the long-term stability, at the same time emphasizing that healthcare systems should offer sufficient support to the families in their care taker roles (Norton and Cuskelly, 2021; Zaidi, 2020</w:t>
      </w:r>
      <w:r w:rsidRPr="00050094" w:rsidR="00A51233">
        <w:rPr>
          <w:rFonts w:asciiTheme="minorBidi" w:hAnsiTheme="minorBidi"/>
          <w:sz w:val="22"/>
          <w:szCs w:val="22"/>
        </w:rPr>
        <w:t>).</w:t>
      </w:r>
    </w:p>
    <w:p w:rsidRPr="00050094" w:rsidR="00080D6F" w:rsidP="003502E9" w:rsidRDefault="00080D6F" w14:paraId="10FA73EB" w14:textId="727651E9">
      <w:pPr>
        <w:pStyle w:val="Heading2"/>
        <w:spacing w:line="360" w:lineRule="auto"/>
        <w:jc w:val="both"/>
        <w:rPr>
          <w:rFonts w:ascii="Arial" w:hAnsi="Arial" w:cs="Arial"/>
          <w:b/>
          <w:bCs/>
          <w:i/>
          <w:iCs/>
          <w:color w:val="auto"/>
          <w:sz w:val="28"/>
          <w:szCs w:val="28"/>
        </w:rPr>
      </w:pPr>
      <w:bookmarkStart w:name="_Toc225378535" w:id="47"/>
      <w:r w:rsidRPr="00050094">
        <w:rPr>
          <w:rFonts w:ascii="Arial" w:hAnsi="Arial" w:cs="Arial"/>
          <w:b/>
          <w:bCs/>
          <w:i/>
          <w:iCs/>
          <w:color w:val="auto"/>
          <w:sz w:val="28"/>
          <w:szCs w:val="28"/>
        </w:rPr>
        <w:lastRenderedPageBreak/>
        <w:t>4.4 Theme 3: Family Advocacy</w:t>
      </w:r>
      <w:bookmarkEnd w:id="47"/>
      <w:r w:rsidRPr="00050094">
        <w:rPr>
          <w:rFonts w:ascii="Arial" w:hAnsi="Arial" w:cs="Arial"/>
          <w:b/>
          <w:bCs/>
          <w:i/>
          <w:iCs/>
          <w:color w:val="auto"/>
          <w:sz w:val="28"/>
          <w:szCs w:val="28"/>
        </w:rPr>
        <w:t xml:space="preserve"> </w:t>
      </w:r>
    </w:p>
    <w:p w:rsidRPr="00050094" w:rsidR="00A51233" w:rsidP="003502E9" w:rsidRDefault="00A51233" w14:paraId="24F4E9EB" w14:textId="77777777">
      <w:pPr>
        <w:pStyle w:val="Heading3"/>
        <w:spacing w:line="360" w:lineRule="auto"/>
        <w:jc w:val="both"/>
        <w:rPr>
          <w:rFonts w:ascii="Arial" w:hAnsi="Arial" w:cs="Arial"/>
          <w:i/>
          <w:iCs/>
          <w:color w:val="auto"/>
          <w:sz w:val="24"/>
          <w:szCs w:val="24"/>
        </w:rPr>
      </w:pPr>
      <w:bookmarkStart w:name="_Toc225378536" w:id="48"/>
      <w:r w:rsidRPr="00050094">
        <w:rPr>
          <w:rFonts w:ascii="Arial" w:hAnsi="Arial" w:cs="Arial"/>
          <w:i/>
          <w:iCs/>
          <w:color w:val="auto"/>
          <w:sz w:val="24"/>
          <w:szCs w:val="24"/>
        </w:rPr>
        <w:t>4.4.1 Concept of Family Advocacy</w:t>
      </w:r>
      <w:bookmarkEnd w:id="48"/>
    </w:p>
    <w:p w:rsidRPr="00050094" w:rsidR="00A51233" w:rsidP="003502E9" w:rsidRDefault="00E64263" w14:paraId="62BEA4AD" w14:textId="7F146FD3">
      <w:pPr>
        <w:spacing w:line="360" w:lineRule="auto"/>
        <w:jc w:val="both"/>
        <w:rPr>
          <w:rFonts w:asciiTheme="minorBidi" w:hAnsiTheme="minorBidi"/>
          <w:sz w:val="22"/>
          <w:szCs w:val="22"/>
        </w:rPr>
      </w:pPr>
      <w:r w:rsidRPr="00050094">
        <w:rPr>
          <w:rFonts w:asciiTheme="minorBidi" w:hAnsiTheme="minorBidi"/>
          <w:sz w:val="22"/>
          <w:szCs w:val="22"/>
        </w:rPr>
        <w:t>The aspect of family advocacy is also an important component of mental health recovery, especially in a complex health care system like the National Health Service in the United Kingdom. Advocacy is the act of family members being proactive in regards to voicing the needs and preferences of the service users so that they can receive the right care and support during the recovery process (NHS England, 2024). It is a particularly essential role to those people who might have problems with expressing their needs because of the specifics of their mental conditions (NHS England, 2024</w:t>
      </w:r>
      <w:r w:rsidRPr="00050094" w:rsidR="00A51233">
        <w:rPr>
          <w:rFonts w:asciiTheme="minorBidi" w:hAnsiTheme="minorBidi"/>
          <w:sz w:val="22"/>
          <w:szCs w:val="22"/>
        </w:rPr>
        <w:t>).</w:t>
      </w:r>
    </w:p>
    <w:p w:rsidRPr="00050094" w:rsidR="00A51233" w:rsidP="003502E9" w:rsidRDefault="00A51233" w14:paraId="46C0658D" w14:textId="77777777">
      <w:pPr>
        <w:pStyle w:val="Heading3"/>
        <w:spacing w:line="360" w:lineRule="auto"/>
        <w:jc w:val="both"/>
        <w:rPr>
          <w:rFonts w:asciiTheme="minorBidi" w:hAnsiTheme="minorBidi" w:cstheme="minorBidi"/>
          <w:i/>
          <w:iCs/>
          <w:color w:val="auto"/>
          <w:sz w:val="24"/>
          <w:szCs w:val="24"/>
        </w:rPr>
      </w:pPr>
      <w:bookmarkStart w:name="_Toc225378537" w:id="49"/>
      <w:r w:rsidRPr="00050094">
        <w:rPr>
          <w:rFonts w:asciiTheme="minorBidi" w:hAnsiTheme="minorBidi" w:cstheme="minorBidi"/>
          <w:i/>
          <w:iCs/>
          <w:color w:val="auto"/>
          <w:sz w:val="24"/>
          <w:szCs w:val="24"/>
        </w:rPr>
        <w:t>4.4.2 Communication and Mediation Role</w:t>
      </w:r>
      <w:bookmarkEnd w:id="49"/>
    </w:p>
    <w:p w:rsidRPr="00050094" w:rsidR="00A51233" w:rsidP="003502E9" w:rsidRDefault="00E64263" w14:paraId="5E04B0DB" w14:textId="31578A85">
      <w:pPr>
        <w:spacing w:line="360" w:lineRule="auto"/>
        <w:jc w:val="both"/>
        <w:rPr>
          <w:rFonts w:asciiTheme="minorBidi" w:hAnsiTheme="minorBidi"/>
          <w:sz w:val="22"/>
          <w:szCs w:val="22"/>
        </w:rPr>
      </w:pPr>
      <w:r w:rsidRPr="00050094">
        <w:rPr>
          <w:rFonts w:asciiTheme="minorBidi" w:hAnsiTheme="minorBidi"/>
          <w:sz w:val="22"/>
          <w:szCs w:val="22"/>
        </w:rPr>
        <w:t>The family members tend to assume the role of intermediation between the service users and the healthcare professionals facilitating a process of information exchange and effective sharing of the relevant information. This participation has the potential to enhance the quality of the care provided to a patient by helping healthcare professionals gain a better insight into the history of the individual, their preferences, and individual needs (Henderson et al., 2021). Consequently, advocacy also leads to the increased individualised and efficient treatment planning as one of the main aspects of the recovery-oriented care (Henderson et al., 2021</w:t>
      </w:r>
      <w:r w:rsidRPr="00050094" w:rsidR="00A51233">
        <w:rPr>
          <w:rFonts w:asciiTheme="minorBidi" w:hAnsiTheme="minorBidi"/>
          <w:sz w:val="22"/>
          <w:szCs w:val="22"/>
        </w:rPr>
        <w:t>).</w:t>
      </w:r>
    </w:p>
    <w:p w:rsidRPr="00050094" w:rsidR="00A51233" w:rsidP="003502E9" w:rsidRDefault="00A51233" w14:paraId="7501AB34" w14:textId="77777777">
      <w:pPr>
        <w:pStyle w:val="Heading3"/>
        <w:spacing w:line="360" w:lineRule="auto"/>
        <w:jc w:val="both"/>
        <w:rPr>
          <w:rFonts w:asciiTheme="minorBidi" w:hAnsiTheme="minorBidi" w:cstheme="minorBidi"/>
          <w:i/>
          <w:iCs/>
          <w:color w:val="auto"/>
          <w:sz w:val="24"/>
          <w:szCs w:val="24"/>
        </w:rPr>
      </w:pPr>
      <w:bookmarkStart w:name="_Toc225378538" w:id="50"/>
      <w:r w:rsidRPr="00050094">
        <w:rPr>
          <w:rFonts w:asciiTheme="minorBidi" w:hAnsiTheme="minorBidi" w:cstheme="minorBidi"/>
          <w:i/>
          <w:iCs/>
          <w:color w:val="auto"/>
          <w:sz w:val="24"/>
          <w:szCs w:val="24"/>
        </w:rPr>
        <w:t>4.4.3 Navigating the NHS System</w:t>
      </w:r>
      <w:bookmarkEnd w:id="50"/>
    </w:p>
    <w:p w:rsidRPr="00050094" w:rsidR="00A51233" w:rsidP="003502E9" w:rsidRDefault="00A51233" w14:paraId="5C11EE70" w14:textId="77777777">
      <w:pPr>
        <w:spacing w:line="360" w:lineRule="auto"/>
        <w:jc w:val="both"/>
        <w:rPr>
          <w:rFonts w:asciiTheme="minorBidi" w:hAnsiTheme="minorBidi"/>
          <w:sz w:val="22"/>
          <w:szCs w:val="22"/>
        </w:rPr>
      </w:pPr>
      <w:r w:rsidRPr="00050094">
        <w:rPr>
          <w:rFonts w:asciiTheme="minorBidi" w:hAnsiTheme="minorBidi"/>
          <w:sz w:val="22"/>
          <w:szCs w:val="22"/>
        </w:rPr>
        <w:t>In addition, family advocacy plays a significant role in navigating the complexities of the NHS system, which can be challenging for service users to manage independently. Families often assist in coordinating appointments, accessing services, and understanding treatment options, thereby reducing barriers to care and improving access to necessary support (NHS England, 2024). This navigation support is particularly important during transitions between different stages of care, such as from inpatient to community-based services (Baxter et al., 2018).</w:t>
      </w:r>
    </w:p>
    <w:p w:rsidRPr="00050094" w:rsidR="00A51233" w:rsidP="003502E9" w:rsidRDefault="00A51233" w14:paraId="36F524F7" w14:textId="77777777">
      <w:pPr>
        <w:pStyle w:val="Heading3"/>
        <w:spacing w:line="360" w:lineRule="auto"/>
        <w:jc w:val="both"/>
        <w:rPr>
          <w:rFonts w:asciiTheme="minorBidi" w:hAnsiTheme="minorBidi" w:cstheme="minorBidi"/>
          <w:i/>
          <w:iCs/>
          <w:color w:val="auto"/>
          <w:sz w:val="24"/>
          <w:szCs w:val="24"/>
        </w:rPr>
      </w:pPr>
      <w:bookmarkStart w:name="_Toc225378539" w:id="51"/>
      <w:r w:rsidRPr="00050094">
        <w:rPr>
          <w:rFonts w:asciiTheme="minorBidi" w:hAnsiTheme="minorBidi" w:cstheme="minorBidi"/>
          <w:i/>
          <w:iCs/>
          <w:color w:val="auto"/>
          <w:sz w:val="24"/>
          <w:szCs w:val="24"/>
        </w:rPr>
        <w:t>4.4.4 Shared Decision-Making and Empowerment</w:t>
      </w:r>
      <w:bookmarkEnd w:id="51"/>
    </w:p>
    <w:p w:rsidRPr="00050094" w:rsidR="00A51233" w:rsidP="003502E9" w:rsidRDefault="00E64263" w14:paraId="7597EF3E" w14:textId="2D426D93">
      <w:pPr>
        <w:spacing w:line="360" w:lineRule="auto"/>
        <w:jc w:val="both"/>
        <w:rPr>
          <w:rFonts w:asciiTheme="minorBidi" w:hAnsiTheme="minorBidi"/>
          <w:sz w:val="22"/>
          <w:szCs w:val="22"/>
        </w:rPr>
      </w:pPr>
      <w:r w:rsidRPr="00050094">
        <w:rPr>
          <w:rFonts w:asciiTheme="minorBidi" w:hAnsiTheme="minorBidi"/>
          <w:sz w:val="22"/>
          <w:szCs w:val="22"/>
        </w:rPr>
        <w:t xml:space="preserve">Moreover, the participation of the family in care planning has also led to better shared decision-making, which is also one of the key components of recovery-oriented models. Through engagement in dialogue, families have an opportunity to provide valuable information that would guide treatment plans and ensure that the care plans are based on the needs and preferences of the individual (Henderson et al., 2021). This participative model encourages the feeling of </w:t>
      </w:r>
      <w:r w:rsidRPr="00050094">
        <w:rPr>
          <w:rFonts w:asciiTheme="minorBidi" w:hAnsiTheme="minorBidi"/>
          <w:sz w:val="22"/>
          <w:szCs w:val="22"/>
        </w:rPr>
        <w:lastRenderedPageBreak/>
        <w:t>empowering and owning the service users, which is the key to effective recovery (Baxter et al., 2018</w:t>
      </w:r>
      <w:r w:rsidRPr="00050094" w:rsidR="00A51233">
        <w:rPr>
          <w:rFonts w:asciiTheme="minorBidi" w:hAnsiTheme="minorBidi"/>
          <w:sz w:val="22"/>
          <w:szCs w:val="22"/>
        </w:rPr>
        <w:t>).</w:t>
      </w:r>
    </w:p>
    <w:p w:rsidRPr="00050094" w:rsidR="00A51233" w:rsidP="003502E9" w:rsidRDefault="00A51233" w14:paraId="60C223B8" w14:textId="77777777">
      <w:pPr>
        <w:pStyle w:val="Heading3"/>
        <w:spacing w:line="360" w:lineRule="auto"/>
        <w:jc w:val="both"/>
        <w:rPr>
          <w:rFonts w:asciiTheme="minorBidi" w:hAnsiTheme="minorBidi" w:cstheme="minorBidi"/>
          <w:i/>
          <w:iCs/>
          <w:color w:val="auto"/>
          <w:sz w:val="24"/>
          <w:szCs w:val="24"/>
        </w:rPr>
      </w:pPr>
      <w:bookmarkStart w:name="_Toc225378540" w:id="52"/>
      <w:r w:rsidRPr="00050094">
        <w:rPr>
          <w:rFonts w:asciiTheme="minorBidi" w:hAnsiTheme="minorBidi" w:cstheme="minorBidi"/>
          <w:i/>
          <w:iCs/>
          <w:color w:val="auto"/>
          <w:sz w:val="24"/>
          <w:szCs w:val="24"/>
        </w:rPr>
        <w:t>4.4.5 Continuity of Care</w:t>
      </w:r>
      <w:bookmarkEnd w:id="52"/>
    </w:p>
    <w:p w:rsidRPr="00050094" w:rsidR="00A51233" w:rsidP="003502E9" w:rsidRDefault="00E64263" w14:paraId="12E12FF9" w14:textId="6273CF92">
      <w:pPr>
        <w:spacing w:line="360" w:lineRule="auto"/>
        <w:jc w:val="both"/>
        <w:rPr>
          <w:rFonts w:asciiTheme="minorBidi" w:hAnsiTheme="minorBidi"/>
          <w:sz w:val="22"/>
          <w:szCs w:val="22"/>
        </w:rPr>
      </w:pPr>
      <w:r w:rsidRPr="00050094">
        <w:rPr>
          <w:rFonts w:asciiTheme="minorBidi" w:hAnsiTheme="minorBidi"/>
          <w:sz w:val="22"/>
          <w:szCs w:val="22"/>
        </w:rPr>
        <w:t>Family advocacy also promotes continuity of care, in the sense that the constant connexion between various service providers and the individuals to be kept active in the treatment services. This allows families to track progress and offer feedback and recommend the modifications required in the care process, thus increasing the overall effectiveness of the recovery process (NHS England, 2024). This continued engagement aids in the elimination of care gaps and minimising the chances of relapse or withdrawal of services (Baxter et al., 2018</w:t>
      </w:r>
      <w:r w:rsidRPr="00050094" w:rsidR="00A51233">
        <w:rPr>
          <w:rFonts w:asciiTheme="minorBidi" w:hAnsiTheme="minorBidi"/>
          <w:sz w:val="22"/>
          <w:szCs w:val="22"/>
        </w:rPr>
        <w:t>).</w:t>
      </w:r>
    </w:p>
    <w:p w:rsidRPr="00050094" w:rsidR="00A51233" w:rsidP="003502E9" w:rsidRDefault="00A51233" w14:paraId="63FA2D09" w14:textId="77777777">
      <w:pPr>
        <w:pStyle w:val="Heading3"/>
        <w:spacing w:line="360" w:lineRule="auto"/>
        <w:jc w:val="both"/>
        <w:rPr>
          <w:rFonts w:asciiTheme="minorBidi" w:hAnsiTheme="minorBidi" w:cstheme="minorBidi"/>
          <w:i/>
          <w:iCs/>
          <w:color w:val="auto"/>
          <w:sz w:val="24"/>
          <w:szCs w:val="24"/>
        </w:rPr>
      </w:pPr>
      <w:bookmarkStart w:name="_Toc225378541" w:id="53"/>
      <w:r w:rsidRPr="00050094">
        <w:rPr>
          <w:rFonts w:asciiTheme="minorBidi" w:hAnsiTheme="minorBidi" w:cstheme="minorBidi"/>
          <w:i/>
          <w:iCs/>
          <w:color w:val="auto"/>
          <w:sz w:val="24"/>
          <w:szCs w:val="24"/>
        </w:rPr>
        <w:t>4.4.6 Barriers to Effective Advocacy</w:t>
      </w:r>
      <w:bookmarkEnd w:id="53"/>
    </w:p>
    <w:p w:rsidRPr="00050094" w:rsidR="00A51233" w:rsidP="003502E9" w:rsidRDefault="00E64263" w14:paraId="0F9E9A59" w14:textId="640E7F3F">
      <w:pPr>
        <w:spacing w:line="360" w:lineRule="auto"/>
        <w:jc w:val="both"/>
        <w:rPr>
          <w:rFonts w:asciiTheme="minorBidi" w:hAnsiTheme="minorBidi"/>
          <w:sz w:val="22"/>
          <w:szCs w:val="22"/>
        </w:rPr>
      </w:pPr>
      <w:r w:rsidRPr="00050094">
        <w:rPr>
          <w:rFonts w:asciiTheme="minorBidi" w:hAnsiTheme="minorBidi"/>
          <w:sz w:val="22"/>
          <w:szCs w:val="22"/>
        </w:rPr>
        <w:t>Nevertheless, the success of family advocacy depends on how the healthcare systems identify and offer support to the role of families. Families, in most instances, might have difficulties in accessing information and contributing in decision-making processes because of the confidentiality policies and lack of access to opportunities (Henderson et al., 2021). Such obstacles might limit the possible role of advocacy and the role of families in the recovery procedures (NHS England, 2024</w:t>
      </w:r>
      <w:r w:rsidRPr="00050094" w:rsidR="00A51233">
        <w:rPr>
          <w:rFonts w:asciiTheme="minorBidi" w:hAnsiTheme="minorBidi"/>
          <w:sz w:val="22"/>
          <w:szCs w:val="22"/>
        </w:rPr>
        <w:t>).</w:t>
      </w:r>
    </w:p>
    <w:p w:rsidRPr="00050094" w:rsidR="00A51233" w:rsidP="003502E9" w:rsidRDefault="00A51233" w14:paraId="52940745" w14:textId="77777777">
      <w:pPr>
        <w:pStyle w:val="Heading3"/>
        <w:spacing w:line="360" w:lineRule="auto"/>
        <w:jc w:val="both"/>
        <w:rPr>
          <w:rFonts w:asciiTheme="minorBidi" w:hAnsiTheme="minorBidi" w:cstheme="minorBidi"/>
          <w:i/>
          <w:iCs/>
          <w:color w:val="auto"/>
          <w:sz w:val="24"/>
          <w:szCs w:val="24"/>
        </w:rPr>
      </w:pPr>
      <w:bookmarkStart w:name="_Toc225378542" w:id="54"/>
      <w:r w:rsidRPr="00050094">
        <w:rPr>
          <w:rFonts w:asciiTheme="minorBidi" w:hAnsiTheme="minorBidi" w:cstheme="minorBidi"/>
          <w:i/>
          <w:iCs/>
          <w:color w:val="auto"/>
          <w:sz w:val="24"/>
          <w:szCs w:val="24"/>
        </w:rPr>
        <w:t>4.4.7 Inequalities in Advocacy Capacity</w:t>
      </w:r>
      <w:bookmarkEnd w:id="54"/>
    </w:p>
    <w:p w:rsidRPr="00050094" w:rsidR="00A51233" w:rsidP="003502E9" w:rsidRDefault="00E64263" w14:paraId="13E7D216" w14:textId="29BCB1AD">
      <w:pPr>
        <w:spacing w:line="360" w:lineRule="auto"/>
        <w:jc w:val="both"/>
        <w:rPr>
          <w:rFonts w:asciiTheme="minorBidi" w:hAnsiTheme="minorBidi"/>
          <w:sz w:val="22"/>
          <w:szCs w:val="22"/>
        </w:rPr>
      </w:pPr>
      <w:r w:rsidRPr="00050094">
        <w:rPr>
          <w:rFonts w:asciiTheme="minorBidi" w:hAnsiTheme="minorBidi"/>
          <w:sz w:val="22"/>
          <w:szCs w:val="22"/>
        </w:rPr>
        <w:t>Furthermore, not every family possesses the knowledge or resources necessary to effectively represent service users and this can result in differences in care. More aware and confident families are more likely to become more active in advocacy, and others might have difficulties navigating the system and effectively communicating with the professionals (Baxter et al., 2018). This indicates that the specific support and training are required to empower the families in their advocacy efforts (Henderson et al., 2021</w:t>
      </w:r>
      <w:r w:rsidRPr="00050094" w:rsidR="00A51233">
        <w:rPr>
          <w:rFonts w:asciiTheme="minorBidi" w:hAnsiTheme="minorBidi"/>
          <w:sz w:val="22"/>
          <w:szCs w:val="22"/>
        </w:rPr>
        <w:t>).</w:t>
      </w:r>
    </w:p>
    <w:p w:rsidRPr="00050094" w:rsidR="00A51233" w:rsidP="003502E9" w:rsidRDefault="00A51233" w14:paraId="3F735EAC" w14:textId="77777777">
      <w:pPr>
        <w:pStyle w:val="Heading3"/>
        <w:spacing w:line="360" w:lineRule="auto"/>
        <w:jc w:val="both"/>
        <w:rPr>
          <w:rFonts w:asciiTheme="minorBidi" w:hAnsiTheme="minorBidi" w:cstheme="minorBidi"/>
          <w:i/>
          <w:iCs/>
          <w:color w:val="auto"/>
          <w:sz w:val="24"/>
          <w:szCs w:val="24"/>
        </w:rPr>
      </w:pPr>
      <w:bookmarkStart w:name="_Toc225378543" w:id="55"/>
      <w:r w:rsidRPr="00050094">
        <w:rPr>
          <w:rFonts w:asciiTheme="minorBidi" w:hAnsiTheme="minorBidi" w:cstheme="minorBidi"/>
          <w:i/>
          <w:iCs/>
          <w:color w:val="auto"/>
          <w:sz w:val="24"/>
          <w:szCs w:val="24"/>
        </w:rPr>
        <w:t>4.4.8 Overall Importance of Family Advocacy</w:t>
      </w:r>
      <w:bookmarkEnd w:id="55"/>
    </w:p>
    <w:p w:rsidRPr="00050094" w:rsidR="00FF3442" w:rsidP="003502E9" w:rsidRDefault="00E64263" w14:paraId="7A47D8EC" w14:textId="010F32C9">
      <w:pPr>
        <w:spacing w:line="360" w:lineRule="auto"/>
        <w:jc w:val="both"/>
        <w:rPr>
          <w:rFonts w:asciiTheme="minorBidi" w:hAnsiTheme="minorBidi"/>
          <w:sz w:val="22"/>
          <w:szCs w:val="22"/>
        </w:rPr>
      </w:pPr>
      <w:r w:rsidRPr="00050094">
        <w:rPr>
          <w:rFonts w:asciiTheme="minorBidi" w:hAnsiTheme="minorBidi"/>
          <w:sz w:val="22"/>
          <w:szCs w:val="22"/>
        </w:rPr>
        <w:t>Family advocacy, in general, is an essential part of mental health recovery, leading to the increased access to services, better communication, and personalised care. The results imply that family advocacy in mental health systems may be enhanced to achieve more effective and inclusive care and also highlight that healthcare organisations should play an active role in facilitating and supporting family involvement (NHS England, 2024; Baxter et al., 2018</w:t>
      </w:r>
      <w:r w:rsidRPr="00050094" w:rsidR="00A51233">
        <w:rPr>
          <w:rFonts w:asciiTheme="minorBidi" w:hAnsiTheme="minorBidi"/>
          <w:sz w:val="22"/>
          <w:szCs w:val="22"/>
        </w:rPr>
        <w:t>).</w:t>
      </w:r>
    </w:p>
    <w:p w:rsidRPr="00050094" w:rsidR="00080D6F" w:rsidP="003502E9" w:rsidRDefault="00080D6F" w14:paraId="131806EB" w14:textId="2CD5034F">
      <w:pPr>
        <w:pStyle w:val="Heading2"/>
        <w:spacing w:line="360" w:lineRule="auto"/>
        <w:jc w:val="both"/>
        <w:rPr>
          <w:rFonts w:ascii="Arial" w:hAnsi="Arial" w:cs="Arial"/>
          <w:b/>
          <w:bCs/>
          <w:i/>
          <w:iCs/>
          <w:color w:val="auto"/>
          <w:sz w:val="28"/>
          <w:szCs w:val="28"/>
        </w:rPr>
      </w:pPr>
      <w:bookmarkStart w:name="_Toc225378544" w:id="56"/>
      <w:r w:rsidRPr="00050094">
        <w:rPr>
          <w:rFonts w:ascii="Arial" w:hAnsi="Arial" w:cs="Arial"/>
          <w:b/>
          <w:bCs/>
          <w:i/>
          <w:iCs/>
          <w:color w:val="auto"/>
          <w:sz w:val="28"/>
          <w:szCs w:val="28"/>
        </w:rPr>
        <w:lastRenderedPageBreak/>
        <w:t>4.5 Theme 4: Barriers to Family Involvement</w:t>
      </w:r>
      <w:bookmarkEnd w:id="56"/>
      <w:r w:rsidRPr="00050094">
        <w:rPr>
          <w:rFonts w:ascii="Arial" w:hAnsi="Arial" w:cs="Arial"/>
          <w:b/>
          <w:bCs/>
          <w:i/>
          <w:iCs/>
          <w:color w:val="auto"/>
          <w:sz w:val="28"/>
          <w:szCs w:val="28"/>
        </w:rPr>
        <w:t xml:space="preserve"> </w:t>
      </w:r>
    </w:p>
    <w:p w:rsidRPr="00050094" w:rsidR="006460AC" w:rsidP="003502E9" w:rsidRDefault="006460AC" w14:paraId="369BF9BF" w14:textId="77777777">
      <w:pPr>
        <w:pStyle w:val="Heading3"/>
        <w:spacing w:line="360" w:lineRule="auto"/>
        <w:jc w:val="both"/>
        <w:rPr>
          <w:rFonts w:ascii="Arial" w:hAnsi="Arial" w:cs="Arial"/>
          <w:i/>
          <w:iCs/>
          <w:color w:val="auto"/>
          <w:sz w:val="24"/>
          <w:szCs w:val="24"/>
        </w:rPr>
      </w:pPr>
      <w:bookmarkStart w:name="_Toc225378545" w:id="57"/>
      <w:r w:rsidRPr="00050094">
        <w:rPr>
          <w:rFonts w:ascii="Arial" w:hAnsi="Arial" w:cs="Arial"/>
          <w:i/>
          <w:iCs/>
          <w:color w:val="auto"/>
          <w:sz w:val="24"/>
          <w:szCs w:val="24"/>
        </w:rPr>
        <w:t>4.5.1 Stigma and Social Barriers</w:t>
      </w:r>
      <w:bookmarkEnd w:id="57"/>
    </w:p>
    <w:p w:rsidRPr="00050094" w:rsidR="006460AC" w:rsidP="003502E9" w:rsidRDefault="00053EB8" w14:paraId="18C8D56D" w14:textId="4F3BCC7D">
      <w:pPr>
        <w:spacing w:line="360" w:lineRule="auto"/>
        <w:jc w:val="both"/>
        <w:rPr>
          <w:rFonts w:ascii="Arial" w:hAnsi="Arial" w:cs="Arial"/>
          <w:sz w:val="22"/>
          <w:szCs w:val="22"/>
        </w:rPr>
      </w:pPr>
      <w:r w:rsidRPr="00050094">
        <w:rPr>
          <w:rFonts w:ascii="Arial" w:hAnsi="Arial" w:cs="Arial"/>
          <w:sz w:val="22"/>
          <w:szCs w:val="22"/>
        </w:rPr>
        <w:t>Stigma is one of the greatest impediments of effective family involvement despite the identified role of family support in mental health recovery. Mental illness stigma may also create discrimination, social exclusion, and unwillingness to seek assistance, which restrict open dialogue between service users, families, and healthcare professionals (Wilson and McGuire, 2021). This does not only impact on individuals with mental health conditions but also spreads to their families as they may suffer secondary stigmas and judgement (Yin et al., 2020). Subsequently, stigma leads to decreased motivation and trust in families that want to actively contribute to recovery</w:t>
      </w:r>
      <w:r w:rsidRPr="00050094" w:rsidR="006460AC">
        <w:rPr>
          <w:rFonts w:ascii="Arial" w:hAnsi="Arial" w:cs="Arial"/>
          <w:sz w:val="22"/>
          <w:szCs w:val="22"/>
        </w:rPr>
        <w:t>.</w:t>
      </w:r>
    </w:p>
    <w:p w:rsidRPr="00050094" w:rsidR="006460AC" w:rsidP="003502E9" w:rsidRDefault="006460AC" w14:paraId="6BB0838C" w14:textId="77777777">
      <w:pPr>
        <w:pStyle w:val="Heading3"/>
        <w:spacing w:line="360" w:lineRule="auto"/>
        <w:jc w:val="both"/>
        <w:rPr>
          <w:rFonts w:ascii="Arial" w:hAnsi="Arial" w:cs="Arial"/>
          <w:i/>
          <w:iCs/>
          <w:color w:val="auto"/>
          <w:sz w:val="24"/>
          <w:szCs w:val="24"/>
        </w:rPr>
      </w:pPr>
      <w:bookmarkStart w:name="_Toc225378546" w:id="58"/>
      <w:r w:rsidRPr="00050094">
        <w:rPr>
          <w:rFonts w:ascii="Arial" w:hAnsi="Arial" w:cs="Arial"/>
          <w:i/>
          <w:iCs/>
          <w:color w:val="auto"/>
          <w:sz w:val="24"/>
          <w:szCs w:val="24"/>
        </w:rPr>
        <w:t>4.5.2 Impact of Stigma on Family Engagement</w:t>
      </w:r>
      <w:bookmarkEnd w:id="58"/>
    </w:p>
    <w:p w:rsidRPr="00050094" w:rsidR="006460AC" w:rsidP="003502E9" w:rsidRDefault="00053EB8" w14:paraId="6DB3809A" w14:textId="765B6186">
      <w:pPr>
        <w:spacing w:line="360" w:lineRule="auto"/>
        <w:jc w:val="both"/>
        <w:rPr>
          <w:rFonts w:ascii="Arial" w:hAnsi="Arial" w:cs="Arial"/>
          <w:sz w:val="22"/>
          <w:szCs w:val="22"/>
        </w:rPr>
      </w:pPr>
      <w:r w:rsidRPr="00050094">
        <w:rPr>
          <w:rFonts w:ascii="Arial" w:hAnsi="Arial" w:cs="Arial"/>
          <w:sz w:val="22"/>
          <w:szCs w:val="22"/>
        </w:rPr>
        <w:t>Stigmatisation may lead to a situation where the families engage in care processes reluctantly because they are afraid of being negatively perceived or they lack confidence in conducting business with the healthcare professionals. There are instances where stigma also creates complications in understanding mental health problems among families which restrict their capacity to offer relevant support (Yin et al., 2020). These social and cultural constraints, therefore, result in the fact that the advantages of family involvement in recovery are not fully realised (Wilson and McGuire, 2021</w:t>
      </w:r>
      <w:r w:rsidRPr="00050094" w:rsidR="006460AC">
        <w:rPr>
          <w:rFonts w:ascii="Arial" w:hAnsi="Arial" w:cs="Arial"/>
          <w:sz w:val="22"/>
          <w:szCs w:val="22"/>
        </w:rPr>
        <w:t>).</w:t>
      </w:r>
    </w:p>
    <w:p w:rsidRPr="00050094" w:rsidR="006460AC" w:rsidP="003502E9" w:rsidRDefault="006460AC" w14:paraId="1A597FC5" w14:textId="77777777">
      <w:pPr>
        <w:pStyle w:val="Heading3"/>
        <w:spacing w:line="360" w:lineRule="auto"/>
        <w:jc w:val="both"/>
        <w:rPr>
          <w:rFonts w:ascii="Arial" w:hAnsi="Arial" w:cs="Arial"/>
          <w:i/>
          <w:iCs/>
          <w:color w:val="auto"/>
          <w:sz w:val="24"/>
          <w:szCs w:val="24"/>
        </w:rPr>
      </w:pPr>
      <w:bookmarkStart w:name="_Toc225378547" w:id="59"/>
      <w:r w:rsidRPr="00050094">
        <w:rPr>
          <w:rFonts w:ascii="Arial" w:hAnsi="Arial" w:cs="Arial"/>
          <w:i/>
          <w:iCs/>
          <w:color w:val="auto"/>
          <w:sz w:val="24"/>
          <w:szCs w:val="24"/>
        </w:rPr>
        <w:t>4.5.3 Systemic and Communication Barriers</w:t>
      </w:r>
      <w:bookmarkEnd w:id="59"/>
    </w:p>
    <w:p w:rsidRPr="00050094" w:rsidR="006460AC" w:rsidP="003502E9" w:rsidRDefault="00053EB8" w14:paraId="76876ABA" w14:textId="7DEBAF68">
      <w:pPr>
        <w:spacing w:line="360" w:lineRule="auto"/>
        <w:jc w:val="both"/>
        <w:rPr>
          <w:rFonts w:ascii="Arial" w:hAnsi="Arial" w:cs="Arial"/>
          <w:sz w:val="22"/>
          <w:szCs w:val="22"/>
        </w:rPr>
      </w:pPr>
      <w:r w:rsidRPr="00050094">
        <w:rPr>
          <w:rFonts w:ascii="Arial" w:hAnsi="Arial" w:cs="Arial"/>
          <w:sz w:val="22"/>
          <w:szCs w:val="22"/>
        </w:rPr>
        <w:t>Along with stigma, systemic barriers in the healthcare systems are also a significant limitation to family involvement. Among the major problems, there is the inability of effective communication between healthcare professionals and family members. Even though patient privacy requires confidentiality policies, they can other times deny families access to valuable information that is necessary to facilitate the recovery (Wakida et al., 2018). That generates a lack of interaction between service providers and families and minimises the possibilities of interdisciplinary care (Carbonell et al., 2020</w:t>
      </w:r>
      <w:r w:rsidRPr="00050094" w:rsidR="006460AC">
        <w:rPr>
          <w:rFonts w:ascii="Arial" w:hAnsi="Arial" w:cs="Arial"/>
          <w:sz w:val="22"/>
          <w:szCs w:val="22"/>
        </w:rPr>
        <w:t>).</w:t>
      </w:r>
    </w:p>
    <w:p w:rsidRPr="00050094" w:rsidR="006460AC" w:rsidP="003502E9" w:rsidRDefault="006460AC" w14:paraId="44164A52" w14:textId="77777777">
      <w:pPr>
        <w:pStyle w:val="Heading3"/>
        <w:spacing w:line="360" w:lineRule="auto"/>
        <w:jc w:val="both"/>
        <w:rPr>
          <w:rFonts w:ascii="Arial" w:hAnsi="Arial" w:cs="Arial"/>
          <w:i/>
          <w:iCs/>
          <w:color w:val="auto"/>
          <w:sz w:val="24"/>
          <w:szCs w:val="24"/>
        </w:rPr>
      </w:pPr>
      <w:bookmarkStart w:name="_Toc225378548" w:id="60"/>
      <w:r w:rsidRPr="00050094">
        <w:rPr>
          <w:rFonts w:ascii="Arial" w:hAnsi="Arial" w:cs="Arial"/>
          <w:i/>
          <w:iCs/>
          <w:color w:val="auto"/>
          <w:sz w:val="24"/>
          <w:szCs w:val="24"/>
        </w:rPr>
        <w:t>4.5.4 Lack of Family Inclusion in Care Planning</w:t>
      </w:r>
      <w:bookmarkEnd w:id="60"/>
    </w:p>
    <w:p w:rsidRPr="00050094" w:rsidR="006460AC" w:rsidP="003502E9" w:rsidRDefault="00053EB8" w14:paraId="262E033B" w14:textId="72E1CC88">
      <w:pPr>
        <w:spacing w:line="360" w:lineRule="auto"/>
        <w:jc w:val="both"/>
        <w:rPr>
          <w:rFonts w:ascii="Arial" w:hAnsi="Arial" w:cs="Arial"/>
          <w:sz w:val="22"/>
          <w:szCs w:val="22"/>
        </w:rPr>
      </w:pPr>
      <w:r w:rsidRPr="00050094">
        <w:rPr>
          <w:rFonts w:ascii="Arial" w:hAnsi="Arial" w:cs="Arial"/>
          <w:sz w:val="22"/>
          <w:szCs w:val="22"/>
        </w:rPr>
        <w:t xml:space="preserve">Moreover, the healthcare systems in many instances are not well organised to engage the family in the care planning and decision making. Families are often left out of the discussion, yet they are the key participants in offering consistent support to the service users (Carbonell et al., 2020). </w:t>
      </w:r>
      <w:r w:rsidRPr="00050094">
        <w:rPr>
          <w:rFonts w:ascii="Arial" w:hAnsi="Arial" w:cs="Arial"/>
          <w:sz w:val="22"/>
          <w:szCs w:val="22"/>
        </w:rPr>
        <w:lastRenderedPageBreak/>
        <w:t>Such exclusion undermines recovery-based solutions, which focus on shared decision-making and stakeholder cooperation (Wakida et al., 2018</w:t>
      </w:r>
      <w:r w:rsidRPr="00050094" w:rsidR="006460AC">
        <w:rPr>
          <w:rFonts w:ascii="Arial" w:hAnsi="Arial" w:cs="Arial"/>
          <w:sz w:val="22"/>
          <w:szCs w:val="22"/>
        </w:rPr>
        <w:t>).</w:t>
      </w:r>
    </w:p>
    <w:p w:rsidRPr="00050094" w:rsidR="006460AC" w:rsidP="003502E9" w:rsidRDefault="006460AC" w14:paraId="4E3EC74C" w14:textId="77777777">
      <w:pPr>
        <w:pStyle w:val="Heading3"/>
        <w:spacing w:line="360" w:lineRule="auto"/>
        <w:jc w:val="both"/>
        <w:rPr>
          <w:rFonts w:ascii="Arial" w:hAnsi="Arial" w:cs="Arial"/>
          <w:i/>
          <w:iCs/>
          <w:color w:val="auto"/>
          <w:sz w:val="24"/>
          <w:szCs w:val="24"/>
        </w:rPr>
      </w:pPr>
      <w:bookmarkStart w:name="_Toc225378549" w:id="61"/>
      <w:r w:rsidRPr="00050094">
        <w:rPr>
          <w:rFonts w:ascii="Arial" w:hAnsi="Arial" w:cs="Arial"/>
          <w:i/>
          <w:iCs/>
          <w:color w:val="auto"/>
          <w:sz w:val="24"/>
          <w:szCs w:val="24"/>
        </w:rPr>
        <w:t>4.5.5 Organisational and Resource Constraints</w:t>
      </w:r>
      <w:bookmarkEnd w:id="61"/>
    </w:p>
    <w:p w:rsidRPr="00050094" w:rsidR="006460AC" w:rsidP="003502E9" w:rsidRDefault="00053EB8" w14:paraId="597098C8" w14:textId="4F2D7E9D">
      <w:pPr>
        <w:spacing w:line="360" w:lineRule="auto"/>
        <w:jc w:val="both"/>
        <w:rPr>
          <w:rFonts w:ascii="Arial" w:hAnsi="Arial" w:cs="Arial"/>
          <w:sz w:val="22"/>
          <w:szCs w:val="22"/>
        </w:rPr>
      </w:pPr>
      <w:r w:rsidRPr="00050094">
        <w:rPr>
          <w:rFonts w:ascii="Arial" w:hAnsi="Arial" w:cs="Arial"/>
          <w:sz w:val="22"/>
          <w:szCs w:val="22"/>
        </w:rPr>
        <w:t>There are also other organisational constraints that lead to lack of family participation. The limited resources, understaffing, and time limits in mental health services decrease the chances of healthcare professionals to interact with the families in a meaningful way. Consequently, family engagement tends to be low in the clinical priorities, which results in insignificant interaction and guidance to the caregivers (Wakida et al., 2018). This indicates the necessity of systemic changes that should incorporate the concept of family involvement as an inseparable part of care (Carbonell et al., 2020</w:t>
      </w:r>
      <w:r w:rsidRPr="00050094" w:rsidR="006460AC">
        <w:rPr>
          <w:rFonts w:ascii="Arial" w:hAnsi="Arial" w:cs="Arial"/>
          <w:sz w:val="22"/>
          <w:szCs w:val="22"/>
        </w:rPr>
        <w:t>).</w:t>
      </w:r>
    </w:p>
    <w:p w:rsidRPr="00050094" w:rsidR="006460AC" w:rsidP="003502E9" w:rsidRDefault="006460AC" w14:paraId="4FA21941" w14:textId="70D270B3">
      <w:pPr>
        <w:pStyle w:val="Heading3"/>
        <w:spacing w:line="360" w:lineRule="auto"/>
        <w:jc w:val="both"/>
        <w:rPr>
          <w:rFonts w:ascii="Arial" w:hAnsi="Arial" w:cs="Arial"/>
          <w:i/>
          <w:iCs/>
          <w:color w:val="auto"/>
          <w:sz w:val="24"/>
          <w:szCs w:val="24"/>
        </w:rPr>
      </w:pPr>
      <w:bookmarkStart w:name="_Toc225378550" w:id="62"/>
      <w:r w:rsidRPr="00050094">
        <w:rPr>
          <w:rFonts w:ascii="Arial" w:hAnsi="Arial" w:cs="Arial"/>
          <w:i/>
          <w:iCs/>
          <w:color w:val="auto"/>
          <w:sz w:val="24"/>
          <w:szCs w:val="24"/>
        </w:rPr>
        <w:t>4.5.6 Policy Practice Gap</w:t>
      </w:r>
      <w:bookmarkEnd w:id="62"/>
    </w:p>
    <w:p w:rsidRPr="00050094" w:rsidR="006460AC" w:rsidP="003502E9" w:rsidRDefault="00053EB8" w14:paraId="18AFC256" w14:textId="503D4BFB">
      <w:pPr>
        <w:spacing w:line="360" w:lineRule="auto"/>
        <w:jc w:val="both"/>
        <w:rPr>
          <w:rFonts w:ascii="Arial" w:hAnsi="Arial" w:cs="Arial"/>
          <w:sz w:val="22"/>
          <w:szCs w:val="22"/>
        </w:rPr>
      </w:pPr>
      <w:r w:rsidRPr="00050094">
        <w:rPr>
          <w:rFonts w:ascii="Arial" w:hAnsi="Arial" w:cs="Arial"/>
          <w:sz w:val="22"/>
          <w:szCs w:val="22"/>
        </w:rPr>
        <w:t>The other large obstacle is policy-practise gap. In spite of the fact that the UK policies including the Supporting Families programme encourage family-inclusive and collaborative care practises, not all services are under the implementation of the policies (</w:t>
      </w:r>
      <w:r w:rsidRPr="00050094" w:rsidR="009D1B8A">
        <w:rPr>
          <w:rFonts w:asciiTheme="minorBidi" w:hAnsiTheme="minorBidi"/>
        </w:rPr>
        <w:t>Waid and Kelly,</w:t>
      </w:r>
      <w:r w:rsidRPr="00050094" w:rsidR="009D1B8A">
        <w:rPr>
          <w:rFonts w:asciiTheme="minorBidi" w:hAnsiTheme="minorBidi"/>
        </w:rPr>
        <w:t xml:space="preserve"> </w:t>
      </w:r>
      <w:r w:rsidRPr="00050094" w:rsidR="009D1B8A">
        <w:rPr>
          <w:rFonts w:asciiTheme="minorBidi" w:hAnsiTheme="minorBidi"/>
        </w:rPr>
        <w:t>2020</w:t>
      </w:r>
      <w:r w:rsidRPr="00050094">
        <w:rPr>
          <w:rFonts w:ascii="Arial" w:hAnsi="Arial" w:cs="Arial"/>
          <w:sz w:val="22"/>
          <w:szCs w:val="22"/>
        </w:rPr>
        <w:t>). This discrepancy causes a difference in family involvement, with certain services being actively involved in family involvement and others providing fewer chances to participate (Carbonell et al., 2020</w:t>
      </w:r>
      <w:r w:rsidRPr="00050094" w:rsidR="006460AC">
        <w:rPr>
          <w:rFonts w:ascii="Arial" w:hAnsi="Arial" w:cs="Arial"/>
          <w:sz w:val="22"/>
          <w:szCs w:val="22"/>
        </w:rPr>
        <w:t>).</w:t>
      </w:r>
    </w:p>
    <w:p w:rsidRPr="00050094" w:rsidR="006460AC" w:rsidP="003502E9" w:rsidRDefault="006460AC" w14:paraId="29BF0A0D" w14:textId="77777777">
      <w:pPr>
        <w:pStyle w:val="Heading3"/>
        <w:spacing w:line="360" w:lineRule="auto"/>
        <w:jc w:val="both"/>
        <w:rPr>
          <w:rFonts w:ascii="Arial" w:hAnsi="Arial" w:cs="Arial"/>
          <w:i/>
          <w:iCs/>
          <w:color w:val="auto"/>
          <w:sz w:val="24"/>
          <w:szCs w:val="24"/>
        </w:rPr>
      </w:pPr>
      <w:bookmarkStart w:name="_Toc225378551" w:id="63"/>
      <w:r w:rsidRPr="00050094">
        <w:rPr>
          <w:rFonts w:ascii="Arial" w:hAnsi="Arial" w:cs="Arial"/>
          <w:i/>
          <w:iCs/>
          <w:color w:val="auto"/>
          <w:sz w:val="24"/>
          <w:szCs w:val="24"/>
        </w:rPr>
        <w:t>4.5.7 Family Dynamics and Caregiver Burden</w:t>
      </w:r>
      <w:bookmarkEnd w:id="63"/>
    </w:p>
    <w:p w:rsidRPr="00050094" w:rsidR="006460AC" w:rsidP="003502E9" w:rsidRDefault="00053EB8" w14:paraId="20F16007" w14:textId="583EDBCA">
      <w:pPr>
        <w:spacing w:line="360" w:lineRule="auto"/>
        <w:jc w:val="both"/>
        <w:rPr>
          <w:rFonts w:ascii="Arial" w:hAnsi="Arial" w:cs="Arial"/>
          <w:sz w:val="22"/>
          <w:szCs w:val="22"/>
        </w:rPr>
      </w:pPr>
      <w:r w:rsidRPr="00050094">
        <w:rPr>
          <w:rFonts w:ascii="Arial" w:hAnsi="Arial" w:cs="Arial"/>
          <w:sz w:val="22"/>
          <w:szCs w:val="22"/>
        </w:rPr>
        <w:t>In addition to this, family dynamics which occur internally might also be a barrier to effective involvement. Not every relationship within the family is helping, and the problem of conflict, the inability to understand, and emotional tension can decrease the efficiency of family assistance (Yin et al., 2020). The continued needs of individuals with mental illnesses may also put a strain on families, cause stress, and burnout (Wilson and McGuire, 2021). These are some of the factors that may restrict their participation possibilities in recovery processes</w:t>
      </w:r>
      <w:r w:rsidRPr="00050094" w:rsidR="006460AC">
        <w:rPr>
          <w:rFonts w:ascii="Arial" w:hAnsi="Arial" w:cs="Arial"/>
          <w:sz w:val="22"/>
          <w:szCs w:val="22"/>
        </w:rPr>
        <w:t>.</w:t>
      </w:r>
    </w:p>
    <w:p w:rsidRPr="00050094" w:rsidR="006460AC" w:rsidP="003502E9" w:rsidRDefault="006460AC" w14:paraId="66FDB512" w14:textId="77777777">
      <w:pPr>
        <w:pStyle w:val="Heading3"/>
        <w:spacing w:line="360" w:lineRule="auto"/>
        <w:jc w:val="both"/>
        <w:rPr>
          <w:rFonts w:ascii="Arial" w:hAnsi="Arial" w:cs="Arial"/>
          <w:i/>
          <w:iCs/>
          <w:color w:val="auto"/>
          <w:sz w:val="24"/>
          <w:szCs w:val="24"/>
        </w:rPr>
      </w:pPr>
      <w:bookmarkStart w:name="_Toc225378552" w:id="64"/>
      <w:r w:rsidRPr="00050094">
        <w:rPr>
          <w:rFonts w:ascii="Arial" w:hAnsi="Arial" w:cs="Arial"/>
          <w:i/>
          <w:iCs/>
          <w:color w:val="auto"/>
          <w:sz w:val="24"/>
          <w:szCs w:val="24"/>
        </w:rPr>
        <w:t>4.5.8 Lack of Knowledge and Training</w:t>
      </w:r>
      <w:bookmarkEnd w:id="64"/>
    </w:p>
    <w:p w:rsidRPr="00050094" w:rsidR="00080D6F" w:rsidP="003502E9" w:rsidRDefault="00053EB8" w14:paraId="57EC70E0" w14:textId="3BF49CB5">
      <w:pPr>
        <w:spacing w:line="360" w:lineRule="auto"/>
        <w:jc w:val="both"/>
        <w:rPr>
          <w:rFonts w:ascii="Arial" w:hAnsi="Arial" w:cs="Arial"/>
          <w:sz w:val="22"/>
          <w:szCs w:val="22"/>
        </w:rPr>
      </w:pPr>
      <w:r w:rsidRPr="00050094">
        <w:rPr>
          <w:rFonts w:ascii="Arial" w:hAnsi="Arial" w:cs="Arial"/>
          <w:sz w:val="22"/>
          <w:szCs w:val="22"/>
        </w:rPr>
        <w:t>Moreover, a lot of families do not have sufficient knowledge and advice on how to work with people with mental illnesses. Families could lack the necessary resources and be unprepared to correspond to their caregiving duties since without adequate training and resources, they might lack confidence (Wakida et al., 2018). This makes them less effective in recovery and makes it clear that they need a systematic educational intervention (Carbonell et al., 2020).</w:t>
      </w:r>
    </w:p>
    <w:p w:rsidRPr="00050094" w:rsidR="006460AC" w:rsidP="003502E9" w:rsidRDefault="00FF3442" w14:paraId="59ED4386" w14:textId="77777777">
      <w:pPr>
        <w:pStyle w:val="Heading2"/>
        <w:spacing w:line="360" w:lineRule="auto"/>
        <w:jc w:val="both"/>
        <w:rPr>
          <w:rFonts w:ascii="Arial" w:hAnsi="Arial" w:cs="Arial"/>
          <w:b/>
          <w:bCs/>
          <w:i/>
          <w:iCs/>
          <w:color w:val="auto"/>
          <w:sz w:val="28"/>
          <w:szCs w:val="28"/>
        </w:rPr>
      </w:pPr>
      <w:bookmarkStart w:name="_Toc225378553" w:id="65"/>
      <w:r w:rsidRPr="00050094">
        <w:rPr>
          <w:rFonts w:ascii="Arial" w:hAnsi="Arial" w:cs="Arial"/>
          <w:b/>
          <w:bCs/>
          <w:i/>
          <w:iCs/>
          <w:color w:val="auto"/>
          <w:sz w:val="28"/>
          <w:szCs w:val="28"/>
        </w:rPr>
        <w:lastRenderedPageBreak/>
        <w:t>4.6 Critical Discussion</w:t>
      </w:r>
      <w:bookmarkEnd w:id="65"/>
    </w:p>
    <w:p w:rsidRPr="00050094" w:rsidR="00053EB8" w:rsidP="003502E9" w:rsidRDefault="00053EB8" w14:paraId="705EBD84" w14:textId="77777777">
      <w:pPr>
        <w:spacing w:line="360" w:lineRule="auto"/>
        <w:jc w:val="both"/>
        <w:rPr>
          <w:rFonts w:ascii="Arial" w:hAnsi="Arial" w:cs="Arial"/>
          <w:sz w:val="22"/>
          <w:szCs w:val="22"/>
        </w:rPr>
      </w:pPr>
      <w:r w:rsidRPr="00050094">
        <w:rPr>
          <w:rFonts w:ascii="Arial" w:hAnsi="Arial" w:cs="Arial"/>
          <w:sz w:val="22"/>
          <w:szCs w:val="22"/>
        </w:rPr>
        <w:t>The results of this research worldly point to the importance of family support in promoting mental health recovery, which can be fully comprehended by applying theoretical models already existing like the buffering theory. According to the buffering theory, Cohen and Wills (1985) posit that social support decrease the adverse effect of stress by enhancing the coping mechanism and emotional well-being of people. The results are very much in favour of this view because the support of family members at the emotional level was proved to lower the levels of psychological distress and enhance the wellbeing of service users (Bjørlykhaug et al., 2022). Specifically, emotional support can be used to alleviate mental health challenges in individuals by giving them a sense of belonging, empathising with them and reassuring them. This forms a close connexion with the buffering hypothesis that underlines the protection factors provided by supportive relationships in stressful and vulnerable times (Cohen and Wills, 1985). The correspondence of the theoretical assumptions and the empirical results helps to strengthen the role of the family-based emotional support within the recovery processes (Elger et al., 2025).</w:t>
      </w:r>
    </w:p>
    <w:p w:rsidRPr="00050094" w:rsidR="00053EB8" w:rsidP="003502E9" w:rsidRDefault="00053EB8" w14:paraId="7D99579A" w14:textId="77777777">
      <w:pPr>
        <w:spacing w:line="360" w:lineRule="auto"/>
        <w:jc w:val="both"/>
        <w:rPr>
          <w:rFonts w:ascii="Arial" w:hAnsi="Arial" w:cs="Arial"/>
          <w:sz w:val="22"/>
          <w:szCs w:val="22"/>
        </w:rPr>
      </w:pPr>
      <w:r w:rsidRPr="00050094">
        <w:rPr>
          <w:rFonts w:ascii="Arial" w:hAnsi="Arial" w:cs="Arial"/>
          <w:sz w:val="22"/>
          <w:szCs w:val="22"/>
        </w:rPr>
        <w:t>In the same way the results associated with practical support, such as medication adherence and relapse prevention, also provide additional evidence to the buffering theory showing how the practical manifestations of support could alleviate stress levels and bring down the adverse effects. Families play an important role in supporting routines and recognising early warning signs as well, which leads to a long-term recovery and stability (Zaidi, 2020). These results show that emotional and practical support work in significance to increase resilience and coping capacity (Norton and Cuskelly, 2021). Alongside the buffering theory, it is possible to explain the results using recovery-oriented models, which focus on the holistic and person-centred approaches to mental health care. Recovery models emphasise the role of social inclusion, empowerment and quality relationships in the support of long-term wellbeing (Leamy et al., 2011; Davidson et al., 2021). These principles are supported by the findings that reveal that the family involvement is associated with the emotional wellbeing, social functioning, and the overall quality of life (Dell et al., 2021).</w:t>
      </w:r>
    </w:p>
    <w:p w:rsidRPr="00050094" w:rsidR="00053EB8" w:rsidP="003502E9" w:rsidRDefault="00053EB8" w14:paraId="7EC2B4D7" w14:textId="6012B212">
      <w:pPr>
        <w:spacing w:line="360" w:lineRule="auto"/>
        <w:jc w:val="both"/>
        <w:rPr>
          <w:rFonts w:ascii="Arial" w:hAnsi="Arial" w:cs="Arial"/>
          <w:sz w:val="22"/>
          <w:szCs w:val="22"/>
        </w:rPr>
      </w:pPr>
      <w:r w:rsidRPr="00050094">
        <w:rPr>
          <w:rFonts w:ascii="Arial" w:hAnsi="Arial" w:cs="Arial"/>
          <w:sz w:val="22"/>
          <w:szCs w:val="22"/>
        </w:rPr>
        <w:t xml:space="preserve">Moreover, the application of family advocacy that is identified in the results speaks of the major components of the recovery-oriented care, especially the collaboration decision-making, and individualised treatment planning. This is because families as advocates can enhance </w:t>
      </w:r>
      <w:r w:rsidRPr="00050094" w:rsidR="00040023">
        <w:rPr>
          <w:rFonts w:ascii="Arial" w:hAnsi="Arial" w:cs="Arial"/>
          <w:sz w:val="22"/>
          <w:szCs w:val="22"/>
        </w:rPr>
        <w:t>communication</w:t>
      </w:r>
      <w:r w:rsidRPr="00050094">
        <w:rPr>
          <w:rFonts w:ascii="Arial" w:hAnsi="Arial" w:cs="Arial"/>
          <w:sz w:val="22"/>
          <w:szCs w:val="22"/>
        </w:rPr>
        <w:t xml:space="preserve"> between the healthcare provider and the service users, which help to increase access to services and continuity of care (Henderson et al., 2021). This goes in line with recovery </w:t>
      </w:r>
      <w:r w:rsidRPr="00050094">
        <w:rPr>
          <w:rFonts w:ascii="Arial" w:hAnsi="Arial" w:cs="Arial"/>
          <w:sz w:val="22"/>
          <w:szCs w:val="22"/>
        </w:rPr>
        <w:lastRenderedPageBreak/>
        <w:t>models that focus on shared decision making and involvement of patients in care processes (Davidson et al., 2021).</w:t>
      </w:r>
    </w:p>
    <w:p w:rsidRPr="00050094" w:rsidR="00053EB8" w:rsidP="003502E9" w:rsidRDefault="00053EB8" w14:paraId="0EA08CBA" w14:textId="77777777">
      <w:pPr>
        <w:spacing w:line="360" w:lineRule="auto"/>
        <w:jc w:val="both"/>
        <w:rPr>
          <w:rFonts w:ascii="Arial" w:hAnsi="Arial" w:cs="Arial"/>
          <w:sz w:val="22"/>
          <w:szCs w:val="22"/>
        </w:rPr>
      </w:pPr>
      <w:r w:rsidRPr="00050094">
        <w:rPr>
          <w:rFonts w:ascii="Arial" w:hAnsi="Arial" w:cs="Arial"/>
          <w:sz w:val="22"/>
          <w:szCs w:val="22"/>
        </w:rPr>
        <w:t>Nevertheless, the results also indicate discrepancies between theory and practise especially regarding obstacles to family involvement. Although buffering theory and recovery models assume that social support is available and effective, such aspects as stigma, systemic barriers, and policy-practise gaps restrict the level to which these advantages are actualised (Carbonell et al., 2020). It indicates that the effectiveness of the family support is affected by more extensive structural and organisational circumstances (Wakida et al., 2018).</w:t>
      </w:r>
    </w:p>
    <w:p w:rsidRPr="00050094" w:rsidR="006460AC" w:rsidP="003502E9" w:rsidRDefault="00053EB8" w14:paraId="21A2F238" w14:textId="40436F59">
      <w:pPr>
        <w:spacing w:line="360" w:lineRule="auto"/>
        <w:jc w:val="both"/>
      </w:pPr>
      <w:r w:rsidRPr="00050094">
        <w:rPr>
          <w:rFonts w:ascii="Arial" w:hAnsi="Arial" w:cs="Arial"/>
          <w:sz w:val="22"/>
          <w:szCs w:val="22"/>
        </w:rPr>
        <w:t>Furthermore, the results show that the family support is not a universal positive phenomenon since it can be influenced by the family life, the level of awareness, and the emotional ability. In other instances, absence of understanding or poor attitudes in families can become an obstacle to recovery instead of an aid, which disproves the belief that any social support is positive (Yin et al., 2020). This points to the necessity of a more critical and nuanced concept of family involvement in recovery frameworks. On the whole, the results show a good correlation with the theoretical models which include buffering theory and recovery-oriented methods, as well as show limitations in the practical implementation of the theoretical approaches. This highlights the significance of combined and contextual approaches that put into consideration the advantages and the issues of family support to mental health recovery</w:t>
      </w:r>
      <w:r w:rsidRPr="00050094" w:rsidR="00CE4548">
        <w:t>.</w:t>
      </w:r>
    </w:p>
    <w:p w:rsidRPr="00050094" w:rsidR="00FF3442" w:rsidP="003502E9" w:rsidRDefault="00FF3442" w14:paraId="5FE5125F" w14:textId="08CFA96A">
      <w:pPr>
        <w:pStyle w:val="Heading2"/>
        <w:spacing w:line="360" w:lineRule="auto"/>
        <w:jc w:val="both"/>
        <w:rPr>
          <w:rFonts w:ascii="Arial" w:hAnsi="Arial" w:cs="Arial"/>
          <w:b/>
          <w:bCs/>
          <w:i/>
          <w:iCs/>
          <w:color w:val="auto"/>
          <w:sz w:val="28"/>
          <w:szCs w:val="28"/>
        </w:rPr>
      </w:pPr>
      <w:bookmarkStart w:name="_Toc225378554" w:id="66"/>
      <w:r w:rsidRPr="00050094">
        <w:rPr>
          <w:rFonts w:ascii="Arial" w:hAnsi="Arial" w:cs="Arial"/>
          <w:b/>
          <w:bCs/>
          <w:i/>
          <w:iCs/>
          <w:color w:val="auto"/>
          <w:sz w:val="28"/>
          <w:szCs w:val="28"/>
        </w:rPr>
        <w:t>4.7 Summary</w:t>
      </w:r>
      <w:bookmarkEnd w:id="66"/>
      <w:r w:rsidRPr="00050094">
        <w:rPr>
          <w:rFonts w:ascii="Arial" w:hAnsi="Arial" w:cs="Arial"/>
          <w:b/>
          <w:bCs/>
          <w:i/>
          <w:iCs/>
          <w:color w:val="auto"/>
          <w:sz w:val="28"/>
          <w:szCs w:val="28"/>
        </w:rPr>
        <w:t xml:space="preserve"> </w:t>
      </w:r>
    </w:p>
    <w:p w:rsidRPr="00050094" w:rsidR="00040023" w:rsidP="003502E9" w:rsidRDefault="00040023" w14:paraId="529715C7" w14:textId="77777777">
      <w:pPr>
        <w:spacing w:line="360" w:lineRule="auto"/>
        <w:jc w:val="both"/>
        <w:rPr>
          <w:rFonts w:ascii="Arial" w:hAnsi="Arial" w:cs="Arial"/>
          <w:sz w:val="22"/>
          <w:szCs w:val="22"/>
        </w:rPr>
      </w:pPr>
      <w:r w:rsidRPr="00050094">
        <w:rPr>
          <w:rFonts w:ascii="Arial" w:hAnsi="Arial" w:cs="Arial"/>
          <w:sz w:val="22"/>
          <w:szCs w:val="22"/>
        </w:rPr>
        <w:t>The chapter has described and critically analysed the most important findings of the study, specifically, the role of family support on mental health recovery. These findings were grouped in four broad themes that included emotional support, practical support, family advocacy, and barriers to involvement. Emotional support became the key to improving psychological health and decreasing the sense of isolation, which facilitated resilience and stability in service users (Bjørlykhaug et al., 2022).</w:t>
      </w:r>
    </w:p>
    <w:p w:rsidRPr="00050094" w:rsidR="00040023" w:rsidP="003502E9" w:rsidRDefault="00040023" w14:paraId="092B5CDF" w14:textId="77777777">
      <w:pPr>
        <w:spacing w:line="360" w:lineRule="auto"/>
        <w:jc w:val="both"/>
        <w:rPr>
          <w:rFonts w:ascii="Arial" w:hAnsi="Arial" w:cs="Arial"/>
          <w:sz w:val="22"/>
          <w:szCs w:val="22"/>
        </w:rPr>
      </w:pPr>
      <w:r w:rsidRPr="00050094">
        <w:rPr>
          <w:rFonts w:ascii="Arial" w:hAnsi="Arial" w:cs="Arial"/>
          <w:sz w:val="22"/>
          <w:szCs w:val="22"/>
        </w:rPr>
        <w:t>Practical assistance, such as the help with taking medicine and daily activities, was identified to be an important factor to sustain treatment and avoid relapse, which has long-term recovery outcomes (Norton and Cuskelly, 2021; Zaidi, 2020). Besides it, family advocacy was also emphasised as a significant tool to increase access to the services and to provide efficient communication between the users of the services and the healthcare provider (Henderson et al., 2021).</w:t>
      </w:r>
    </w:p>
    <w:p w:rsidRPr="00050094" w:rsidR="00040023" w:rsidP="003502E9" w:rsidRDefault="00040023" w14:paraId="5F9687DD" w14:textId="77777777">
      <w:pPr>
        <w:spacing w:line="360" w:lineRule="auto"/>
        <w:jc w:val="both"/>
        <w:rPr>
          <w:rFonts w:ascii="Arial" w:hAnsi="Arial" w:cs="Arial"/>
          <w:sz w:val="22"/>
          <w:szCs w:val="22"/>
        </w:rPr>
      </w:pPr>
      <w:r w:rsidRPr="00050094">
        <w:rPr>
          <w:rFonts w:ascii="Arial" w:hAnsi="Arial" w:cs="Arial"/>
          <w:sz w:val="22"/>
          <w:szCs w:val="22"/>
        </w:rPr>
        <w:lastRenderedPageBreak/>
        <w:t>Nevertheless, it was also found that there exist a number of barriers to successful family involvement such as stigma, systemic problems, and policy-practise gaps. These obstacles indicate the intricacy of family support implementation in mental health care and the necessity of more systematic and broader methods (Carbonell et al., 2020; Wakida et al., 2018).</w:t>
      </w:r>
    </w:p>
    <w:p w:rsidR="003502E9" w:rsidP="003502E9" w:rsidRDefault="00040023" w14:paraId="5770EB8D" w14:textId="19B07508">
      <w:pPr>
        <w:spacing w:line="360" w:lineRule="auto"/>
        <w:jc w:val="both"/>
        <w:rPr>
          <w:rFonts w:ascii="Arial" w:hAnsi="Arial" w:cs="Arial"/>
          <w:sz w:val="22"/>
          <w:szCs w:val="22"/>
        </w:rPr>
      </w:pPr>
      <w:r w:rsidRPr="00050094">
        <w:rPr>
          <w:rFonts w:ascii="Arial" w:hAnsi="Arial" w:cs="Arial"/>
          <w:sz w:val="22"/>
          <w:szCs w:val="22"/>
        </w:rPr>
        <w:t>Comprehensively, the findings can confirm the theoretical frameworks as well as highlight the necessity of the practical improvement to optimise the role of family support in recovery-based mental health services</w:t>
      </w:r>
      <w:r w:rsidRPr="00050094" w:rsidR="00FF3442">
        <w:rPr>
          <w:rFonts w:ascii="Arial" w:hAnsi="Arial" w:cs="Arial"/>
          <w:sz w:val="22"/>
          <w:szCs w:val="22"/>
        </w:rPr>
        <w:t>.</w:t>
      </w:r>
    </w:p>
    <w:p w:rsidR="003502E9" w:rsidP="003502E9" w:rsidRDefault="003502E9" w14:paraId="218674F2" w14:textId="77777777">
      <w:pPr>
        <w:spacing w:line="360" w:lineRule="auto"/>
        <w:rPr>
          <w:rFonts w:ascii="Arial" w:hAnsi="Arial" w:cs="Arial"/>
          <w:sz w:val="22"/>
          <w:szCs w:val="22"/>
        </w:rPr>
      </w:pPr>
      <w:r>
        <w:rPr>
          <w:rFonts w:ascii="Arial" w:hAnsi="Arial" w:cs="Arial"/>
          <w:sz w:val="22"/>
          <w:szCs w:val="22"/>
        </w:rPr>
        <w:br w:type="page"/>
      </w:r>
    </w:p>
    <w:p w:rsidRPr="00050094" w:rsidR="00FF3442" w:rsidP="003502E9" w:rsidRDefault="00FF3442" w14:paraId="3A3EE3A8" w14:textId="77777777">
      <w:pPr>
        <w:spacing w:line="360" w:lineRule="auto"/>
        <w:jc w:val="both"/>
        <w:rPr>
          <w:rFonts w:ascii="Arial" w:hAnsi="Arial" w:cs="Arial"/>
          <w:sz w:val="22"/>
          <w:szCs w:val="22"/>
        </w:rPr>
      </w:pPr>
    </w:p>
    <w:p w:rsidRPr="00050094" w:rsidR="00FF3442" w:rsidP="003502E9" w:rsidRDefault="00FF3442" w14:paraId="0C38A8CE" w14:textId="54205196">
      <w:pPr>
        <w:pStyle w:val="Heading1"/>
        <w:spacing w:line="360" w:lineRule="auto"/>
        <w:jc w:val="both"/>
        <w:rPr>
          <w:rFonts w:ascii="Arial" w:hAnsi="Arial" w:cs="Arial"/>
          <w:b/>
          <w:bCs/>
          <w:color w:val="auto"/>
          <w:sz w:val="32"/>
          <w:szCs w:val="32"/>
        </w:rPr>
      </w:pPr>
      <w:bookmarkStart w:name="_Toc225378555" w:id="67"/>
      <w:r w:rsidRPr="00050094">
        <w:rPr>
          <w:rFonts w:ascii="Arial" w:hAnsi="Arial" w:cs="Arial"/>
          <w:b/>
          <w:bCs/>
          <w:color w:val="auto"/>
          <w:sz w:val="32"/>
          <w:szCs w:val="32"/>
        </w:rPr>
        <w:t>CHAPTER 5: RECOMMENDATIONS &amp; CONCLUSION</w:t>
      </w:r>
      <w:bookmarkEnd w:id="67"/>
      <w:r w:rsidRPr="00050094">
        <w:rPr>
          <w:rFonts w:ascii="Arial" w:hAnsi="Arial" w:cs="Arial"/>
          <w:b/>
          <w:bCs/>
          <w:color w:val="auto"/>
          <w:sz w:val="32"/>
          <w:szCs w:val="32"/>
        </w:rPr>
        <w:t xml:space="preserve"> </w:t>
      </w:r>
    </w:p>
    <w:p w:rsidRPr="00050094" w:rsidR="00FF3442" w:rsidP="003502E9" w:rsidRDefault="00FF3442" w14:paraId="59E76D57" w14:textId="3F01EA88">
      <w:pPr>
        <w:pStyle w:val="Heading2"/>
        <w:spacing w:line="360" w:lineRule="auto"/>
        <w:jc w:val="both"/>
        <w:rPr>
          <w:rFonts w:ascii="Arial" w:hAnsi="Arial" w:cs="Arial"/>
          <w:b/>
          <w:bCs/>
          <w:i/>
          <w:iCs/>
          <w:color w:val="auto"/>
          <w:sz w:val="28"/>
          <w:szCs w:val="28"/>
        </w:rPr>
      </w:pPr>
      <w:bookmarkStart w:name="_Toc225378556" w:id="68"/>
      <w:r w:rsidRPr="00050094">
        <w:rPr>
          <w:rFonts w:ascii="Arial" w:hAnsi="Arial" w:cs="Arial"/>
          <w:b/>
          <w:bCs/>
          <w:i/>
          <w:iCs/>
          <w:color w:val="auto"/>
          <w:sz w:val="28"/>
          <w:szCs w:val="28"/>
        </w:rPr>
        <w:t>5.1 Introduction</w:t>
      </w:r>
      <w:bookmarkEnd w:id="68"/>
      <w:r w:rsidRPr="00050094">
        <w:rPr>
          <w:rFonts w:ascii="Arial" w:hAnsi="Arial" w:cs="Arial"/>
          <w:b/>
          <w:bCs/>
          <w:i/>
          <w:iCs/>
          <w:color w:val="auto"/>
          <w:sz w:val="28"/>
          <w:szCs w:val="28"/>
        </w:rPr>
        <w:t xml:space="preserve"> </w:t>
      </w:r>
    </w:p>
    <w:p w:rsidRPr="00050094" w:rsidR="00040023" w:rsidP="003502E9" w:rsidRDefault="00040023" w14:paraId="03374051" w14:textId="77777777">
      <w:pPr>
        <w:spacing w:line="360" w:lineRule="auto"/>
        <w:jc w:val="both"/>
        <w:rPr>
          <w:rFonts w:ascii="Arial" w:hAnsi="Arial" w:cs="Arial"/>
          <w:sz w:val="22"/>
          <w:szCs w:val="22"/>
        </w:rPr>
      </w:pPr>
      <w:r w:rsidRPr="00050094">
        <w:rPr>
          <w:rFonts w:ascii="Arial" w:hAnsi="Arial" w:cs="Arial"/>
          <w:sz w:val="22"/>
          <w:szCs w:val="22"/>
        </w:rPr>
        <w:t>This chapter gives the major conclusions and recommendations based on the findings of the research on the role of family support in mental health recovery. It also brings together the key findings of the analysis and connects them to the theoretical frameworks and policy settings to reach a logical interpretation of the research results (Leamy et al., 2011; Davidson et al., 2021). The chapter also presents some practical recommendations that should be made to enhance the integration of family support into the mental health services in the UK (NHS England, 2024).</w:t>
      </w:r>
    </w:p>
    <w:p w:rsidRPr="00050094" w:rsidR="00FF3442" w:rsidP="003502E9" w:rsidRDefault="00040023" w14:paraId="4877A1DC" w14:textId="79AB09A3">
      <w:pPr>
        <w:spacing w:line="360" w:lineRule="auto"/>
        <w:jc w:val="both"/>
        <w:rPr>
          <w:rFonts w:ascii="Arial" w:hAnsi="Arial" w:cs="Arial"/>
          <w:sz w:val="22"/>
          <w:szCs w:val="22"/>
        </w:rPr>
      </w:pPr>
      <w:r w:rsidRPr="00050094">
        <w:rPr>
          <w:rFonts w:ascii="Arial" w:hAnsi="Arial" w:cs="Arial"/>
          <w:sz w:val="22"/>
          <w:szCs w:val="22"/>
        </w:rPr>
        <w:t>This chapter will help fill the existing gaps and issues to promote more effective and inclusive recovery-oriented care practises (Department of Health and Social Care, 2022</w:t>
      </w:r>
      <w:r w:rsidRPr="00050094" w:rsidR="00FF3442">
        <w:rPr>
          <w:rFonts w:ascii="Arial" w:hAnsi="Arial" w:cs="Arial"/>
          <w:sz w:val="22"/>
          <w:szCs w:val="22"/>
        </w:rPr>
        <w:t>).</w:t>
      </w:r>
    </w:p>
    <w:p w:rsidRPr="00050094" w:rsidR="00FF3442" w:rsidP="003502E9" w:rsidRDefault="00FF3442" w14:paraId="30894399" w14:textId="073E0B2B">
      <w:pPr>
        <w:pStyle w:val="Heading2"/>
        <w:spacing w:line="360" w:lineRule="auto"/>
        <w:jc w:val="both"/>
        <w:rPr>
          <w:rFonts w:ascii="Arial" w:hAnsi="Arial" w:cs="Arial"/>
          <w:b/>
          <w:bCs/>
          <w:i/>
          <w:iCs/>
          <w:color w:val="auto"/>
          <w:sz w:val="28"/>
          <w:szCs w:val="28"/>
        </w:rPr>
      </w:pPr>
      <w:bookmarkStart w:name="_Toc225378557" w:id="69"/>
      <w:r w:rsidRPr="00050094">
        <w:rPr>
          <w:rFonts w:ascii="Arial" w:hAnsi="Arial" w:cs="Arial"/>
          <w:b/>
          <w:bCs/>
          <w:i/>
          <w:iCs/>
          <w:color w:val="auto"/>
          <w:sz w:val="28"/>
          <w:szCs w:val="28"/>
        </w:rPr>
        <w:t>5.2 Summary of Key Findings</w:t>
      </w:r>
      <w:bookmarkEnd w:id="69"/>
      <w:r w:rsidRPr="00050094">
        <w:rPr>
          <w:rFonts w:ascii="Arial" w:hAnsi="Arial" w:cs="Arial"/>
          <w:b/>
          <w:bCs/>
          <w:i/>
          <w:iCs/>
          <w:color w:val="auto"/>
          <w:sz w:val="28"/>
          <w:szCs w:val="28"/>
        </w:rPr>
        <w:t xml:space="preserve"> </w:t>
      </w:r>
    </w:p>
    <w:p w:rsidRPr="00050094" w:rsidR="00040023" w:rsidP="003502E9" w:rsidRDefault="00040023" w14:paraId="7B4E6761" w14:textId="77777777">
      <w:pPr>
        <w:spacing w:line="360" w:lineRule="auto"/>
        <w:jc w:val="both"/>
        <w:rPr>
          <w:rFonts w:ascii="Arial" w:hAnsi="Arial" w:cs="Arial"/>
          <w:sz w:val="22"/>
          <w:szCs w:val="22"/>
        </w:rPr>
      </w:pPr>
      <w:r w:rsidRPr="00050094">
        <w:rPr>
          <w:rFonts w:ascii="Arial" w:hAnsi="Arial" w:cs="Arial"/>
          <w:sz w:val="22"/>
          <w:szCs w:val="22"/>
        </w:rPr>
        <w:t>The results of this study prove that family support is a critical factor in improving the restoration of mental health service consumers in the UK. Emotional support was revealed as one of the crucial factors in enhancing psychological wellbeing, alleviating the state of isolation, and enhancing resilience in people subjected to mental health problems (Bjørlykhaug et al., 2022). This is congruent with theoretical views that assert the supportive value of relationships in the process of recovery and emotional stability (Cohen and Wills, 1985).</w:t>
      </w:r>
    </w:p>
    <w:p w:rsidRPr="00050094" w:rsidR="00040023" w:rsidP="003502E9" w:rsidRDefault="00040023" w14:paraId="09E0FE09" w14:textId="77777777">
      <w:pPr>
        <w:spacing w:line="360" w:lineRule="auto"/>
        <w:jc w:val="both"/>
        <w:rPr>
          <w:rFonts w:ascii="Arial" w:hAnsi="Arial" w:cs="Arial"/>
          <w:sz w:val="22"/>
          <w:szCs w:val="22"/>
        </w:rPr>
      </w:pPr>
      <w:r w:rsidRPr="00050094">
        <w:rPr>
          <w:rFonts w:ascii="Arial" w:hAnsi="Arial" w:cs="Arial"/>
          <w:sz w:val="22"/>
          <w:szCs w:val="22"/>
        </w:rPr>
        <w:t>Practical support it was also established to have a major impact on the adherence to treatment and relapse prevention in addition to the emotional support. The engagement of family in medication management, daily routine, and observing early warning signs led to a better recovery effect and stability in the long term (Norton and Cuskelly, 2021; Zaidi, 2020). These results demonstrate the significance of promoting family support as a part of the routine mental health care.</w:t>
      </w:r>
    </w:p>
    <w:p w:rsidRPr="00050094" w:rsidR="00040023" w:rsidP="003502E9" w:rsidRDefault="00040023" w14:paraId="177E543F" w14:textId="77777777">
      <w:pPr>
        <w:spacing w:line="360" w:lineRule="auto"/>
        <w:jc w:val="both"/>
        <w:rPr>
          <w:rFonts w:ascii="Arial" w:hAnsi="Arial" w:cs="Arial"/>
          <w:sz w:val="22"/>
          <w:szCs w:val="22"/>
        </w:rPr>
      </w:pPr>
      <w:r w:rsidRPr="00050094">
        <w:rPr>
          <w:rFonts w:ascii="Arial" w:hAnsi="Arial" w:cs="Arial"/>
          <w:sz w:val="22"/>
          <w:szCs w:val="22"/>
        </w:rPr>
        <w:t>Moreover, family advocacy proved to be another relevant tool in the way of increasing access to services and increasing communication between the service users and the healthcare providers. As advocates, families could contribute to a more personalised and effective care planning, thus resulting in enhanced outcomes of the recovery (Henderson et al., 2021).</w:t>
      </w:r>
    </w:p>
    <w:p w:rsidRPr="00050094" w:rsidR="00FF3442" w:rsidP="003502E9" w:rsidRDefault="00040023" w14:paraId="0A56227A" w14:textId="6472B878">
      <w:pPr>
        <w:spacing w:line="360" w:lineRule="auto"/>
        <w:jc w:val="both"/>
        <w:rPr>
          <w:rFonts w:ascii="Arial" w:hAnsi="Arial" w:cs="Arial"/>
          <w:sz w:val="22"/>
          <w:szCs w:val="22"/>
        </w:rPr>
      </w:pPr>
      <w:r w:rsidRPr="00050094">
        <w:rPr>
          <w:rFonts w:ascii="Arial" w:hAnsi="Arial" w:cs="Arial"/>
          <w:sz w:val="22"/>
          <w:szCs w:val="22"/>
        </w:rPr>
        <w:lastRenderedPageBreak/>
        <w:t>The study also however found that effective family involvement is hindered by a variety of barriers, such as stigma, systemic challenges and lack of policy-practise consistency, which are identified as barriers. The results suggest that family support is still positive and has not reached its full potential in the UK mental health system yet (Carbonell et al., 2020; Wakida et al., 2018</w:t>
      </w:r>
      <w:r w:rsidRPr="00050094" w:rsidR="00FF3442">
        <w:rPr>
          <w:rFonts w:ascii="Arial" w:hAnsi="Arial" w:cs="Arial"/>
          <w:sz w:val="22"/>
          <w:szCs w:val="22"/>
        </w:rPr>
        <w:t>).</w:t>
      </w:r>
    </w:p>
    <w:p w:rsidRPr="00050094" w:rsidR="00FF3442" w:rsidP="003502E9" w:rsidRDefault="00FF3442" w14:paraId="25755247" w14:textId="3E222C10">
      <w:pPr>
        <w:pStyle w:val="Heading2"/>
        <w:spacing w:line="360" w:lineRule="auto"/>
        <w:jc w:val="both"/>
        <w:rPr>
          <w:rFonts w:ascii="Arial" w:hAnsi="Arial" w:cs="Arial"/>
          <w:b/>
          <w:bCs/>
          <w:i/>
          <w:iCs/>
          <w:color w:val="auto"/>
          <w:sz w:val="28"/>
          <w:szCs w:val="28"/>
        </w:rPr>
      </w:pPr>
      <w:bookmarkStart w:name="_Toc225378558" w:id="70"/>
      <w:r w:rsidRPr="00050094">
        <w:rPr>
          <w:rFonts w:ascii="Arial" w:hAnsi="Arial" w:cs="Arial"/>
          <w:b/>
          <w:bCs/>
          <w:i/>
          <w:iCs/>
          <w:color w:val="auto"/>
          <w:sz w:val="28"/>
          <w:szCs w:val="28"/>
        </w:rPr>
        <w:t>5.3 Recommendations</w:t>
      </w:r>
      <w:bookmarkEnd w:id="70"/>
      <w:r w:rsidRPr="00050094">
        <w:rPr>
          <w:rFonts w:ascii="Arial" w:hAnsi="Arial" w:cs="Arial"/>
          <w:b/>
          <w:bCs/>
          <w:i/>
          <w:iCs/>
          <w:color w:val="auto"/>
          <w:sz w:val="28"/>
          <w:szCs w:val="28"/>
        </w:rPr>
        <w:t xml:space="preserve"> </w:t>
      </w:r>
    </w:p>
    <w:p w:rsidRPr="00050094" w:rsidR="00040023" w:rsidP="003502E9" w:rsidRDefault="00040023" w14:paraId="0D987E6D" w14:textId="77777777">
      <w:pPr>
        <w:spacing w:line="360" w:lineRule="auto"/>
        <w:jc w:val="both"/>
        <w:rPr>
          <w:rFonts w:ascii="Arial" w:hAnsi="Arial" w:cs="Arial"/>
          <w:sz w:val="22"/>
          <w:szCs w:val="22"/>
        </w:rPr>
      </w:pPr>
      <w:r w:rsidRPr="00050094">
        <w:rPr>
          <w:rFonts w:ascii="Arial" w:hAnsi="Arial" w:cs="Arial"/>
          <w:sz w:val="22"/>
          <w:szCs w:val="22"/>
        </w:rPr>
        <w:t>The results of this study prove that family support is a critical factor in improving the restoration of mental health service consumers in the UK. Emotional support was revealed as one of the crucial factors in enhancing psychological wellbeing, alleviating the state of isolation, and enhancing resilience in people subjected to mental health problems (Bjørlykhaug et al., 2022). This is congruent with theoretical views that assert the supportive value of relationships in the process of recovery and emotional stability (Cohen and Wills, 1985).</w:t>
      </w:r>
    </w:p>
    <w:p w:rsidRPr="00050094" w:rsidR="00040023" w:rsidP="003502E9" w:rsidRDefault="00040023" w14:paraId="2E36C915" w14:textId="77777777">
      <w:pPr>
        <w:spacing w:line="360" w:lineRule="auto"/>
        <w:jc w:val="both"/>
        <w:rPr>
          <w:rFonts w:ascii="Arial" w:hAnsi="Arial" w:cs="Arial"/>
          <w:sz w:val="22"/>
          <w:szCs w:val="22"/>
        </w:rPr>
      </w:pPr>
      <w:r w:rsidRPr="00050094">
        <w:rPr>
          <w:rFonts w:ascii="Arial" w:hAnsi="Arial" w:cs="Arial"/>
          <w:sz w:val="22"/>
          <w:szCs w:val="22"/>
        </w:rPr>
        <w:t>Practical support it was also established to have a major impact on the adherence to treatment and relapse prevention in addition to the emotional support. The engagement of family in medication management, daily routine, and observing early warning signs led to a better recovery effect and stability in the long term (Norton and Cuskelly, 2021; Zaidi, 2020). These results demonstrate the significance of promoting family support as a part of the routine mental health care.</w:t>
      </w:r>
    </w:p>
    <w:p w:rsidRPr="00050094" w:rsidR="00040023" w:rsidP="003502E9" w:rsidRDefault="00040023" w14:paraId="06CCE7ED" w14:textId="77777777">
      <w:pPr>
        <w:spacing w:line="360" w:lineRule="auto"/>
        <w:jc w:val="both"/>
        <w:rPr>
          <w:rFonts w:ascii="Arial" w:hAnsi="Arial" w:cs="Arial"/>
          <w:sz w:val="22"/>
          <w:szCs w:val="22"/>
        </w:rPr>
      </w:pPr>
      <w:r w:rsidRPr="00050094">
        <w:rPr>
          <w:rFonts w:ascii="Arial" w:hAnsi="Arial" w:cs="Arial"/>
          <w:sz w:val="22"/>
          <w:szCs w:val="22"/>
        </w:rPr>
        <w:t>Moreover, family advocacy proved to be another relevant tool in the way of increasing access to services and increasing communication between the service users and the healthcare providers. As advocates, families could contribute to a more personalised and effective care planning, thus resulting in enhanced outcomes of the recovery (Henderson et al., 2021).</w:t>
      </w:r>
    </w:p>
    <w:p w:rsidRPr="00050094" w:rsidR="00FF3442" w:rsidP="003502E9" w:rsidRDefault="00040023" w14:paraId="05E788DE" w14:textId="7DEA1289">
      <w:pPr>
        <w:spacing w:line="360" w:lineRule="auto"/>
        <w:jc w:val="both"/>
        <w:rPr>
          <w:rFonts w:ascii="Arial" w:hAnsi="Arial" w:cs="Arial"/>
          <w:sz w:val="22"/>
          <w:szCs w:val="22"/>
        </w:rPr>
      </w:pPr>
      <w:r w:rsidRPr="00050094">
        <w:rPr>
          <w:rFonts w:ascii="Arial" w:hAnsi="Arial" w:cs="Arial"/>
          <w:sz w:val="22"/>
          <w:szCs w:val="22"/>
        </w:rPr>
        <w:t>The study also however found that effective family involvement is hindered by a variety of barriers, such as stigma, systemic challenges and lack of policy-practise consistency, which are identified as barriers. The results suggest that family support is still positive and has not reached its full potential in the UK mental health system yet (Carbonell et al., 2020; Wakida et al., 2018</w:t>
      </w:r>
      <w:r w:rsidRPr="00050094" w:rsidR="00080D6F">
        <w:rPr>
          <w:rFonts w:ascii="Arial" w:hAnsi="Arial" w:cs="Arial"/>
          <w:sz w:val="22"/>
          <w:szCs w:val="22"/>
        </w:rPr>
        <w:t>.</w:t>
      </w:r>
    </w:p>
    <w:p w:rsidRPr="00050094" w:rsidR="00080D6F" w:rsidP="003502E9" w:rsidRDefault="00080D6F" w14:paraId="5C12493B" w14:textId="7F021AFE">
      <w:pPr>
        <w:pStyle w:val="Heading2"/>
        <w:spacing w:line="360" w:lineRule="auto"/>
        <w:jc w:val="both"/>
        <w:rPr>
          <w:rFonts w:ascii="Arial" w:hAnsi="Arial" w:cs="Arial"/>
          <w:b/>
          <w:bCs/>
          <w:i/>
          <w:iCs/>
          <w:color w:val="auto"/>
          <w:sz w:val="28"/>
          <w:szCs w:val="28"/>
        </w:rPr>
      </w:pPr>
      <w:bookmarkStart w:name="_Toc225378559" w:id="71"/>
      <w:r w:rsidRPr="00050094">
        <w:rPr>
          <w:rFonts w:ascii="Arial" w:hAnsi="Arial" w:cs="Arial"/>
          <w:b/>
          <w:bCs/>
          <w:i/>
          <w:iCs/>
          <w:color w:val="auto"/>
          <w:sz w:val="28"/>
          <w:szCs w:val="28"/>
        </w:rPr>
        <w:t>5.4 Conclusion</w:t>
      </w:r>
      <w:bookmarkEnd w:id="71"/>
      <w:r w:rsidRPr="00050094">
        <w:rPr>
          <w:rFonts w:ascii="Arial" w:hAnsi="Arial" w:cs="Arial"/>
          <w:b/>
          <w:bCs/>
          <w:i/>
          <w:iCs/>
          <w:color w:val="auto"/>
          <w:sz w:val="28"/>
          <w:szCs w:val="28"/>
        </w:rPr>
        <w:t xml:space="preserve"> </w:t>
      </w:r>
    </w:p>
    <w:p w:rsidRPr="00050094" w:rsidR="00040023" w:rsidP="003502E9" w:rsidRDefault="00040023" w14:paraId="5606DC78" w14:textId="77777777">
      <w:pPr>
        <w:spacing w:line="360" w:lineRule="auto"/>
        <w:jc w:val="both"/>
        <w:rPr>
          <w:rFonts w:ascii="Arial" w:hAnsi="Arial" w:cs="Arial"/>
          <w:sz w:val="22"/>
          <w:szCs w:val="22"/>
        </w:rPr>
      </w:pPr>
      <w:r w:rsidRPr="00050094">
        <w:rPr>
          <w:rFonts w:ascii="Arial" w:hAnsi="Arial" w:cs="Arial"/>
          <w:sz w:val="22"/>
          <w:szCs w:val="22"/>
        </w:rPr>
        <w:t xml:space="preserve">This paper aimed at investigating the importance of family support during the recovery process of mental health service users in the United Kingdom and the results of the research clearly indicate that family support has a major and multi pronged influence on improving recovery outcomes. The review has shown that family support has a positive effect in the form of emotional, practical, and advocacy-based processes, which, in combination, enhance wellbeing, adherence to treatment, </w:t>
      </w:r>
      <w:r w:rsidRPr="00050094">
        <w:rPr>
          <w:rFonts w:ascii="Arial" w:hAnsi="Arial" w:cs="Arial"/>
          <w:sz w:val="22"/>
          <w:szCs w:val="22"/>
        </w:rPr>
        <w:lastRenderedPageBreak/>
        <w:t>and stability (Bjørlykhaug et al., 2022; Norton and Cuskelly, 2021). These results can be directly related to the research objective and prove that family support is an essential part of mental health care oriented towards recovery.</w:t>
      </w:r>
    </w:p>
    <w:p w:rsidRPr="00050094" w:rsidR="00040023" w:rsidP="003502E9" w:rsidRDefault="00040023" w14:paraId="6044C9C0" w14:textId="77777777">
      <w:pPr>
        <w:spacing w:line="360" w:lineRule="auto"/>
        <w:jc w:val="both"/>
        <w:rPr>
          <w:rFonts w:ascii="Arial" w:hAnsi="Arial" w:cs="Arial"/>
          <w:sz w:val="22"/>
          <w:szCs w:val="22"/>
        </w:rPr>
      </w:pPr>
      <w:r w:rsidRPr="00050094">
        <w:rPr>
          <w:rFonts w:ascii="Arial" w:hAnsi="Arial" w:cs="Arial"/>
          <w:sz w:val="22"/>
          <w:szCs w:val="22"/>
        </w:rPr>
        <w:t>Theoretically, the findings are consistent with the buffering theory that highlights the protection effect of social support in minimising stress and enhancing resilience (Cohen and Wills, 1985). Equally, the results confirm recovery-specific models that emphasise the relevance of social relationship, empowerment, and holistic wellbeing in mental health recovery (Leamy et al., 2011; Davidson et al., 2021). This proves that family support is not only a good practise but is also very well innovated in terms of proven theoretical foundations.</w:t>
      </w:r>
    </w:p>
    <w:p w:rsidRPr="00050094" w:rsidR="00080D6F" w:rsidP="003502E9" w:rsidRDefault="00040023" w14:paraId="3F76859C" w14:textId="7E037259">
      <w:pPr>
        <w:spacing w:line="360" w:lineRule="auto"/>
        <w:jc w:val="both"/>
        <w:rPr>
          <w:rFonts w:ascii="Arial" w:hAnsi="Arial" w:cs="Arial"/>
          <w:sz w:val="22"/>
          <w:szCs w:val="22"/>
        </w:rPr>
      </w:pPr>
      <w:r w:rsidRPr="00050094">
        <w:rPr>
          <w:rFonts w:ascii="Arial" w:hAnsi="Arial" w:cs="Arial"/>
          <w:sz w:val="22"/>
          <w:szCs w:val="22"/>
        </w:rPr>
        <w:t>Nevertheless, the research also finds that there is still a lot of work to be done, specifically, the central issues are stigma, systemic barriers, and the mismatch between policy and practise, which hinder the successful inclusion of families into mental health care (Carbonell et al., 2020; Wakida et al., 2018). These results imply that although the strength of family support is considerably high, its successful implementation requires the intensity of the support that healthcare systems provide in terms of active support and facilitation of family participation</w:t>
      </w:r>
      <w:r w:rsidRPr="00050094" w:rsidR="00080D6F">
        <w:rPr>
          <w:rFonts w:ascii="Arial" w:hAnsi="Arial" w:cs="Arial"/>
          <w:sz w:val="22"/>
          <w:szCs w:val="22"/>
        </w:rPr>
        <w:t>.</w:t>
      </w:r>
    </w:p>
    <w:p w:rsidRPr="00050094" w:rsidR="00080D6F" w:rsidP="003502E9" w:rsidRDefault="00080D6F" w14:paraId="40F08152" w14:textId="77777777">
      <w:pPr>
        <w:spacing w:line="360" w:lineRule="auto"/>
        <w:jc w:val="both"/>
        <w:rPr>
          <w:rFonts w:ascii="Arial" w:hAnsi="Arial" w:cs="Arial"/>
          <w:sz w:val="22"/>
          <w:szCs w:val="22"/>
        </w:rPr>
      </w:pPr>
      <w:r w:rsidRPr="00050094">
        <w:rPr>
          <w:rFonts w:ascii="Arial" w:hAnsi="Arial" w:cs="Arial"/>
          <w:sz w:val="22"/>
          <w:szCs w:val="22"/>
        </w:rPr>
        <w:t>Overall, the study concludes that strengthening family-inclusive approaches within mental health services is essential for achieving more effective, holistic, and sustainable recovery outcomes in the UK context.</w:t>
      </w:r>
    </w:p>
    <w:p w:rsidRPr="00050094" w:rsidR="009D1B8A" w:rsidP="003502E9" w:rsidRDefault="009D1B8A" w14:paraId="382D7708" w14:textId="629F5C65">
      <w:pPr>
        <w:spacing w:line="360" w:lineRule="auto"/>
        <w:rPr>
          <w:rFonts w:ascii="Arial" w:hAnsi="Arial" w:cs="Arial"/>
          <w:sz w:val="22"/>
          <w:szCs w:val="22"/>
        </w:rPr>
      </w:pPr>
      <w:r w:rsidRPr="00050094">
        <w:rPr>
          <w:rFonts w:ascii="Arial" w:hAnsi="Arial" w:cs="Arial"/>
          <w:sz w:val="22"/>
          <w:szCs w:val="22"/>
        </w:rPr>
        <w:br w:type="page"/>
      </w:r>
    </w:p>
    <w:p w:rsidRPr="00050094" w:rsidR="009D1B8A" w:rsidP="003502E9" w:rsidRDefault="009D1B8A" w14:paraId="6E0A33D3" w14:textId="77777777">
      <w:pPr>
        <w:pStyle w:val="Heading1"/>
        <w:spacing w:line="360" w:lineRule="auto"/>
        <w:rPr>
          <w:rFonts w:asciiTheme="minorBidi" w:hAnsiTheme="minorBidi" w:cstheme="minorBidi"/>
          <w:sz w:val="32"/>
          <w:szCs w:val="32"/>
        </w:rPr>
      </w:pPr>
      <w:bookmarkStart w:name="_Toc225378560" w:id="72"/>
      <w:r w:rsidRPr="00050094">
        <w:rPr>
          <w:rFonts w:asciiTheme="minorBidi" w:hAnsiTheme="minorBidi" w:cstheme="minorBidi"/>
          <w:b/>
          <w:bCs/>
          <w:color w:val="000000" w:themeColor="text1"/>
          <w:sz w:val="32"/>
          <w:szCs w:val="32"/>
        </w:rPr>
        <w:lastRenderedPageBreak/>
        <w:t>References</w:t>
      </w:r>
      <w:bookmarkEnd w:id="72"/>
    </w:p>
    <w:p w:rsidRPr="00050094" w:rsidR="00050094" w:rsidP="003502E9" w:rsidRDefault="00050094" w14:paraId="5FA8C64C" w14:textId="5F37E8F3">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Allen, K. </w:t>
      </w:r>
      <w:r w:rsidRPr="00050094">
        <w:rPr>
          <w:rFonts w:asciiTheme="minorBidi" w:hAnsiTheme="minorBidi"/>
          <w:i/>
          <w:iCs/>
          <w:sz w:val="22"/>
          <w:szCs w:val="22"/>
        </w:rPr>
        <w:t>et al.</w:t>
      </w:r>
      <w:r w:rsidRPr="00050094">
        <w:rPr>
          <w:rFonts w:asciiTheme="minorBidi" w:hAnsiTheme="minorBidi"/>
          <w:sz w:val="22"/>
          <w:szCs w:val="22"/>
        </w:rPr>
        <w:t xml:space="preserve"> (2024) 'Experiences of current UK service provision for co-occurring parental domestic violence and abuse, mental ill-health, and substance misuse: A reflexive thematic analysis,' </w:t>
      </w:r>
      <w:r w:rsidRPr="00050094">
        <w:rPr>
          <w:rFonts w:asciiTheme="minorBidi" w:hAnsiTheme="minorBidi"/>
          <w:i/>
          <w:iCs/>
          <w:sz w:val="22"/>
          <w:szCs w:val="22"/>
        </w:rPr>
        <w:t>Children and Youth Services Review</w:t>
      </w:r>
      <w:r w:rsidRPr="00050094">
        <w:rPr>
          <w:rFonts w:asciiTheme="minorBidi" w:hAnsiTheme="minorBidi"/>
          <w:sz w:val="22"/>
          <w:szCs w:val="22"/>
        </w:rPr>
        <w:t xml:space="preserve">, 158, p. 107449. </w:t>
      </w:r>
      <w:hyperlink w:history="1" r:id="rId8">
        <w:r w:rsidRPr="00050094">
          <w:rPr>
            <w:rStyle w:val="Hyperlink"/>
            <w:rFonts w:asciiTheme="minorBidi" w:hAnsiTheme="minorBidi"/>
            <w:sz w:val="22"/>
            <w:szCs w:val="22"/>
          </w:rPr>
          <w:t>https://doi.org/10.1016/j.childyouth.2024.107449</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68CC29A6" w14:textId="5578D686">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Anthony, W., Rogers, E.S. and Farkas, M. (2003) 'Research on Evidence-Based Practices: Future Directions in an Era of Recovery,' </w:t>
      </w:r>
      <w:r w:rsidRPr="00050094">
        <w:rPr>
          <w:rFonts w:asciiTheme="minorBidi" w:hAnsiTheme="minorBidi"/>
          <w:i/>
          <w:iCs/>
          <w:sz w:val="22"/>
          <w:szCs w:val="22"/>
        </w:rPr>
        <w:t>Community Mental Health Journal</w:t>
      </w:r>
      <w:r w:rsidRPr="00050094">
        <w:rPr>
          <w:rFonts w:asciiTheme="minorBidi" w:hAnsiTheme="minorBidi"/>
          <w:sz w:val="22"/>
          <w:szCs w:val="22"/>
        </w:rPr>
        <w:t xml:space="preserve">, 39(2), pp. 101–114. </w:t>
      </w:r>
      <w:hyperlink w:history="1" r:id="rId9">
        <w:r w:rsidRPr="00050094">
          <w:rPr>
            <w:rStyle w:val="Hyperlink"/>
            <w:rFonts w:asciiTheme="minorBidi" w:hAnsiTheme="minorBidi"/>
            <w:sz w:val="22"/>
            <w:szCs w:val="22"/>
          </w:rPr>
          <w:t>https://doi.org/10.1023/a:1022601619482</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7B66AF8D"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Arya, S. and </w:t>
      </w:r>
      <w:proofErr w:type="spellStart"/>
      <w:r w:rsidRPr="00050094">
        <w:rPr>
          <w:rFonts w:asciiTheme="minorBidi" w:hAnsiTheme="minorBidi"/>
          <w:sz w:val="22"/>
          <w:szCs w:val="22"/>
        </w:rPr>
        <w:t>Rentala</w:t>
      </w:r>
      <w:proofErr w:type="spellEnd"/>
      <w:r w:rsidRPr="00050094">
        <w:rPr>
          <w:rFonts w:asciiTheme="minorBidi" w:hAnsiTheme="minorBidi"/>
          <w:sz w:val="22"/>
          <w:szCs w:val="22"/>
        </w:rPr>
        <w:t xml:space="preserve">, S., 2024. Effectiveness Of </w:t>
      </w:r>
      <w:proofErr w:type="gramStart"/>
      <w:r w:rsidRPr="00050094">
        <w:rPr>
          <w:rFonts w:asciiTheme="minorBidi" w:hAnsiTheme="minorBidi"/>
          <w:sz w:val="22"/>
          <w:szCs w:val="22"/>
        </w:rPr>
        <w:t>A</w:t>
      </w:r>
      <w:proofErr w:type="gramEnd"/>
      <w:r w:rsidRPr="00050094">
        <w:rPr>
          <w:rFonts w:asciiTheme="minorBidi" w:hAnsiTheme="minorBidi"/>
          <w:sz w:val="22"/>
          <w:szCs w:val="22"/>
        </w:rPr>
        <w:t xml:space="preserve"> Recovery Oriented Program </w:t>
      </w:r>
      <w:proofErr w:type="gramStart"/>
      <w:r w:rsidRPr="00050094">
        <w:rPr>
          <w:rFonts w:asciiTheme="minorBidi" w:hAnsiTheme="minorBidi"/>
          <w:sz w:val="22"/>
          <w:szCs w:val="22"/>
        </w:rPr>
        <w:t>On</w:t>
      </w:r>
      <w:proofErr w:type="gramEnd"/>
      <w:r w:rsidRPr="00050094">
        <w:rPr>
          <w:rFonts w:asciiTheme="minorBidi" w:hAnsiTheme="minorBidi"/>
          <w:sz w:val="22"/>
          <w:szCs w:val="22"/>
        </w:rPr>
        <w:t xml:space="preserve"> Hope, Mental-Wellbeing, And Recovery Process Among Severe Mental Ill Patients. </w:t>
      </w:r>
      <w:r w:rsidRPr="00050094">
        <w:rPr>
          <w:rFonts w:asciiTheme="minorBidi" w:hAnsiTheme="minorBidi"/>
          <w:i/>
          <w:iCs/>
          <w:sz w:val="22"/>
          <w:szCs w:val="22"/>
        </w:rPr>
        <w:t>American Journal of Psychiatric Rehabilitation</w:t>
      </w:r>
      <w:r w:rsidRPr="00050094">
        <w:rPr>
          <w:rFonts w:asciiTheme="minorBidi" w:hAnsiTheme="minorBidi"/>
          <w:sz w:val="22"/>
          <w:szCs w:val="22"/>
        </w:rPr>
        <w:t>, </w:t>
      </w:r>
      <w:r w:rsidRPr="00050094">
        <w:rPr>
          <w:rFonts w:asciiTheme="minorBidi" w:hAnsiTheme="minorBidi"/>
          <w:i/>
          <w:iCs/>
          <w:sz w:val="22"/>
          <w:szCs w:val="22"/>
        </w:rPr>
        <w:t>27</w:t>
      </w:r>
      <w:r w:rsidRPr="00050094">
        <w:rPr>
          <w:rFonts w:asciiTheme="minorBidi" w:hAnsiTheme="minorBidi"/>
          <w:sz w:val="22"/>
          <w:szCs w:val="22"/>
        </w:rPr>
        <w:t>(1), pp.1-17.</w:t>
      </w:r>
    </w:p>
    <w:p w:rsidRPr="00050094" w:rsidR="00050094" w:rsidP="003502E9" w:rsidRDefault="00050094" w14:paraId="2D69A3CB" w14:textId="05EB7A40">
      <w:pPr>
        <w:spacing w:line="360" w:lineRule="auto"/>
        <w:ind w:left="720" w:hanging="360"/>
        <w:jc w:val="both"/>
        <w:rPr>
          <w:rFonts w:asciiTheme="minorBidi" w:hAnsiTheme="minorBidi"/>
          <w:sz w:val="22"/>
          <w:szCs w:val="22"/>
        </w:rPr>
      </w:pPr>
      <w:r w:rsidRPr="00050094">
        <w:rPr>
          <w:rFonts w:asciiTheme="minorBidi" w:hAnsiTheme="minorBidi"/>
          <w:sz w:val="22"/>
          <w:szCs w:val="22"/>
        </w:rPr>
        <w:t>Bacon, G., Sweeney, A., Batchelor, R., Grant, C., Mantovani, N., Peter, S., Sin, J. and Lever Taylor, B., 2023. At the edge of care: A systematic review and thematic synthesis of parent and practitioner views and experiences of support for parents with mental health needs and children’s social service involvement. </w:t>
      </w:r>
      <w:r w:rsidRPr="00050094">
        <w:rPr>
          <w:rFonts w:asciiTheme="minorBidi" w:hAnsiTheme="minorBidi"/>
          <w:i/>
          <w:iCs/>
          <w:sz w:val="22"/>
          <w:szCs w:val="22"/>
        </w:rPr>
        <w:t>Health &amp; Social Care in the Community</w:t>
      </w:r>
      <w:r w:rsidRPr="00050094">
        <w:rPr>
          <w:rFonts w:asciiTheme="minorBidi" w:hAnsiTheme="minorBidi"/>
          <w:sz w:val="22"/>
          <w:szCs w:val="22"/>
        </w:rPr>
        <w:t>, </w:t>
      </w:r>
      <w:r w:rsidRPr="00050094">
        <w:rPr>
          <w:rFonts w:asciiTheme="minorBidi" w:hAnsiTheme="minorBidi"/>
          <w:i/>
          <w:iCs/>
          <w:sz w:val="22"/>
          <w:szCs w:val="22"/>
        </w:rPr>
        <w:t>2023</w:t>
      </w:r>
      <w:r w:rsidRPr="00050094">
        <w:rPr>
          <w:rFonts w:asciiTheme="minorBidi" w:hAnsiTheme="minorBidi"/>
          <w:sz w:val="22"/>
          <w:szCs w:val="22"/>
        </w:rPr>
        <w:t>(1), p.6953134.</w:t>
      </w:r>
      <w:r w:rsidRPr="00050094">
        <w:rPr>
          <w:rFonts w:asciiTheme="minorBidi" w:hAnsiTheme="minorBidi"/>
          <w:sz w:val="22"/>
          <w:szCs w:val="22"/>
        </w:rPr>
        <w:t xml:space="preserve"> </w:t>
      </w:r>
    </w:p>
    <w:p w:rsidRPr="00050094" w:rsidR="00050094" w:rsidP="003502E9" w:rsidRDefault="00050094" w14:paraId="48BD680E" w14:textId="77777777">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Balenzano</w:t>
      </w:r>
      <w:proofErr w:type="spellEnd"/>
      <w:r w:rsidRPr="00050094">
        <w:rPr>
          <w:rFonts w:asciiTheme="minorBidi" w:hAnsiTheme="minorBidi"/>
          <w:sz w:val="22"/>
          <w:szCs w:val="22"/>
        </w:rPr>
        <w:t>, C. and Moro, G., 2021. Mental illness and social exclusion: An evaluation of recovery-oriented rehabilitation programme. </w:t>
      </w:r>
      <w:r w:rsidRPr="00050094">
        <w:rPr>
          <w:rFonts w:asciiTheme="minorBidi" w:hAnsiTheme="minorBidi"/>
          <w:i/>
          <w:iCs/>
          <w:sz w:val="22"/>
          <w:szCs w:val="22"/>
        </w:rPr>
        <w:t>Relational Social Work</w:t>
      </w:r>
      <w:r w:rsidRPr="00050094">
        <w:rPr>
          <w:rFonts w:asciiTheme="minorBidi" w:hAnsiTheme="minorBidi"/>
          <w:sz w:val="22"/>
          <w:szCs w:val="22"/>
        </w:rPr>
        <w:t>, </w:t>
      </w:r>
      <w:r w:rsidRPr="00050094">
        <w:rPr>
          <w:rFonts w:asciiTheme="minorBidi" w:hAnsiTheme="minorBidi"/>
          <w:i/>
          <w:iCs/>
          <w:sz w:val="22"/>
          <w:szCs w:val="22"/>
        </w:rPr>
        <w:t>5</w:t>
      </w:r>
      <w:r w:rsidRPr="00050094">
        <w:rPr>
          <w:rFonts w:asciiTheme="minorBidi" w:hAnsiTheme="minorBidi"/>
          <w:sz w:val="22"/>
          <w:szCs w:val="22"/>
        </w:rPr>
        <w:t>(1), pp.11-33.</w:t>
      </w:r>
    </w:p>
    <w:p w:rsidRPr="00050094" w:rsidR="00050094" w:rsidP="003502E9" w:rsidRDefault="00050094" w14:paraId="254DBB9A" w14:textId="695CD4B5">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Baxter, S. </w:t>
      </w:r>
      <w:r w:rsidRPr="00050094">
        <w:rPr>
          <w:rFonts w:asciiTheme="minorBidi" w:hAnsiTheme="minorBidi"/>
          <w:i/>
          <w:iCs/>
          <w:sz w:val="22"/>
          <w:szCs w:val="22"/>
        </w:rPr>
        <w:t>et al.</w:t>
      </w:r>
      <w:r w:rsidRPr="00050094">
        <w:rPr>
          <w:rFonts w:asciiTheme="minorBidi" w:hAnsiTheme="minorBidi"/>
          <w:sz w:val="22"/>
          <w:szCs w:val="22"/>
        </w:rPr>
        <w:t xml:space="preserve"> (2018) 'The effects of integrated care: a systematic review of UK and international evidence,' </w:t>
      </w:r>
      <w:r w:rsidRPr="00050094">
        <w:rPr>
          <w:rFonts w:asciiTheme="minorBidi" w:hAnsiTheme="minorBidi"/>
          <w:i/>
          <w:iCs/>
          <w:sz w:val="22"/>
          <w:szCs w:val="22"/>
        </w:rPr>
        <w:t>BMC Health Services Research</w:t>
      </w:r>
      <w:r w:rsidRPr="00050094">
        <w:rPr>
          <w:rFonts w:asciiTheme="minorBidi" w:hAnsiTheme="minorBidi"/>
          <w:sz w:val="22"/>
          <w:szCs w:val="22"/>
        </w:rPr>
        <w:t xml:space="preserve">, 18(1), p. 350. </w:t>
      </w:r>
      <w:hyperlink w:history="1" r:id="rId10">
        <w:r w:rsidRPr="00050094">
          <w:rPr>
            <w:rStyle w:val="Hyperlink"/>
            <w:rFonts w:asciiTheme="minorBidi" w:hAnsiTheme="minorBidi"/>
            <w:sz w:val="22"/>
            <w:szCs w:val="22"/>
          </w:rPr>
          <w:t>https://doi.org/10.1186/s12913-018-3161-3</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3222C69B"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Berzins, K., Baker, J., Louch, G. and Albutt, A., 2020. A qualitative exploration of mental health service user and carer perspectives on safety issues in UK mental health services. </w:t>
      </w:r>
      <w:r w:rsidRPr="00050094">
        <w:rPr>
          <w:rFonts w:asciiTheme="minorBidi" w:hAnsiTheme="minorBidi"/>
          <w:i/>
          <w:iCs/>
          <w:sz w:val="22"/>
          <w:szCs w:val="22"/>
        </w:rPr>
        <w:t>Health Expectations</w:t>
      </w:r>
      <w:r w:rsidRPr="00050094">
        <w:rPr>
          <w:rFonts w:asciiTheme="minorBidi" w:hAnsiTheme="minorBidi"/>
          <w:sz w:val="22"/>
          <w:szCs w:val="22"/>
        </w:rPr>
        <w:t>, </w:t>
      </w:r>
      <w:r w:rsidRPr="00050094">
        <w:rPr>
          <w:rFonts w:asciiTheme="minorBidi" w:hAnsiTheme="minorBidi"/>
          <w:i/>
          <w:iCs/>
          <w:sz w:val="22"/>
          <w:szCs w:val="22"/>
        </w:rPr>
        <w:t>23</w:t>
      </w:r>
      <w:r w:rsidRPr="00050094">
        <w:rPr>
          <w:rFonts w:asciiTheme="minorBidi" w:hAnsiTheme="minorBidi"/>
          <w:sz w:val="22"/>
          <w:szCs w:val="22"/>
        </w:rPr>
        <w:t>(3), pp.549-561.</w:t>
      </w:r>
    </w:p>
    <w:p w:rsidRPr="00050094" w:rsidR="00050094" w:rsidP="003502E9" w:rsidRDefault="00050094" w14:paraId="7B2A02F8" w14:textId="4B9A512E">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Bjørlykhaug, K.I. </w:t>
      </w:r>
      <w:r w:rsidRPr="00050094">
        <w:rPr>
          <w:rFonts w:asciiTheme="minorBidi" w:hAnsiTheme="minorBidi"/>
          <w:i/>
          <w:iCs/>
          <w:sz w:val="22"/>
          <w:szCs w:val="22"/>
        </w:rPr>
        <w:t>et al.</w:t>
      </w:r>
      <w:r w:rsidRPr="00050094">
        <w:rPr>
          <w:rFonts w:asciiTheme="minorBidi" w:hAnsiTheme="minorBidi"/>
          <w:sz w:val="22"/>
          <w:szCs w:val="22"/>
        </w:rPr>
        <w:t xml:space="preserve"> (2021) 'Social support and recovery from mental health problems: a scoping review,' </w:t>
      </w:r>
      <w:r w:rsidRPr="00050094">
        <w:rPr>
          <w:rFonts w:asciiTheme="minorBidi" w:hAnsiTheme="minorBidi"/>
          <w:i/>
          <w:iCs/>
          <w:sz w:val="22"/>
          <w:szCs w:val="22"/>
        </w:rPr>
        <w:t>Nordic Social Work Research</w:t>
      </w:r>
      <w:r w:rsidRPr="00050094">
        <w:rPr>
          <w:rFonts w:asciiTheme="minorBidi" w:hAnsiTheme="minorBidi"/>
          <w:sz w:val="22"/>
          <w:szCs w:val="22"/>
        </w:rPr>
        <w:t xml:space="preserve">, 12(5), pp. 666–697. </w:t>
      </w:r>
      <w:hyperlink w:history="1" r:id="rId11">
        <w:r w:rsidRPr="00050094">
          <w:rPr>
            <w:rStyle w:val="Hyperlink"/>
            <w:rFonts w:asciiTheme="minorBidi" w:hAnsiTheme="minorBidi"/>
            <w:sz w:val="22"/>
            <w:szCs w:val="22"/>
          </w:rPr>
          <w:t>https://doi.org/10.1080/2156857x.2020.1868553</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5C0DC0F" w14:textId="4DC8996E">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Bjørlykhaug, K.I., Karlsson, B., </w:t>
      </w:r>
      <w:proofErr w:type="spellStart"/>
      <w:r w:rsidRPr="00050094">
        <w:rPr>
          <w:rFonts w:asciiTheme="minorBidi" w:hAnsiTheme="minorBidi"/>
          <w:sz w:val="22"/>
          <w:szCs w:val="22"/>
        </w:rPr>
        <w:t>Hesook</w:t>
      </w:r>
      <w:proofErr w:type="spellEnd"/>
      <w:r w:rsidRPr="00050094">
        <w:rPr>
          <w:rFonts w:asciiTheme="minorBidi" w:hAnsiTheme="minorBidi"/>
          <w:sz w:val="22"/>
          <w:szCs w:val="22"/>
        </w:rPr>
        <w:t>, S.K. and Kleppe, L.C., 2022. Social support and recovery from mental health problems: A scoping review. </w:t>
      </w:r>
      <w:r w:rsidRPr="00050094">
        <w:rPr>
          <w:rFonts w:asciiTheme="minorBidi" w:hAnsiTheme="minorBidi"/>
          <w:i/>
          <w:iCs/>
          <w:sz w:val="22"/>
          <w:szCs w:val="22"/>
        </w:rPr>
        <w:t>Nordic social work research</w:t>
      </w:r>
      <w:r w:rsidRPr="00050094">
        <w:rPr>
          <w:rFonts w:asciiTheme="minorBidi" w:hAnsiTheme="minorBidi"/>
          <w:sz w:val="22"/>
          <w:szCs w:val="22"/>
        </w:rPr>
        <w:t>, </w:t>
      </w:r>
      <w:r w:rsidRPr="00050094">
        <w:rPr>
          <w:rFonts w:asciiTheme="minorBidi" w:hAnsiTheme="minorBidi"/>
          <w:i/>
          <w:iCs/>
          <w:sz w:val="22"/>
          <w:szCs w:val="22"/>
        </w:rPr>
        <w:t>12</w:t>
      </w:r>
      <w:r w:rsidRPr="00050094">
        <w:rPr>
          <w:rFonts w:asciiTheme="minorBidi" w:hAnsiTheme="minorBidi"/>
          <w:sz w:val="22"/>
          <w:szCs w:val="22"/>
        </w:rPr>
        <w:t>(5), pp.666-697.</w:t>
      </w:r>
      <w:r w:rsidRPr="00050094">
        <w:rPr>
          <w:rFonts w:asciiTheme="minorBidi" w:hAnsiTheme="minorBidi"/>
          <w:sz w:val="22"/>
          <w:szCs w:val="22"/>
        </w:rPr>
        <w:t xml:space="preserve"> </w:t>
      </w:r>
    </w:p>
    <w:p w:rsidRPr="00050094" w:rsidR="00050094" w:rsidP="003502E9" w:rsidRDefault="00050094" w14:paraId="22C6D796" w14:textId="58A93EEF">
      <w:pPr>
        <w:spacing w:line="360" w:lineRule="auto"/>
        <w:ind w:left="720" w:hanging="360"/>
        <w:jc w:val="both"/>
        <w:rPr>
          <w:rFonts w:asciiTheme="minorBidi" w:hAnsiTheme="minorBidi"/>
          <w:sz w:val="22"/>
          <w:szCs w:val="22"/>
        </w:rPr>
      </w:pPr>
      <w:r w:rsidRPr="00050094">
        <w:rPr>
          <w:rFonts w:asciiTheme="minorBidi" w:hAnsiTheme="minorBidi"/>
          <w:i/>
          <w:iCs/>
          <w:sz w:val="22"/>
          <w:szCs w:val="22"/>
        </w:rPr>
        <w:lastRenderedPageBreak/>
        <w:t>Bowen, M. (1978). Family therapy in clinical practice. Northvale, NJ Jason Aronson, Inc. - References - Scientific Research Publishing</w:t>
      </w:r>
      <w:r w:rsidRPr="00050094">
        <w:rPr>
          <w:rFonts w:asciiTheme="minorBidi" w:hAnsiTheme="minorBidi"/>
          <w:sz w:val="22"/>
          <w:szCs w:val="22"/>
        </w:rPr>
        <w:t xml:space="preserve"> (no date). </w:t>
      </w:r>
      <w:hyperlink w:history="1" r:id="rId12">
        <w:r w:rsidRPr="00050094">
          <w:rPr>
            <w:rStyle w:val="Hyperlink"/>
            <w:rFonts w:asciiTheme="minorBidi" w:hAnsiTheme="minorBidi"/>
            <w:sz w:val="22"/>
            <w:szCs w:val="22"/>
          </w:rPr>
          <w:t>https://www.scirp.org/reference/referencespapers?referenceid=741527</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41494872"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Cameron, S.L., Tchernegovski, P. and Maybery, D., 2023. Mental health service users’ experiences and perspectives of family involvement in their care: A systematic literature review. </w:t>
      </w:r>
      <w:r w:rsidRPr="00050094">
        <w:rPr>
          <w:rFonts w:asciiTheme="minorBidi" w:hAnsiTheme="minorBidi"/>
          <w:i/>
          <w:iCs/>
          <w:sz w:val="22"/>
          <w:szCs w:val="22"/>
        </w:rPr>
        <w:t>Journal of Mental Health</w:t>
      </w:r>
      <w:r w:rsidRPr="00050094">
        <w:rPr>
          <w:rFonts w:asciiTheme="minorBidi" w:hAnsiTheme="minorBidi"/>
          <w:sz w:val="22"/>
          <w:szCs w:val="22"/>
        </w:rPr>
        <w:t>, </w:t>
      </w:r>
      <w:r w:rsidRPr="00050094">
        <w:rPr>
          <w:rFonts w:asciiTheme="minorBidi" w:hAnsiTheme="minorBidi"/>
          <w:i/>
          <w:iCs/>
          <w:sz w:val="22"/>
          <w:szCs w:val="22"/>
        </w:rPr>
        <w:t>32</w:t>
      </w:r>
      <w:r w:rsidRPr="00050094">
        <w:rPr>
          <w:rFonts w:asciiTheme="minorBidi" w:hAnsiTheme="minorBidi"/>
          <w:sz w:val="22"/>
          <w:szCs w:val="22"/>
        </w:rPr>
        <w:t>(3), pp.699-715.</w:t>
      </w:r>
    </w:p>
    <w:p w:rsidRPr="00050094" w:rsidR="00050094" w:rsidP="003502E9" w:rsidRDefault="00050094" w14:paraId="336D04AC" w14:textId="2290BA25">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Camilleri, R. and Scerri, C.S. (2025) 'Beyond the Surface: An Exploration of Family Secrets as Entry Points into Complex Family Dynamics,' </w:t>
      </w:r>
      <w:r w:rsidRPr="00050094">
        <w:rPr>
          <w:rFonts w:asciiTheme="minorBidi" w:hAnsiTheme="minorBidi"/>
          <w:i/>
          <w:iCs/>
          <w:sz w:val="22"/>
          <w:szCs w:val="22"/>
        </w:rPr>
        <w:t>Contemporary Family Therapy</w:t>
      </w:r>
      <w:r w:rsidRPr="00050094">
        <w:rPr>
          <w:rFonts w:asciiTheme="minorBidi" w:hAnsiTheme="minorBidi"/>
          <w:sz w:val="22"/>
          <w:szCs w:val="22"/>
        </w:rPr>
        <w:t xml:space="preserve"> [Preprint]. </w:t>
      </w:r>
      <w:hyperlink w:history="1" r:id="rId13">
        <w:r w:rsidRPr="00050094">
          <w:rPr>
            <w:rStyle w:val="Hyperlink"/>
            <w:rFonts w:asciiTheme="minorBidi" w:hAnsiTheme="minorBidi"/>
            <w:sz w:val="22"/>
            <w:szCs w:val="22"/>
          </w:rPr>
          <w:t>https://doi.org/10.1007/s10591-025-09768-6</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78590A5B"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Carbonell, A., Navarro</w:t>
      </w:r>
      <w:r w:rsidRPr="00050094">
        <w:rPr>
          <w:rFonts w:ascii="Cambria Math" w:hAnsi="Cambria Math" w:cs="Cambria Math"/>
          <w:sz w:val="22"/>
          <w:szCs w:val="22"/>
        </w:rPr>
        <w:t>‐</w:t>
      </w:r>
      <w:r w:rsidRPr="00050094">
        <w:rPr>
          <w:rFonts w:asciiTheme="minorBidi" w:hAnsiTheme="minorBidi"/>
          <w:sz w:val="22"/>
          <w:szCs w:val="22"/>
        </w:rPr>
        <w:t>P</w:t>
      </w:r>
      <w:r w:rsidRPr="00050094">
        <w:rPr>
          <w:rFonts w:ascii="Arial" w:hAnsi="Arial" w:cs="Arial"/>
          <w:sz w:val="22"/>
          <w:szCs w:val="22"/>
        </w:rPr>
        <w:t>é</w:t>
      </w:r>
      <w:r w:rsidRPr="00050094">
        <w:rPr>
          <w:rFonts w:asciiTheme="minorBidi" w:hAnsiTheme="minorBidi"/>
          <w:sz w:val="22"/>
          <w:szCs w:val="22"/>
        </w:rPr>
        <w:t>rez, J.J. and Mestre, M.V., 2020. Challenges and barriers in mental healthcare systems and their impact on the family: A systematic integrative review.</w:t>
      </w:r>
      <w:r w:rsidRPr="00050094">
        <w:rPr>
          <w:rFonts w:ascii="Arial" w:hAnsi="Arial" w:cs="Arial"/>
          <w:sz w:val="22"/>
          <w:szCs w:val="22"/>
        </w:rPr>
        <w:t> </w:t>
      </w:r>
      <w:r w:rsidRPr="00050094">
        <w:rPr>
          <w:rFonts w:asciiTheme="minorBidi" w:hAnsiTheme="minorBidi"/>
          <w:i/>
          <w:iCs/>
          <w:sz w:val="22"/>
          <w:szCs w:val="22"/>
        </w:rPr>
        <w:t>Health &amp; social care in the community</w:t>
      </w:r>
      <w:r w:rsidRPr="00050094">
        <w:rPr>
          <w:rFonts w:asciiTheme="minorBidi" w:hAnsiTheme="minorBidi"/>
          <w:sz w:val="22"/>
          <w:szCs w:val="22"/>
        </w:rPr>
        <w:t>, </w:t>
      </w:r>
      <w:r w:rsidRPr="00050094">
        <w:rPr>
          <w:rFonts w:asciiTheme="minorBidi" w:hAnsiTheme="minorBidi"/>
          <w:i/>
          <w:iCs/>
          <w:sz w:val="22"/>
          <w:szCs w:val="22"/>
        </w:rPr>
        <w:t>28</w:t>
      </w:r>
      <w:r w:rsidRPr="00050094">
        <w:rPr>
          <w:rFonts w:asciiTheme="minorBidi" w:hAnsiTheme="minorBidi"/>
          <w:sz w:val="22"/>
          <w:szCs w:val="22"/>
        </w:rPr>
        <w:t>(5), pp.1366-1379.</w:t>
      </w:r>
    </w:p>
    <w:p w:rsidRPr="00050094" w:rsidR="00050094" w:rsidP="003502E9" w:rsidRDefault="00050094" w14:paraId="0AEF3707" w14:textId="405F22BD">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Chatwiriyaphong</w:t>
      </w:r>
      <w:proofErr w:type="spellEnd"/>
      <w:r w:rsidRPr="00050094">
        <w:rPr>
          <w:rFonts w:asciiTheme="minorBidi" w:hAnsiTheme="minorBidi"/>
          <w:sz w:val="22"/>
          <w:szCs w:val="22"/>
        </w:rPr>
        <w:t>, R., Moxham, L., Bosworth, R. and Kinghorn, G. (2023). The experience of healthcare professionals implementing recovery</w:t>
      </w:r>
      <w:r w:rsidRPr="00050094">
        <w:rPr>
          <w:rFonts w:ascii="Cambria Math" w:hAnsi="Cambria Math" w:cs="Cambria Math"/>
          <w:sz w:val="22"/>
          <w:szCs w:val="22"/>
        </w:rPr>
        <w:t>‐</w:t>
      </w:r>
      <w:r w:rsidRPr="00050094">
        <w:rPr>
          <w:rFonts w:asciiTheme="minorBidi" w:hAnsiTheme="minorBidi"/>
          <w:sz w:val="22"/>
          <w:szCs w:val="22"/>
        </w:rPr>
        <w:t xml:space="preserve">oriented practice in mental health inpatient units: A qualitative evidence synthesis. </w:t>
      </w:r>
      <w:r w:rsidRPr="00050094">
        <w:rPr>
          <w:rFonts w:asciiTheme="minorBidi" w:hAnsiTheme="minorBidi"/>
          <w:i/>
          <w:iCs/>
          <w:sz w:val="22"/>
          <w:szCs w:val="22"/>
        </w:rPr>
        <w:t>Journal of Psychiatric and Mental Health Nursing</w:t>
      </w:r>
      <w:r w:rsidRPr="00050094">
        <w:rPr>
          <w:rFonts w:asciiTheme="minorBidi" w:hAnsiTheme="minorBidi"/>
          <w:sz w:val="22"/>
          <w:szCs w:val="22"/>
        </w:rPr>
        <w:t xml:space="preserve">, [online] 31(3), pp.287–302. doi: </w:t>
      </w:r>
      <w:hyperlink w:history="1" r:id="rId14">
        <w:r w:rsidRPr="00050094">
          <w:rPr>
            <w:rStyle w:val="Hyperlink"/>
            <w:rFonts w:asciiTheme="minorBidi" w:hAnsiTheme="minorBidi"/>
            <w:sz w:val="22"/>
            <w:szCs w:val="22"/>
          </w:rPr>
          <w:t>https://doi.org/10.1111/jpm.12985</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61EC5A9" w14:textId="556A06D1">
      <w:pPr>
        <w:spacing w:line="360" w:lineRule="auto"/>
        <w:ind w:left="720" w:hanging="360"/>
        <w:jc w:val="both"/>
        <w:rPr>
          <w:rFonts w:asciiTheme="minorBidi" w:hAnsiTheme="minorBidi"/>
          <w:sz w:val="22"/>
          <w:szCs w:val="22"/>
        </w:rPr>
      </w:pPr>
      <w:r w:rsidRPr="00050094">
        <w:rPr>
          <w:rFonts w:asciiTheme="minorBidi" w:hAnsiTheme="minorBidi"/>
          <w:i/>
          <w:iCs/>
          <w:sz w:val="22"/>
          <w:szCs w:val="22"/>
        </w:rPr>
        <w:t>Cohen, S. and Wills, T.A. (1985) Stress, Social Support, and the Buffering Hypothesis. Psychological Bulletin, 98, 310-357. - References - Scientific Research Publishing</w:t>
      </w:r>
      <w:r w:rsidRPr="00050094">
        <w:rPr>
          <w:rFonts w:asciiTheme="minorBidi" w:hAnsiTheme="minorBidi"/>
          <w:sz w:val="22"/>
          <w:szCs w:val="22"/>
        </w:rPr>
        <w:t xml:space="preserve"> (no date). </w:t>
      </w:r>
      <w:hyperlink w:history="1" r:id="rId15">
        <w:r w:rsidRPr="00050094">
          <w:rPr>
            <w:rStyle w:val="Hyperlink"/>
            <w:rFonts w:asciiTheme="minorBidi" w:hAnsiTheme="minorBidi"/>
            <w:sz w:val="22"/>
            <w:szCs w:val="22"/>
          </w:rPr>
          <w:t>https://www.scirp.org/reference/referencespapers?referenceid=1341404</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3591AE20" w14:textId="313C9287">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Dallinger</w:t>
      </w:r>
      <w:proofErr w:type="spellEnd"/>
      <w:r w:rsidRPr="00050094">
        <w:rPr>
          <w:rFonts w:asciiTheme="minorBidi" w:hAnsiTheme="minorBidi"/>
          <w:sz w:val="22"/>
          <w:szCs w:val="22"/>
        </w:rPr>
        <w:t xml:space="preserve">, V.C. </w:t>
      </w:r>
      <w:r w:rsidRPr="00050094">
        <w:rPr>
          <w:rFonts w:asciiTheme="minorBidi" w:hAnsiTheme="minorBidi"/>
          <w:i/>
          <w:iCs/>
          <w:sz w:val="22"/>
          <w:szCs w:val="22"/>
        </w:rPr>
        <w:t>et al.</w:t>
      </w:r>
      <w:r w:rsidRPr="00050094">
        <w:rPr>
          <w:rFonts w:asciiTheme="minorBidi" w:hAnsiTheme="minorBidi"/>
          <w:sz w:val="22"/>
          <w:szCs w:val="22"/>
        </w:rPr>
        <w:t xml:space="preserve"> (2023) 'Conceptualisation of Personal Recovery and Recovery-Oriented Care for Youth: Multisystemic Perspectives,' </w:t>
      </w:r>
      <w:r w:rsidRPr="00050094">
        <w:rPr>
          <w:rFonts w:asciiTheme="minorBidi" w:hAnsiTheme="minorBidi"/>
          <w:i/>
          <w:iCs/>
          <w:sz w:val="22"/>
          <w:szCs w:val="22"/>
        </w:rPr>
        <w:t>International Journal of Mental Health and Addiction</w:t>
      </w:r>
      <w:r w:rsidRPr="00050094">
        <w:rPr>
          <w:rFonts w:asciiTheme="minorBidi" w:hAnsiTheme="minorBidi"/>
          <w:sz w:val="22"/>
          <w:szCs w:val="22"/>
        </w:rPr>
        <w:t xml:space="preserve">, 23(2), pp. 1308–1332. </w:t>
      </w:r>
      <w:hyperlink w:history="1" r:id="rId16">
        <w:r w:rsidRPr="00050094">
          <w:rPr>
            <w:rStyle w:val="Hyperlink"/>
            <w:rFonts w:asciiTheme="minorBidi" w:hAnsiTheme="minorBidi"/>
            <w:sz w:val="22"/>
            <w:szCs w:val="22"/>
          </w:rPr>
          <w:t>https://doi.org/10.1007/s11469-023-01170-3</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30D1D146"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Davidson, L., Rowe, M., DiLeo, P., Bellamy, C. and Delphin-</w:t>
      </w:r>
      <w:proofErr w:type="spellStart"/>
      <w:r w:rsidRPr="00050094">
        <w:rPr>
          <w:rFonts w:asciiTheme="minorBidi" w:hAnsiTheme="minorBidi"/>
          <w:sz w:val="22"/>
          <w:szCs w:val="22"/>
        </w:rPr>
        <w:t>Rittmon</w:t>
      </w:r>
      <w:proofErr w:type="spellEnd"/>
      <w:r w:rsidRPr="00050094">
        <w:rPr>
          <w:rFonts w:asciiTheme="minorBidi" w:hAnsiTheme="minorBidi"/>
          <w:sz w:val="22"/>
          <w:szCs w:val="22"/>
        </w:rPr>
        <w:t>, M., 2021. Recovery-oriented systems of care: a perspective on the past, present, and future. </w:t>
      </w:r>
      <w:r w:rsidRPr="00050094">
        <w:rPr>
          <w:rFonts w:asciiTheme="minorBidi" w:hAnsiTheme="minorBidi"/>
          <w:i/>
          <w:iCs/>
          <w:sz w:val="22"/>
          <w:szCs w:val="22"/>
        </w:rPr>
        <w:t>Alcohol Research: Current Reviews</w:t>
      </w:r>
      <w:r w:rsidRPr="00050094">
        <w:rPr>
          <w:rFonts w:asciiTheme="minorBidi" w:hAnsiTheme="minorBidi"/>
          <w:sz w:val="22"/>
          <w:szCs w:val="22"/>
        </w:rPr>
        <w:t>, </w:t>
      </w:r>
      <w:r w:rsidRPr="00050094">
        <w:rPr>
          <w:rFonts w:asciiTheme="minorBidi" w:hAnsiTheme="minorBidi"/>
          <w:i/>
          <w:iCs/>
          <w:sz w:val="22"/>
          <w:szCs w:val="22"/>
        </w:rPr>
        <w:t>41</w:t>
      </w:r>
      <w:r w:rsidRPr="00050094">
        <w:rPr>
          <w:rFonts w:asciiTheme="minorBidi" w:hAnsiTheme="minorBidi"/>
          <w:sz w:val="22"/>
          <w:szCs w:val="22"/>
        </w:rPr>
        <w:t>(1), p.09.</w:t>
      </w:r>
    </w:p>
    <w:p w:rsidRPr="00050094" w:rsidR="00050094" w:rsidP="003502E9" w:rsidRDefault="00050094" w14:paraId="7C56477D" w14:textId="029CA1B1">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Davies, K. </w:t>
      </w:r>
      <w:r w:rsidRPr="00050094">
        <w:rPr>
          <w:rFonts w:asciiTheme="minorBidi" w:hAnsiTheme="minorBidi"/>
          <w:i/>
          <w:iCs/>
          <w:sz w:val="22"/>
          <w:szCs w:val="22"/>
        </w:rPr>
        <w:t>et al.</w:t>
      </w:r>
      <w:r w:rsidRPr="00050094">
        <w:rPr>
          <w:rFonts w:asciiTheme="minorBidi" w:hAnsiTheme="minorBidi"/>
          <w:sz w:val="22"/>
          <w:szCs w:val="22"/>
        </w:rPr>
        <w:t xml:space="preserve"> (2023) 'Family inclusion in child protection: Knowledge, power and resistance,' </w:t>
      </w:r>
      <w:r w:rsidRPr="00050094">
        <w:rPr>
          <w:rFonts w:asciiTheme="minorBidi" w:hAnsiTheme="minorBidi"/>
          <w:i/>
          <w:iCs/>
          <w:sz w:val="22"/>
          <w:szCs w:val="22"/>
        </w:rPr>
        <w:t>Children and Youth Services Review</w:t>
      </w:r>
      <w:r w:rsidRPr="00050094">
        <w:rPr>
          <w:rFonts w:asciiTheme="minorBidi" w:hAnsiTheme="minorBidi"/>
          <w:sz w:val="22"/>
          <w:szCs w:val="22"/>
        </w:rPr>
        <w:t xml:space="preserve">, 147, p. 106860. </w:t>
      </w:r>
      <w:hyperlink w:history="1" r:id="rId17">
        <w:r w:rsidRPr="00050094">
          <w:rPr>
            <w:rStyle w:val="Hyperlink"/>
            <w:rFonts w:asciiTheme="minorBidi" w:hAnsiTheme="minorBidi"/>
            <w:sz w:val="22"/>
            <w:szCs w:val="22"/>
          </w:rPr>
          <w:t>https://doi.org/10.1016/j.childyouth.2023.106860</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501772E"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lastRenderedPageBreak/>
        <w:t>Dell, N.A., Long, C. and Mancini, M.A., 2021. Models of mental health recovery: An overview of systematic reviews and qualitative meta-syntheses. </w:t>
      </w:r>
      <w:r w:rsidRPr="00050094">
        <w:rPr>
          <w:rFonts w:asciiTheme="minorBidi" w:hAnsiTheme="minorBidi"/>
          <w:i/>
          <w:iCs/>
          <w:sz w:val="22"/>
          <w:szCs w:val="22"/>
        </w:rPr>
        <w:t>Psychiatric rehabilitation journal</w:t>
      </w:r>
      <w:r w:rsidRPr="00050094">
        <w:rPr>
          <w:rFonts w:asciiTheme="minorBidi" w:hAnsiTheme="minorBidi"/>
          <w:sz w:val="22"/>
          <w:szCs w:val="22"/>
        </w:rPr>
        <w:t>, </w:t>
      </w:r>
      <w:r w:rsidRPr="00050094">
        <w:rPr>
          <w:rFonts w:asciiTheme="minorBidi" w:hAnsiTheme="minorBidi"/>
          <w:i/>
          <w:iCs/>
          <w:sz w:val="22"/>
          <w:szCs w:val="22"/>
        </w:rPr>
        <w:t>44</w:t>
      </w:r>
      <w:r w:rsidRPr="00050094">
        <w:rPr>
          <w:rFonts w:asciiTheme="minorBidi" w:hAnsiTheme="minorBidi"/>
          <w:sz w:val="22"/>
          <w:szCs w:val="22"/>
        </w:rPr>
        <w:t>(3), p.238.</w:t>
      </w:r>
    </w:p>
    <w:p w:rsidRPr="003502E9" w:rsidR="00050094" w:rsidP="003502E9" w:rsidRDefault="00050094" w14:paraId="7445E16C" w14:textId="05E394BA">
      <w:pPr>
        <w:spacing w:line="360" w:lineRule="auto"/>
        <w:ind w:left="720" w:hanging="360"/>
        <w:jc w:val="both"/>
        <w:rPr>
          <w:rFonts w:asciiTheme="minorBidi" w:hAnsiTheme="minorBidi"/>
          <w:b/>
          <w:bCs/>
          <w:sz w:val="22"/>
          <w:szCs w:val="22"/>
        </w:rPr>
      </w:pPr>
      <w:r w:rsidRPr="00050094">
        <w:rPr>
          <w:rFonts w:asciiTheme="minorBidi" w:hAnsiTheme="minorBidi"/>
          <w:sz w:val="22"/>
          <w:szCs w:val="22"/>
        </w:rPr>
        <w:t>Department of Health and Social Care (2022). </w:t>
      </w:r>
      <w:r w:rsidRPr="00050094">
        <w:rPr>
          <w:rFonts w:asciiTheme="minorBidi" w:hAnsiTheme="minorBidi"/>
          <w:i/>
          <w:iCs/>
          <w:sz w:val="22"/>
          <w:szCs w:val="22"/>
        </w:rPr>
        <w:t>Data saves lives: reshaping health and social care with data</w:t>
      </w:r>
      <w:r w:rsidRPr="00050094">
        <w:rPr>
          <w:rFonts w:asciiTheme="minorBidi" w:hAnsiTheme="minorBidi"/>
          <w:sz w:val="22"/>
          <w:szCs w:val="22"/>
        </w:rPr>
        <w:t xml:space="preserve">. [online] GOV.UK. Available at: </w:t>
      </w:r>
      <w:hyperlink w:history="1" r:id="rId18">
        <w:r w:rsidRPr="003502E9">
          <w:rPr>
            <w:rStyle w:val="Strong"/>
            <w:rFonts w:asciiTheme="minorBidi" w:hAnsiTheme="minorBidi"/>
            <w:b w:val="0"/>
            <w:bCs w:val="0"/>
            <w:sz w:val="22"/>
            <w:szCs w:val="22"/>
          </w:rPr>
          <w:t>https://www.gov.uk/government/publications/data-saves-lives-reshaping-health-and-social-care-with-data/data-saves-lives-reshaping-health-and-social-care-with-data</w:t>
        </w:r>
      </w:hyperlink>
      <w:r w:rsidRPr="003502E9">
        <w:rPr>
          <w:rFonts w:asciiTheme="minorBidi" w:hAnsiTheme="minorBidi"/>
          <w:b/>
          <w:bCs/>
          <w:sz w:val="22"/>
          <w:szCs w:val="22"/>
        </w:rPr>
        <w:t>.</w:t>
      </w:r>
      <w:r w:rsidR="003502E9">
        <w:rPr>
          <w:rFonts w:asciiTheme="minorBidi" w:hAnsiTheme="minorBidi"/>
          <w:b/>
          <w:bCs/>
          <w:sz w:val="22"/>
          <w:szCs w:val="22"/>
        </w:rPr>
        <w:t xml:space="preserve">   </w:t>
      </w:r>
    </w:p>
    <w:p w:rsidRPr="00050094" w:rsidR="00050094" w:rsidP="003502E9" w:rsidRDefault="00050094" w14:paraId="37E5D18A"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Edwards, M., Best, D., Irving, J. and Andersson, C., 2018. Life in recovery: a families’ perspective. </w:t>
      </w:r>
      <w:r w:rsidRPr="00050094">
        <w:rPr>
          <w:rFonts w:asciiTheme="minorBidi" w:hAnsiTheme="minorBidi"/>
          <w:i/>
          <w:iCs/>
          <w:sz w:val="22"/>
          <w:szCs w:val="22"/>
        </w:rPr>
        <w:t>Alcoholism Treatment Quarterly</w:t>
      </w:r>
      <w:r w:rsidRPr="00050094">
        <w:rPr>
          <w:rFonts w:asciiTheme="minorBidi" w:hAnsiTheme="minorBidi"/>
          <w:sz w:val="22"/>
          <w:szCs w:val="22"/>
        </w:rPr>
        <w:t>, </w:t>
      </w:r>
      <w:r w:rsidRPr="00050094">
        <w:rPr>
          <w:rFonts w:asciiTheme="minorBidi" w:hAnsiTheme="minorBidi"/>
          <w:i/>
          <w:iCs/>
          <w:sz w:val="22"/>
          <w:szCs w:val="22"/>
        </w:rPr>
        <w:t>36</w:t>
      </w:r>
      <w:r w:rsidRPr="00050094">
        <w:rPr>
          <w:rFonts w:asciiTheme="minorBidi" w:hAnsiTheme="minorBidi"/>
          <w:sz w:val="22"/>
          <w:szCs w:val="22"/>
        </w:rPr>
        <w:t>(4), pp.437-458.</w:t>
      </w:r>
    </w:p>
    <w:p w:rsidRPr="00050094" w:rsidR="00050094" w:rsidP="003502E9" w:rsidRDefault="00050094" w14:paraId="06A464CB" w14:textId="3AFD9764">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Elger, R.S. </w:t>
      </w:r>
      <w:r w:rsidRPr="00050094">
        <w:rPr>
          <w:rFonts w:asciiTheme="minorBidi" w:hAnsiTheme="minorBidi"/>
          <w:i/>
          <w:iCs/>
          <w:sz w:val="22"/>
          <w:szCs w:val="22"/>
        </w:rPr>
        <w:t>et al.</w:t>
      </w:r>
      <w:r w:rsidRPr="00050094">
        <w:rPr>
          <w:rFonts w:asciiTheme="minorBidi" w:hAnsiTheme="minorBidi"/>
          <w:sz w:val="22"/>
          <w:szCs w:val="22"/>
        </w:rPr>
        <w:t xml:space="preserve"> (2025) 'The role of social support in shaping maternal experiences during the postpartum hospital stay: A qualitative study,' </w:t>
      </w:r>
      <w:r w:rsidRPr="00050094">
        <w:rPr>
          <w:rFonts w:asciiTheme="minorBidi" w:hAnsiTheme="minorBidi"/>
          <w:i/>
          <w:iCs/>
          <w:sz w:val="22"/>
          <w:szCs w:val="22"/>
        </w:rPr>
        <w:t>Women S Health</w:t>
      </w:r>
      <w:r w:rsidRPr="00050094">
        <w:rPr>
          <w:rFonts w:asciiTheme="minorBidi" w:hAnsiTheme="minorBidi"/>
          <w:sz w:val="22"/>
          <w:szCs w:val="22"/>
        </w:rPr>
        <w:t xml:space="preserve">, 21, p. 17455057251385367. </w:t>
      </w:r>
      <w:hyperlink w:history="1" r:id="rId19">
        <w:r w:rsidRPr="00050094">
          <w:rPr>
            <w:rStyle w:val="Hyperlink"/>
            <w:rFonts w:asciiTheme="minorBidi" w:hAnsiTheme="minorBidi"/>
            <w:sz w:val="22"/>
            <w:szCs w:val="22"/>
          </w:rPr>
          <w:t>https://doi.org/10.1177/17455057251385367</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6BBB6210" w14:textId="10683B52">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Handayani</w:t>
      </w:r>
      <w:proofErr w:type="spellEnd"/>
      <w:r w:rsidRPr="00050094">
        <w:rPr>
          <w:rFonts w:asciiTheme="minorBidi" w:hAnsiTheme="minorBidi"/>
          <w:sz w:val="22"/>
          <w:szCs w:val="22"/>
        </w:rPr>
        <w:t xml:space="preserve">, A.A. (2022) 'Family involvement in mental health recovery: Systemic barriers and supportive strategies for enhancing treatment adherence and outcomes,' </w:t>
      </w:r>
      <w:r w:rsidRPr="00050094">
        <w:rPr>
          <w:rFonts w:asciiTheme="minorBidi" w:hAnsiTheme="minorBidi"/>
          <w:i/>
          <w:iCs/>
          <w:sz w:val="22"/>
          <w:szCs w:val="22"/>
        </w:rPr>
        <w:t xml:space="preserve">Jurnal Riset </w:t>
      </w:r>
      <w:proofErr w:type="spellStart"/>
      <w:r w:rsidRPr="00050094">
        <w:rPr>
          <w:rFonts w:asciiTheme="minorBidi" w:hAnsiTheme="minorBidi"/>
          <w:i/>
          <w:iCs/>
          <w:sz w:val="22"/>
          <w:szCs w:val="22"/>
        </w:rPr>
        <w:t>Kualitatif</w:t>
      </w:r>
      <w:proofErr w:type="spellEnd"/>
      <w:r w:rsidRPr="00050094">
        <w:rPr>
          <w:rFonts w:asciiTheme="minorBidi" w:hAnsiTheme="minorBidi"/>
          <w:i/>
          <w:iCs/>
          <w:sz w:val="22"/>
          <w:szCs w:val="22"/>
        </w:rPr>
        <w:t xml:space="preserve"> Dan Promosi Kesehatan</w:t>
      </w:r>
      <w:r w:rsidRPr="00050094">
        <w:rPr>
          <w:rFonts w:asciiTheme="minorBidi" w:hAnsiTheme="minorBidi"/>
          <w:sz w:val="22"/>
          <w:szCs w:val="22"/>
        </w:rPr>
        <w:t xml:space="preserve">, 1(2), pp. 57–71. </w:t>
      </w:r>
      <w:hyperlink w:history="1" r:id="rId20">
        <w:r w:rsidRPr="00050094">
          <w:rPr>
            <w:rStyle w:val="Hyperlink"/>
            <w:rFonts w:asciiTheme="minorBidi" w:hAnsiTheme="minorBidi"/>
            <w:sz w:val="22"/>
            <w:szCs w:val="22"/>
          </w:rPr>
          <w:t>https://doi.org/10.61194/jrkpk.v1i2.656</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0EADE0FF"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Henderson, L., Bain, H., Allan, E. and Kennedy, C., 2021. Integrated health and social care in the community: A critical integrative review of the experiences and well</w:t>
      </w:r>
      <w:r w:rsidRPr="00050094">
        <w:rPr>
          <w:rFonts w:ascii="Cambria Math" w:hAnsi="Cambria Math" w:cs="Cambria Math"/>
          <w:sz w:val="22"/>
          <w:szCs w:val="22"/>
        </w:rPr>
        <w:t>‐</w:t>
      </w:r>
      <w:r w:rsidRPr="00050094">
        <w:rPr>
          <w:rFonts w:asciiTheme="minorBidi" w:hAnsiTheme="minorBidi"/>
          <w:sz w:val="22"/>
          <w:szCs w:val="22"/>
        </w:rPr>
        <w:t>being needs of service users and their families.</w:t>
      </w:r>
      <w:r w:rsidRPr="00050094">
        <w:rPr>
          <w:rFonts w:ascii="Arial" w:hAnsi="Arial" w:cs="Arial"/>
          <w:sz w:val="22"/>
          <w:szCs w:val="22"/>
        </w:rPr>
        <w:t> </w:t>
      </w:r>
      <w:r w:rsidRPr="00050094">
        <w:rPr>
          <w:rFonts w:asciiTheme="minorBidi" w:hAnsiTheme="minorBidi"/>
          <w:i/>
          <w:iCs/>
          <w:sz w:val="22"/>
          <w:szCs w:val="22"/>
        </w:rPr>
        <w:t>Health &amp; social care in the community</w:t>
      </w:r>
      <w:r w:rsidRPr="00050094">
        <w:rPr>
          <w:rFonts w:asciiTheme="minorBidi" w:hAnsiTheme="minorBidi"/>
          <w:sz w:val="22"/>
          <w:szCs w:val="22"/>
        </w:rPr>
        <w:t>, </w:t>
      </w:r>
      <w:r w:rsidRPr="00050094">
        <w:rPr>
          <w:rFonts w:asciiTheme="minorBidi" w:hAnsiTheme="minorBidi"/>
          <w:i/>
          <w:iCs/>
          <w:sz w:val="22"/>
          <w:szCs w:val="22"/>
        </w:rPr>
        <w:t>29</w:t>
      </w:r>
      <w:r w:rsidRPr="00050094">
        <w:rPr>
          <w:rFonts w:asciiTheme="minorBidi" w:hAnsiTheme="minorBidi"/>
          <w:sz w:val="22"/>
          <w:szCs w:val="22"/>
        </w:rPr>
        <w:t>(4), pp.1145-1168.</w:t>
      </w:r>
    </w:p>
    <w:p w:rsidRPr="00050094" w:rsidR="00050094" w:rsidP="003502E9" w:rsidRDefault="00050094" w14:paraId="3F9D60BE" w14:textId="225758EB">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Hine, R. </w:t>
      </w:r>
      <w:r w:rsidRPr="00050094">
        <w:rPr>
          <w:rFonts w:asciiTheme="minorBidi" w:hAnsiTheme="minorBidi"/>
          <w:i/>
          <w:iCs/>
          <w:sz w:val="22"/>
          <w:szCs w:val="22"/>
        </w:rPr>
        <w:t>et al.</w:t>
      </w:r>
      <w:r w:rsidRPr="00050094">
        <w:rPr>
          <w:rFonts w:asciiTheme="minorBidi" w:hAnsiTheme="minorBidi"/>
          <w:sz w:val="22"/>
          <w:szCs w:val="22"/>
        </w:rPr>
        <w:t xml:space="preserve"> (2023) 'Service users’ descriptions of Recovery-Oriented elements of a rural mental health Service,' </w:t>
      </w:r>
      <w:r w:rsidRPr="00050094">
        <w:rPr>
          <w:rFonts w:asciiTheme="minorBidi" w:hAnsiTheme="minorBidi"/>
          <w:i/>
          <w:iCs/>
          <w:sz w:val="22"/>
          <w:szCs w:val="22"/>
        </w:rPr>
        <w:t>Australian Social Work</w:t>
      </w:r>
      <w:r w:rsidRPr="00050094">
        <w:rPr>
          <w:rFonts w:asciiTheme="minorBidi" w:hAnsiTheme="minorBidi"/>
          <w:sz w:val="22"/>
          <w:szCs w:val="22"/>
        </w:rPr>
        <w:t xml:space="preserve">, 77(2), pp. 196–213. </w:t>
      </w:r>
      <w:hyperlink w:history="1" r:id="rId21">
        <w:r w:rsidRPr="00050094">
          <w:rPr>
            <w:rStyle w:val="Hyperlink"/>
            <w:rFonts w:asciiTheme="minorBidi" w:hAnsiTheme="minorBidi"/>
            <w:sz w:val="22"/>
            <w:szCs w:val="22"/>
          </w:rPr>
          <w:t>https://doi.org/10.1080/0312407x.2023.2267037</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3952527" w14:textId="02F7665C">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Inta</w:t>
      </w:r>
      <w:proofErr w:type="spellEnd"/>
      <w:r w:rsidRPr="00050094">
        <w:rPr>
          <w:rFonts w:asciiTheme="minorBidi" w:hAnsiTheme="minorBidi"/>
          <w:sz w:val="22"/>
          <w:szCs w:val="22"/>
        </w:rPr>
        <w:t xml:space="preserve">, N., Leamy, M. and Grealish, A. (2026) 'Recovery-oriented mental health training interventions: An integrative review,' </w:t>
      </w:r>
      <w:r w:rsidRPr="00050094">
        <w:rPr>
          <w:rFonts w:asciiTheme="minorBidi" w:hAnsiTheme="minorBidi"/>
          <w:i/>
          <w:iCs/>
          <w:sz w:val="22"/>
          <w:szCs w:val="22"/>
        </w:rPr>
        <w:t>International Journal of Nursing Studies Advances</w:t>
      </w:r>
      <w:r w:rsidRPr="00050094">
        <w:rPr>
          <w:rFonts w:asciiTheme="minorBidi" w:hAnsiTheme="minorBidi"/>
          <w:sz w:val="22"/>
          <w:szCs w:val="22"/>
        </w:rPr>
        <w:t xml:space="preserve">, 10, p. 100510. </w:t>
      </w:r>
      <w:hyperlink w:history="1" r:id="rId22">
        <w:r w:rsidRPr="00050094">
          <w:rPr>
            <w:rStyle w:val="Hyperlink"/>
            <w:rFonts w:asciiTheme="minorBidi" w:hAnsiTheme="minorBidi"/>
            <w:sz w:val="22"/>
            <w:szCs w:val="22"/>
          </w:rPr>
          <w:t>https://doi.org/10.1016/j.ijnsa.2026.100510</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5BBF119F"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Islam, S., Appleton, R., Hutchings-Hay, C., Lloyd-Evans, B. and Johnson, S., 2023. A systematic review of influences on implementation of supported self-management interventions for people with severe mental health problems in secondary mental health care settings. </w:t>
      </w:r>
      <w:proofErr w:type="spellStart"/>
      <w:r w:rsidRPr="00050094">
        <w:rPr>
          <w:rFonts w:asciiTheme="minorBidi" w:hAnsiTheme="minorBidi"/>
          <w:i/>
          <w:iCs/>
          <w:sz w:val="22"/>
          <w:szCs w:val="22"/>
        </w:rPr>
        <w:t>Plos</w:t>
      </w:r>
      <w:proofErr w:type="spellEnd"/>
      <w:r w:rsidRPr="00050094">
        <w:rPr>
          <w:rFonts w:asciiTheme="minorBidi" w:hAnsiTheme="minorBidi"/>
          <w:i/>
          <w:iCs/>
          <w:sz w:val="22"/>
          <w:szCs w:val="22"/>
        </w:rPr>
        <w:t xml:space="preserve"> one</w:t>
      </w:r>
      <w:r w:rsidRPr="00050094">
        <w:rPr>
          <w:rFonts w:asciiTheme="minorBidi" w:hAnsiTheme="minorBidi"/>
          <w:sz w:val="22"/>
          <w:szCs w:val="22"/>
        </w:rPr>
        <w:t>, </w:t>
      </w:r>
      <w:r w:rsidRPr="00050094">
        <w:rPr>
          <w:rFonts w:asciiTheme="minorBidi" w:hAnsiTheme="minorBidi"/>
          <w:i/>
          <w:iCs/>
          <w:sz w:val="22"/>
          <w:szCs w:val="22"/>
        </w:rPr>
        <w:t>18</w:t>
      </w:r>
      <w:r w:rsidRPr="00050094">
        <w:rPr>
          <w:rFonts w:asciiTheme="minorBidi" w:hAnsiTheme="minorBidi"/>
          <w:sz w:val="22"/>
          <w:szCs w:val="22"/>
        </w:rPr>
        <w:t>(2), p.e0282157.</w:t>
      </w:r>
    </w:p>
    <w:p w:rsidRPr="00050094" w:rsidR="00050094" w:rsidP="003502E9" w:rsidRDefault="00050094" w14:paraId="4C13F367"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lastRenderedPageBreak/>
        <w:t>Khan, F. and Sultan, A., 2023. The role of social support networks in mental health recovery and resilience. </w:t>
      </w:r>
      <w:r w:rsidRPr="00050094">
        <w:rPr>
          <w:rFonts w:asciiTheme="minorBidi" w:hAnsiTheme="minorBidi"/>
          <w:i/>
          <w:iCs/>
          <w:sz w:val="22"/>
          <w:szCs w:val="22"/>
        </w:rPr>
        <w:t>Journal of Psychology, Health and Social Challenges</w:t>
      </w:r>
      <w:r w:rsidRPr="00050094">
        <w:rPr>
          <w:rFonts w:asciiTheme="minorBidi" w:hAnsiTheme="minorBidi"/>
          <w:sz w:val="22"/>
          <w:szCs w:val="22"/>
        </w:rPr>
        <w:t>, </w:t>
      </w:r>
      <w:r w:rsidRPr="00050094">
        <w:rPr>
          <w:rFonts w:asciiTheme="minorBidi" w:hAnsiTheme="minorBidi"/>
          <w:i/>
          <w:iCs/>
          <w:sz w:val="22"/>
          <w:szCs w:val="22"/>
        </w:rPr>
        <w:t>1</w:t>
      </w:r>
      <w:r w:rsidRPr="00050094">
        <w:rPr>
          <w:rFonts w:asciiTheme="minorBidi" w:hAnsiTheme="minorBidi"/>
          <w:sz w:val="22"/>
          <w:szCs w:val="22"/>
        </w:rPr>
        <w:t>(02), pp.176-188.</w:t>
      </w:r>
    </w:p>
    <w:p w:rsidRPr="00050094" w:rsidR="00050094" w:rsidP="003502E9" w:rsidRDefault="00050094" w14:paraId="69BFCB98" w14:textId="4D8CA17F">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Leamy, M. </w:t>
      </w:r>
      <w:r w:rsidRPr="00050094">
        <w:rPr>
          <w:rFonts w:asciiTheme="minorBidi" w:hAnsiTheme="minorBidi"/>
          <w:i/>
          <w:iCs/>
          <w:sz w:val="22"/>
          <w:szCs w:val="22"/>
        </w:rPr>
        <w:t>et al.</w:t>
      </w:r>
      <w:r w:rsidRPr="00050094">
        <w:rPr>
          <w:rFonts w:asciiTheme="minorBidi" w:hAnsiTheme="minorBidi"/>
          <w:sz w:val="22"/>
          <w:szCs w:val="22"/>
        </w:rPr>
        <w:t xml:space="preserve"> (2011) 'Conceptual framework for personal recovery in mental health: systematic review and narrative synthesis,' </w:t>
      </w:r>
      <w:r w:rsidRPr="00050094">
        <w:rPr>
          <w:rFonts w:asciiTheme="minorBidi" w:hAnsiTheme="minorBidi"/>
          <w:i/>
          <w:iCs/>
          <w:sz w:val="22"/>
          <w:szCs w:val="22"/>
        </w:rPr>
        <w:t>The British Journal of Psychiatry</w:t>
      </w:r>
      <w:r w:rsidRPr="00050094">
        <w:rPr>
          <w:rFonts w:asciiTheme="minorBidi" w:hAnsiTheme="minorBidi"/>
          <w:sz w:val="22"/>
          <w:szCs w:val="22"/>
        </w:rPr>
        <w:t xml:space="preserve">, 199(6), pp. 445–452. </w:t>
      </w:r>
      <w:hyperlink w:history="1" r:id="rId23">
        <w:r w:rsidRPr="00050094">
          <w:rPr>
            <w:rStyle w:val="Hyperlink"/>
            <w:rFonts w:asciiTheme="minorBidi" w:hAnsiTheme="minorBidi"/>
            <w:sz w:val="22"/>
            <w:szCs w:val="22"/>
          </w:rPr>
          <w:t>https://doi.org/10.1192/bjp.bp.110.083733</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7DF283B8" w14:textId="60615A95">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Mabunda, N.F. (2025) 'Factors Associated with Family Involvement or Lack Thereof in Caring for Mental Health Care Users: A Qualitative Study,' </w:t>
      </w:r>
      <w:r w:rsidRPr="00050094">
        <w:rPr>
          <w:rFonts w:asciiTheme="minorBidi" w:hAnsiTheme="minorBidi"/>
          <w:i/>
          <w:iCs/>
          <w:sz w:val="22"/>
          <w:szCs w:val="22"/>
        </w:rPr>
        <w:t>Psychiatry International</w:t>
      </w:r>
      <w:r w:rsidRPr="00050094">
        <w:rPr>
          <w:rFonts w:asciiTheme="minorBidi" w:hAnsiTheme="minorBidi"/>
          <w:sz w:val="22"/>
          <w:szCs w:val="22"/>
        </w:rPr>
        <w:t xml:space="preserve">, 6(1), p. 30. </w:t>
      </w:r>
      <w:hyperlink w:history="1" r:id="rId24">
        <w:r w:rsidRPr="00050094">
          <w:rPr>
            <w:rStyle w:val="Hyperlink"/>
            <w:rFonts w:asciiTheme="minorBidi" w:hAnsiTheme="minorBidi"/>
            <w:sz w:val="22"/>
            <w:szCs w:val="22"/>
          </w:rPr>
          <w:t>https://doi.org/10.3390/psychiatryint6010030</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5BB43390" w14:textId="28408F24">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Marques, L.M. and Battistella, L.R. (2025) 'Well-being as a core element of rehabilitation: preventing mental health challenges in a global context,' </w:t>
      </w:r>
      <w:r w:rsidRPr="00050094">
        <w:rPr>
          <w:rFonts w:asciiTheme="minorBidi" w:hAnsiTheme="minorBidi"/>
          <w:i/>
          <w:iCs/>
          <w:sz w:val="22"/>
          <w:szCs w:val="22"/>
        </w:rPr>
        <w:t>Global Health Journal</w:t>
      </w:r>
      <w:r w:rsidRPr="00050094">
        <w:rPr>
          <w:rFonts w:asciiTheme="minorBidi" w:hAnsiTheme="minorBidi"/>
          <w:sz w:val="22"/>
          <w:szCs w:val="22"/>
        </w:rPr>
        <w:t xml:space="preserve">, 9(1), pp. 1–5. </w:t>
      </w:r>
      <w:hyperlink w:history="1" r:id="rId25">
        <w:r w:rsidRPr="00050094">
          <w:rPr>
            <w:rStyle w:val="Hyperlink"/>
            <w:rFonts w:asciiTheme="minorBidi" w:hAnsiTheme="minorBidi"/>
            <w:sz w:val="22"/>
            <w:szCs w:val="22"/>
          </w:rPr>
          <w:t>https://doi.org/10.1016/j.glohj.2025.02.004</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2B2AEFC2"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McGaffin, B.J., Deane, F.P., Kelly, P.J. and Blackman, R.J., 2018. Social support and mental health during recovery from drug and alcohol problems. </w:t>
      </w:r>
      <w:r w:rsidRPr="00050094">
        <w:rPr>
          <w:rFonts w:asciiTheme="minorBidi" w:hAnsiTheme="minorBidi"/>
          <w:i/>
          <w:iCs/>
          <w:sz w:val="22"/>
          <w:szCs w:val="22"/>
        </w:rPr>
        <w:t>Addiction Research &amp; Theory</w:t>
      </w:r>
      <w:r w:rsidRPr="00050094">
        <w:rPr>
          <w:rFonts w:asciiTheme="minorBidi" w:hAnsiTheme="minorBidi"/>
          <w:sz w:val="22"/>
          <w:szCs w:val="22"/>
        </w:rPr>
        <w:t>, </w:t>
      </w:r>
      <w:r w:rsidRPr="00050094">
        <w:rPr>
          <w:rFonts w:asciiTheme="minorBidi" w:hAnsiTheme="minorBidi"/>
          <w:i/>
          <w:iCs/>
          <w:sz w:val="22"/>
          <w:szCs w:val="22"/>
        </w:rPr>
        <w:t>26</w:t>
      </w:r>
      <w:r w:rsidRPr="00050094">
        <w:rPr>
          <w:rFonts w:asciiTheme="minorBidi" w:hAnsiTheme="minorBidi"/>
          <w:sz w:val="22"/>
          <w:szCs w:val="22"/>
        </w:rPr>
        <w:t>(5), pp.386-395.</w:t>
      </w:r>
    </w:p>
    <w:p w:rsidRPr="00050094" w:rsidR="00050094" w:rsidP="003502E9" w:rsidRDefault="00050094" w14:paraId="293CB427" w14:textId="1F26E6C3">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McLeod, S. (2024) 'Thematic Analysis: A </w:t>
      </w:r>
      <w:proofErr w:type="gramStart"/>
      <w:r w:rsidRPr="00050094">
        <w:rPr>
          <w:rFonts w:asciiTheme="minorBidi" w:hAnsiTheme="minorBidi"/>
          <w:sz w:val="22"/>
          <w:szCs w:val="22"/>
        </w:rPr>
        <w:t>step by step</w:t>
      </w:r>
      <w:proofErr w:type="gramEnd"/>
      <w:r w:rsidRPr="00050094">
        <w:rPr>
          <w:rFonts w:asciiTheme="minorBidi" w:hAnsiTheme="minorBidi"/>
          <w:sz w:val="22"/>
          <w:szCs w:val="22"/>
        </w:rPr>
        <w:t xml:space="preserve"> guide,' </w:t>
      </w:r>
      <w:r w:rsidRPr="00050094">
        <w:rPr>
          <w:rFonts w:asciiTheme="minorBidi" w:hAnsiTheme="minorBidi"/>
          <w:i/>
          <w:iCs/>
          <w:sz w:val="22"/>
          <w:szCs w:val="22"/>
        </w:rPr>
        <w:t>ResearchGate</w:t>
      </w:r>
      <w:r w:rsidRPr="00050094">
        <w:rPr>
          <w:rFonts w:asciiTheme="minorBidi" w:hAnsiTheme="minorBidi"/>
          <w:sz w:val="22"/>
          <w:szCs w:val="22"/>
        </w:rPr>
        <w:t xml:space="preserve"> [Preprint]. </w:t>
      </w:r>
      <w:hyperlink w:history="1" r:id="rId26">
        <w:r w:rsidRPr="00050094">
          <w:rPr>
            <w:rStyle w:val="Hyperlink"/>
            <w:rFonts w:asciiTheme="minorBidi" w:hAnsiTheme="minorBidi"/>
            <w:sz w:val="22"/>
            <w:szCs w:val="22"/>
          </w:rPr>
          <w:t>https://doi.org/10.13140/RG.2.2.13084.71048</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8D80B5F"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Melillo, A., Sansone, N., Allan, J., Gill, N., Herrman, H., </w:t>
      </w:r>
      <w:proofErr w:type="spellStart"/>
      <w:r w:rsidRPr="00050094">
        <w:rPr>
          <w:rFonts w:asciiTheme="minorBidi" w:hAnsiTheme="minorBidi"/>
          <w:sz w:val="22"/>
          <w:szCs w:val="22"/>
        </w:rPr>
        <w:t>Cano</w:t>
      </w:r>
      <w:proofErr w:type="spellEnd"/>
      <w:r w:rsidRPr="00050094">
        <w:rPr>
          <w:rFonts w:asciiTheme="minorBidi" w:hAnsiTheme="minorBidi"/>
          <w:sz w:val="22"/>
          <w:szCs w:val="22"/>
        </w:rPr>
        <w:t xml:space="preserve">, G.M., Rodrigues, M., Savage, M. and </w:t>
      </w:r>
      <w:proofErr w:type="spellStart"/>
      <w:r w:rsidRPr="00050094">
        <w:rPr>
          <w:rFonts w:asciiTheme="minorBidi" w:hAnsiTheme="minorBidi"/>
          <w:sz w:val="22"/>
          <w:szCs w:val="22"/>
        </w:rPr>
        <w:t>Galderisi</w:t>
      </w:r>
      <w:proofErr w:type="spellEnd"/>
      <w:r w:rsidRPr="00050094">
        <w:rPr>
          <w:rFonts w:asciiTheme="minorBidi" w:hAnsiTheme="minorBidi"/>
          <w:sz w:val="22"/>
          <w:szCs w:val="22"/>
        </w:rPr>
        <w:t>, S., 2025. Recovery-oriented and trauma-informed care for people with mental disorders to promote human rights and quality of mental health care: A scoping review. </w:t>
      </w:r>
      <w:r w:rsidRPr="00050094">
        <w:rPr>
          <w:rFonts w:asciiTheme="minorBidi" w:hAnsiTheme="minorBidi"/>
          <w:i/>
          <w:iCs/>
          <w:sz w:val="22"/>
          <w:szCs w:val="22"/>
        </w:rPr>
        <w:t>BMC psychiatry</w:t>
      </w:r>
      <w:r w:rsidRPr="00050094">
        <w:rPr>
          <w:rFonts w:asciiTheme="minorBidi" w:hAnsiTheme="minorBidi"/>
          <w:sz w:val="22"/>
          <w:szCs w:val="22"/>
        </w:rPr>
        <w:t>, </w:t>
      </w:r>
      <w:r w:rsidRPr="00050094">
        <w:rPr>
          <w:rFonts w:asciiTheme="minorBidi" w:hAnsiTheme="minorBidi"/>
          <w:i/>
          <w:iCs/>
          <w:sz w:val="22"/>
          <w:szCs w:val="22"/>
        </w:rPr>
        <w:t>25</w:t>
      </w:r>
      <w:r w:rsidRPr="00050094">
        <w:rPr>
          <w:rFonts w:asciiTheme="minorBidi" w:hAnsiTheme="minorBidi"/>
          <w:sz w:val="22"/>
          <w:szCs w:val="22"/>
        </w:rPr>
        <w:t>(1), p.125.</w:t>
      </w:r>
      <w:r w:rsidRPr="00050094">
        <w:rPr>
          <w:rFonts w:ascii="Arial" w:hAnsi="Arial" w:cs="Arial"/>
          <w:kern w:val="0"/>
          <w:sz w:val="22"/>
          <w:szCs w:val="22"/>
          <w14:ligatures w14:val="none"/>
        </w:rPr>
        <w:t xml:space="preserve"> </w:t>
      </w:r>
    </w:p>
    <w:p w:rsidRPr="00050094" w:rsidR="00050094" w:rsidP="003502E9" w:rsidRDefault="00050094" w14:paraId="3338EEC4"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Mosley, P. (2015) 'Professor Support Networks,' in </w:t>
      </w:r>
      <w:r w:rsidRPr="00050094">
        <w:rPr>
          <w:rFonts w:asciiTheme="minorBidi" w:hAnsiTheme="minorBidi"/>
          <w:i/>
          <w:iCs/>
          <w:sz w:val="22"/>
          <w:szCs w:val="22"/>
        </w:rPr>
        <w:t>Elsevier eBooks</w:t>
      </w:r>
      <w:r w:rsidRPr="00050094">
        <w:rPr>
          <w:rFonts w:asciiTheme="minorBidi" w:hAnsiTheme="minorBidi"/>
          <w:sz w:val="22"/>
          <w:szCs w:val="22"/>
        </w:rPr>
        <w:t>, pp. 171–188. https://doi.org/10.1016/b978-0-12-801984-9.00012-2.</w:t>
      </w:r>
    </w:p>
    <w:p w:rsidRPr="00050094" w:rsidR="00050094" w:rsidP="003502E9" w:rsidRDefault="00050094" w14:paraId="2A2C91F9" w14:textId="77777777">
      <w:pPr>
        <w:spacing w:line="360" w:lineRule="auto"/>
        <w:ind w:left="720" w:hanging="360"/>
        <w:jc w:val="both"/>
        <w:rPr>
          <w:rFonts w:asciiTheme="minorBidi" w:hAnsiTheme="minorBidi"/>
          <w:sz w:val="22"/>
          <w:szCs w:val="22"/>
        </w:rPr>
      </w:pPr>
      <w:proofErr w:type="spellStart"/>
      <w:r w:rsidRPr="00050094">
        <w:rPr>
          <w:rFonts w:asciiTheme="minorBidi" w:hAnsiTheme="minorBidi"/>
          <w:sz w:val="22"/>
          <w:szCs w:val="22"/>
        </w:rPr>
        <w:t>Mousavizadeh</w:t>
      </w:r>
      <w:proofErr w:type="spellEnd"/>
      <w:r w:rsidRPr="00050094">
        <w:rPr>
          <w:rFonts w:asciiTheme="minorBidi" w:hAnsiTheme="minorBidi"/>
          <w:sz w:val="22"/>
          <w:szCs w:val="22"/>
        </w:rPr>
        <w:t>, S.N. and Bidgoli, M.A.J., 2023. Recovery-oriented practices in community-based mental health services: A systematic review. </w:t>
      </w:r>
      <w:r w:rsidRPr="00050094">
        <w:rPr>
          <w:rFonts w:asciiTheme="minorBidi" w:hAnsiTheme="minorBidi"/>
          <w:i/>
          <w:iCs/>
          <w:sz w:val="22"/>
          <w:szCs w:val="22"/>
        </w:rPr>
        <w:t>Iranian journal of psychiatry</w:t>
      </w:r>
      <w:r w:rsidRPr="00050094">
        <w:rPr>
          <w:rFonts w:asciiTheme="minorBidi" w:hAnsiTheme="minorBidi"/>
          <w:sz w:val="22"/>
          <w:szCs w:val="22"/>
        </w:rPr>
        <w:t>, </w:t>
      </w:r>
      <w:r w:rsidRPr="00050094">
        <w:rPr>
          <w:rFonts w:asciiTheme="minorBidi" w:hAnsiTheme="minorBidi"/>
          <w:i/>
          <w:iCs/>
          <w:sz w:val="22"/>
          <w:szCs w:val="22"/>
        </w:rPr>
        <w:t>18</w:t>
      </w:r>
      <w:r w:rsidRPr="00050094">
        <w:rPr>
          <w:rFonts w:asciiTheme="minorBidi" w:hAnsiTheme="minorBidi"/>
          <w:sz w:val="22"/>
          <w:szCs w:val="22"/>
        </w:rPr>
        <w:t>(3), p.332.</w:t>
      </w:r>
    </w:p>
    <w:p w:rsidRPr="00050094" w:rsidR="00050094" w:rsidP="003502E9" w:rsidRDefault="00050094" w14:paraId="0AE8BCDA" w14:textId="5DADB8AF">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Naeem, M. </w:t>
      </w:r>
      <w:r w:rsidRPr="00050094">
        <w:rPr>
          <w:rFonts w:asciiTheme="minorBidi" w:hAnsiTheme="minorBidi"/>
          <w:i/>
          <w:iCs/>
          <w:sz w:val="22"/>
          <w:szCs w:val="22"/>
        </w:rPr>
        <w:t>et al.</w:t>
      </w:r>
      <w:r w:rsidRPr="00050094">
        <w:rPr>
          <w:rFonts w:asciiTheme="minorBidi" w:hAnsiTheme="minorBidi"/>
          <w:sz w:val="22"/>
          <w:szCs w:val="22"/>
        </w:rPr>
        <w:t xml:space="preserve"> (2023) 'A Step-by-Step process of thematic analysis to develop a conceptual model in qualitative research,' </w:t>
      </w:r>
      <w:r w:rsidRPr="00050094">
        <w:rPr>
          <w:rFonts w:asciiTheme="minorBidi" w:hAnsiTheme="minorBidi"/>
          <w:i/>
          <w:iCs/>
          <w:sz w:val="22"/>
          <w:szCs w:val="22"/>
        </w:rPr>
        <w:t>International Journal of Qualitative Methods</w:t>
      </w:r>
      <w:r w:rsidRPr="00050094">
        <w:rPr>
          <w:rFonts w:asciiTheme="minorBidi" w:hAnsiTheme="minorBidi"/>
          <w:sz w:val="22"/>
          <w:szCs w:val="22"/>
        </w:rPr>
        <w:t xml:space="preserve">, 22. </w:t>
      </w:r>
      <w:hyperlink w:history="1" r:id="rId27">
        <w:r w:rsidRPr="00050094">
          <w:rPr>
            <w:rStyle w:val="Hyperlink"/>
            <w:rFonts w:asciiTheme="minorBidi" w:hAnsiTheme="minorBidi"/>
            <w:sz w:val="22"/>
            <w:szCs w:val="22"/>
          </w:rPr>
          <w:t>https://doi.org/10.1177/16094069231205789</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DA19DF0" w14:textId="4436F18B">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Nguyen, K., Tully, S. and Poon, A.W.C. (2025) 'Clinical uptake of a family-inclusive approach to mental health practice: an examination of facilitating and hindering factors using the </w:t>
      </w:r>
      <w:r w:rsidRPr="00050094">
        <w:rPr>
          <w:rFonts w:asciiTheme="minorBidi" w:hAnsiTheme="minorBidi"/>
          <w:sz w:val="22"/>
          <w:szCs w:val="22"/>
        </w:rPr>
        <w:lastRenderedPageBreak/>
        <w:t xml:space="preserve">Consolidated Framework for Implementation Research (CFIR),' </w:t>
      </w:r>
      <w:r w:rsidRPr="00050094">
        <w:rPr>
          <w:rFonts w:asciiTheme="minorBidi" w:hAnsiTheme="minorBidi"/>
          <w:i/>
          <w:iCs/>
          <w:sz w:val="22"/>
          <w:szCs w:val="22"/>
        </w:rPr>
        <w:t>Advances in Mental Health</w:t>
      </w:r>
      <w:r w:rsidRPr="00050094">
        <w:rPr>
          <w:rFonts w:asciiTheme="minorBidi" w:hAnsiTheme="minorBidi"/>
          <w:sz w:val="22"/>
          <w:szCs w:val="22"/>
        </w:rPr>
        <w:t xml:space="preserve">, pp. 1–12. </w:t>
      </w:r>
      <w:hyperlink w:history="1" r:id="rId28">
        <w:r w:rsidRPr="00050094">
          <w:rPr>
            <w:rStyle w:val="Hyperlink"/>
            <w:rFonts w:asciiTheme="minorBidi" w:hAnsiTheme="minorBidi"/>
            <w:sz w:val="22"/>
            <w:szCs w:val="22"/>
          </w:rPr>
          <w:t>https://doi.org/10.1080/18387357.2025.2567402</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5C34B024" w14:textId="32787BC2">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NHS England (2024). </w:t>
      </w:r>
      <w:r w:rsidRPr="00050094">
        <w:rPr>
          <w:rFonts w:asciiTheme="minorBidi" w:hAnsiTheme="minorBidi"/>
          <w:i/>
          <w:iCs/>
          <w:sz w:val="22"/>
          <w:szCs w:val="22"/>
        </w:rPr>
        <w:t>NHS England Community Mental Health Services</w:t>
      </w:r>
      <w:r w:rsidRPr="00050094">
        <w:rPr>
          <w:rFonts w:asciiTheme="minorBidi" w:hAnsiTheme="minorBidi"/>
          <w:sz w:val="22"/>
          <w:szCs w:val="22"/>
        </w:rPr>
        <w:t xml:space="preserve">. [online] England.nhs.uk. Available at: </w:t>
      </w:r>
      <w:hyperlink w:history="1" r:id="rId29">
        <w:r w:rsidRPr="00050094">
          <w:rPr>
            <w:rStyle w:val="Hyperlink"/>
            <w:rFonts w:asciiTheme="minorBidi" w:hAnsiTheme="minorBidi"/>
            <w:sz w:val="22"/>
            <w:szCs w:val="22"/>
          </w:rPr>
          <w:t>https://www.england.nhs.uk/mental-health/adults/cmhs/</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6C563881"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Norton, M.J. and Cuskelly, K., 2021. Family recovery interventions with families of mental health service users: A systematic review of the literature. </w:t>
      </w:r>
      <w:r w:rsidRPr="00050094">
        <w:rPr>
          <w:rFonts w:asciiTheme="minorBidi" w:hAnsiTheme="minorBidi"/>
          <w:i/>
          <w:iCs/>
          <w:sz w:val="22"/>
          <w:szCs w:val="22"/>
        </w:rPr>
        <w:t>International journal of environmental research and public health</w:t>
      </w:r>
      <w:r w:rsidRPr="00050094">
        <w:rPr>
          <w:rFonts w:asciiTheme="minorBidi" w:hAnsiTheme="minorBidi"/>
          <w:sz w:val="22"/>
          <w:szCs w:val="22"/>
        </w:rPr>
        <w:t>, </w:t>
      </w:r>
      <w:r w:rsidRPr="00050094">
        <w:rPr>
          <w:rFonts w:asciiTheme="minorBidi" w:hAnsiTheme="minorBidi"/>
          <w:i/>
          <w:iCs/>
          <w:sz w:val="22"/>
          <w:szCs w:val="22"/>
        </w:rPr>
        <w:t>18</w:t>
      </w:r>
      <w:r w:rsidRPr="00050094">
        <w:rPr>
          <w:rFonts w:asciiTheme="minorBidi" w:hAnsiTheme="minorBidi"/>
          <w:sz w:val="22"/>
          <w:szCs w:val="22"/>
        </w:rPr>
        <w:t>(15), p.7858.</w:t>
      </w:r>
    </w:p>
    <w:p w:rsidRPr="00050094" w:rsidR="00050094" w:rsidP="003502E9" w:rsidRDefault="00050094" w14:paraId="42C2AE7D" w14:textId="3C5A263A">
      <w:pPr>
        <w:spacing w:line="360" w:lineRule="auto"/>
        <w:ind w:left="720" w:hanging="360"/>
        <w:jc w:val="both"/>
        <w:rPr>
          <w:rFonts w:asciiTheme="minorBidi" w:hAnsiTheme="minorBidi"/>
          <w:sz w:val="22"/>
          <w:szCs w:val="22"/>
        </w:rPr>
      </w:pPr>
      <w:r w:rsidRPr="00050094">
        <w:rPr>
          <w:rFonts w:asciiTheme="minorBidi" w:hAnsiTheme="minorBidi"/>
          <w:color w:val="000000" w:themeColor="text1"/>
          <w:sz w:val="22"/>
          <w:szCs w:val="22"/>
        </w:rPr>
        <w:t xml:space="preserve">Norton, M.J. and Hartnett, L. (2024). Family Recovery in Child and Adolescent Mental </w:t>
      </w:r>
      <w:r w:rsidRPr="00050094">
        <w:rPr>
          <w:rFonts w:asciiTheme="minorBidi" w:hAnsiTheme="minorBidi"/>
          <w:sz w:val="22"/>
          <w:szCs w:val="22"/>
        </w:rPr>
        <w:t xml:space="preserve">Health: A Systematic Review. </w:t>
      </w:r>
      <w:r w:rsidRPr="00050094">
        <w:rPr>
          <w:rFonts w:asciiTheme="minorBidi" w:hAnsiTheme="minorBidi"/>
          <w:i/>
          <w:iCs/>
          <w:sz w:val="22"/>
          <w:szCs w:val="22"/>
        </w:rPr>
        <w:t>ResearchGate</w:t>
      </w:r>
      <w:r w:rsidRPr="00050094">
        <w:rPr>
          <w:rFonts w:asciiTheme="minorBidi" w:hAnsiTheme="minorBidi"/>
          <w:sz w:val="22"/>
          <w:szCs w:val="22"/>
        </w:rPr>
        <w:t xml:space="preserve">. [online] doi: </w:t>
      </w:r>
      <w:hyperlink w:history="1" r:id="rId30">
        <w:r w:rsidRPr="00050094">
          <w:rPr>
            <w:rStyle w:val="Hyperlink"/>
            <w:rFonts w:asciiTheme="minorBidi" w:hAnsiTheme="minorBidi"/>
            <w:sz w:val="22"/>
            <w:szCs w:val="22"/>
          </w:rPr>
          <w:t>https://doi.org/10.13140/RG.2.2.30200.25608</w:t>
        </w:r>
      </w:hyperlink>
      <w:r w:rsidRPr="00050094">
        <w:rPr>
          <w:rFonts w:asciiTheme="minorBidi" w:hAnsiTheme="minorBidi"/>
          <w:sz w:val="22"/>
          <w:szCs w:val="22"/>
        </w:rPr>
        <w:t>.</w:t>
      </w:r>
      <w:r w:rsidRPr="00050094">
        <w:rPr>
          <w:rFonts w:asciiTheme="minorBidi" w:hAnsiTheme="minorBidi"/>
          <w:sz w:val="22"/>
          <w:szCs w:val="22"/>
        </w:rPr>
        <w:t xml:space="preserve"> </w:t>
      </w:r>
      <w:r w:rsidRPr="00050094">
        <w:rPr>
          <w:rFonts w:ascii="Arial" w:hAnsi="Arial" w:cs="Arial"/>
          <w:kern w:val="0"/>
          <w:sz w:val="22"/>
          <w:szCs w:val="22"/>
          <w14:ligatures w14:val="none"/>
        </w:rPr>
        <w:t xml:space="preserve"> </w:t>
      </w:r>
      <w:r w:rsidRPr="00050094">
        <w:rPr>
          <w:rFonts w:ascii="Arial" w:hAnsi="Arial" w:cs="Arial"/>
          <w:kern w:val="0"/>
          <w:sz w:val="22"/>
          <w:szCs w:val="22"/>
          <w14:ligatures w14:val="none"/>
        </w:rPr>
        <w:t xml:space="preserve"> </w:t>
      </w:r>
    </w:p>
    <w:p w:rsidRPr="00050094" w:rsidR="00050094" w:rsidP="003502E9" w:rsidRDefault="00050094" w14:paraId="41ACD48A" w14:textId="06082ABC">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Page, M.J. </w:t>
      </w:r>
      <w:r w:rsidRPr="00050094">
        <w:rPr>
          <w:rFonts w:asciiTheme="minorBidi" w:hAnsiTheme="minorBidi"/>
          <w:i/>
          <w:iCs/>
          <w:sz w:val="22"/>
          <w:szCs w:val="22"/>
        </w:rPr>
        <w:t>et al.</w:t>
      </w:r>
      <w:r w:rsidRPr="00050094">
        <w:rPr>
          <w:rFonts w:asciiTheme="minorBidi" w:hAnsiTheme="minorBidi"/>
          <w:sz w:val="22"/>
          <w:szCs w:val="22"/>
        </w:rPr>
        <w:t xml:space="preserve"> (2021) 'The PRISMA 2020 statement: an updated guideline for reporting systematic reviews,' </w:t>
      </w:r>
      <w:r w:rsidRPr="00050094">
        <w:rPr>
          <w:rFonts w:asciiTheme="minorBidi" w:hAnsiTheme="minorBidi"/>
          <w:i/>
          <w:iCs/>
          <w:sz w:val="22"/>
          <w:szCs w:val="22"/>
        </w:rPr>
        <w:t>BMJ</w:t>
      </w:r>
      <w:r w:rsidRPr="00050094">
        <w:rPr>
          <w:rFonts w:asciiTheme="minorBidi" w:hAnsiTheme="minorBidi"/>
          <w:sz w:val="22"/>
          <w:szCs w:val="22"/>
        </w:rPr>
        <w:t xml:space="preserve">, 372, p. n71. </w:t>
      </w:r>
      <w:hyperlink w:history="1" r:id="rId31">
        <w:r w:rsidRPr="00050094">
          <w:rPr>
            <w:rStyle w:val="Hyperlink"/>
            <w:rFonts w:asciiTheme="minorBidi" w:hAnsiTheme="minorBidi"/>
            <w:sz w:val="22"/>
            <w:szCs w:val="22"/>
          </w:rPr>
          <w:t>https://doi.org/10.1136/bmj.n71</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1E6297E3" w14:textId="72D571D7">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Searby, A. </w:t>
      </w:r>
      <w:r w:rsidRPr="00050094">
        <w:rPr>
          <w:rFonts w:asciiTheme="minorBidi" w:hAnsiTheme="minorBidi"/>
          <w:i/>
          <w:iCs/>
          <w:sz w:val="22"/>
          <w:szCs w:val="22"/>
        </w:rPr>
        <w:t>et al.</w:t>
      </w:r>
      <w:r w:rsidRPr="00050094">
        <w:rPr>
          <w:rFonts w:asciiTheme="minorBidi" w:hAnsiTheme="minorBidi"/>
          <w:sz w:val="22"/>
          <w:szCs w:val="22"/>
        </w:rPr>
        <w:t xml:space="preserve"> (2024) 'Barriers and Facilitators to Mental Health Service Integration: A scoping review,' </w:t>
      </w:r>
      <w:r w:rsidRPr="00050094">
        <w:rPr>
          <w:rFonts w:asciiTheme="minorBidi" w:hAnsiTheme="minorBidi"/>
          <w:i/>
          <w:iCs/>
          <w:sz w:val="22"/>
          <w:szCs w:val="22"/>
        </w:rPr>
        <w:t>International Journal of Mental Health Nursing</w:t>
      </w:r>
      <w:r w:rsidRPr="00050094">
        <w:rPr>
          <w:rFonts w:asciiTheme="minorBidi" w:hAnsiTheme="minorBidi"/>
          <w:sz w:val="22"/>
          <w:szCs w:val="22"/>
        </w:rPr>
        <w:t xml:space="preserve">, 34(1), p. e13449. </w:t>
      </w:r>
      <w:hyperlink w:history="1" r:id="rId32">
        <w:r w:rsidRPr="00050094">
          <w:rPr>
            <w:rStyle w:val="Hyperlink"/>
            <w:rFonts w:asciiTheme="minorBidi" w:hAnsiTheme="minorBidi"/>
            <w:sz w:val="22"/>
            <w:szCs w:val="22"/>
          </w:rPr>
          <w:t>https://doi.org/10.1111/inm.13449</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4769AC91" w14:textId="0225D51E">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Slade, M., </w:t>
      </w:r>
      <w:proofErr w:type="spellStart"/>
      <w:r w:rsidRPr="00050094">
        <w:rPr>
          <w:rFonts w:asciiTheme="minorBidi" w:hAnsiTheme="minorBidi"/>
          <w:sz w:val="22"/>
          <w:szCs w:val="22"/>
        </w:rPr>
        <w:t>Oades</w:t>
      </w:r>
      <w:proofErr w:type="spellEnd"/>
      <w:r w:rsidRPr="00050094">
        <w:rPr>
          <w:rFonts w:asciiTheme="minorBidi" w:hAnsiTheme="minorBidi"/>
          <w:sz w:val="22"/>
          <w:szCs w:val="22"/>
        </w:rPr>
        <w:t xml:space="preserve">, L.G. and Jarden, A. (2017) </w:t>
      </w:r>
      <w:r w:rsidRPr="00050094">
        <w:rPr>
          <w:rFonts w:asciiTheme="minorBidi" w:hAnsiTheme="minorBidi"/>
          <w:i/>
          <w:iCs/>
          <w:sz w:val="22"/>
          <w:szCs w:val="22"/>
        </w:rPr>
        <w:t>Wellbeing, recovery and mental health</w:t>
      </w:r>
      <w:r w:rsidRPr="00050094">
        <w:rPr>
          <w:rFonts w:asciiTheme="minorBidi" w:hAnsiTheme="minorBidi"/>
          <w:sz w:val="22"/>
          <w:szCs w:val="22"/>
        </w:rPr>
        <w:t xml:space="preserve">, </w:t>
      </w:r>
      <w:r w:rsidRPr="00050094">
        <w:rPr>
          <w:rFonts w:asciiTheme="minorBidi" w:hAnsiTheme="minorBidi"/>
          <w:i/>
          <w:iCs/>
          <w:sz w:val="22"/>
          <w:szCs w:val="22"/>
        </w:rPr>
        <w:t>Cambridge University Press eBooks</w:t>
      </w:r>
      <w:r w:rsidRPr="00050094">
        <w:rPr>
          <w:rFonts w:asciiTheme="minorBidi" w:hAnsiTheme="minorBidi"/>
          <w:sz w:val="22"/>
          <w:szCs w:val="22"/>
        </w:rPr>
        <w:t xml:space="preserve">. </w:t>
      </w:r>
      <w:hyperlink w:history="1" r:id="rId33">
        <w:r w:rsidRPr="00050094">
          <w:rPr>
            <w:rStyle w:val="Hyperlink"/>
            <w:rFonts w:asciiTheme="minorBidi" w:hAnsiTheme="minorBidi"/>
            <w:sz w:val="22"/>
            <w:szCs w:val="22"/>
          </w:rPr>
          <w:t>https://doi.org/10.1017/9781316339275</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3C0E0CFE"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Smith, P., Simpson, L. and Madill, A., 2021. Service user experiences of a novel in</w:t>
      </w:r>
      <w:r w:rsidRPr="00050094">
        <w:rPr>
          <w:rFonts w:ascii="Cambria Math" w:hAnsi="Cambria Math" w:cs="Cambria Math"/>
          <w:sz w:val="22"/>
          <w:szCs w:val="22"/>
        </w:rPr>
        <w:t>‐</w:t>
      </w:r>
      <w:r w:rsidRPr="00050094">
        <w:rPr>
          <w:rFonts w:asciiTheme="minorBidi" w:hAnsiTheme="minorBidi"/>
          <w:sz w:val="22"/>
          <w:szCs w:val="22"/>
        </w:rPr>
        <w:t>reach rehabilitation and recovery service for people with profound and enduring mental health needs.</w:t>
      </w:r>
      <w:r w:rsidRPr="00050094">
        <w:rPr>
          <w:rFonts w:ascii="Arial" w:hAnsi="Arial" w:cs="Arial"/>
          <w:sz w:val="22"/>
          <w:szCs w:val="22"/>
        </w:rPr>
        <w:t> </w:t>
      </w:r>
      <w:r w:rsidRPr="00050094">
        <w:rPr>
          <w:rFonts w:asciiTheme="minorBidi" w:hAnsiTheme="minorBidi"/>
          <w:i/>
          <w:iCs/>
          <w:sz w:val="22"/>
          <w:szCs w:val="22"/>
        </w:rPr>
        <w:t>International Journal of Mental Health Nursing</w:t>
      </w:r>
      <w:r w:rsidRPr="00050094">
        <w:rPr>
          <w:rFonts w:asciiTheme="minorBidi" w:hAnsiTheme="minorBidi"/>
          <w:sz w:val="22"/>
          <w:szCs w:val="22"/>
        </w:rPr>
        <w:t>, </w:t>
      </w:r>
      <w:r w:rsidRPr="00050094">
        <w:rPr>
          <w:rFonts w:asciiTheme="minorBidi" w:hAnsiTheme="minorBidi"/>
          <w:i/>
          <w:iCs/>
          <w:sz w:val="22"/>
          <w:szCs w:val="22"/>
        </w:rPr>
        <w:t>30</w:t>
      </w:r>
      <w:r w:rsidRPr="00050094">
        <w:rPr>
          <w:rFonts w:asciiTheme="minorBidi" w:hAnsiTheme="minorBidi"/>
          <w:sz w:val="22"/>
          <w:szCs w:val="22"/>
        </w:rPr>
        <w:t>(5), pp.1106-1116.</w:t>
      </w:r>
    </w:p>
    <w:p w:rsidRPr="00050094" w:rsidR="00050094" w:rsidP="003502E9" w:rsidRDefault="00050094" w14:paraId="02154FB5" w14:textId="60A6F665">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Sohrabi, C. </w:t>
      </w:r>
      <w:r w:rsidRPr="00050094">
        <w:rPr>
          <w:rFonts w:asciiTheme="minorBidi" w:hAnsiTheme="minorBidi"/>
          <w:i/>
          <w:iCs/>
          <w:sz w:val="22"/>
          <w:szCs w:val="22"/>
        </w:rPr>
        <w:t>et al.</w:t>
      </w:r>
      <w:r w:rsidRPr="00050094">
        <w:rPr>
          <w:rFonts w:asciiTheme="minorBidi" w:hAnsiTheme="minorBidi"/>
          <w:sz w:val="22"/>
          <w:szCs w:val="22"/>
        </w:rPr>
        <w:t xml:space="preserve"> (2021) 'PRISMA 2020 statement: What’s new and the importance of reporting guidelines,' </w:t>
      </w:r>
      <w:r w:rsidRPr="00050094">
        <w:rPr>
          <w:rFonts w:asciiTheme="minorBidi" w:hAnsiTheme="minorBidi"/>
          <w:i/>
          <w:iCs/>
          <w:sz w:val="22"/>
          <w:szCs w:val="22"/>
        </w:rPr>
        <w:t>International Journal of Surgery</w:t>
      </w:r>
      <w:r w:rsidRPr="00050094">
        <w:rPr>
          <w:rFonts w:asciiTheme="minorBidi" w:hAnsiTheme="minorBidi"/>
          <w:sz w:val="22"/>
          <w:szCs w:val="22"/>
        </w:rPr>
        <w:t xml:space="preserve">, 88, p. 105918. </w:t>
      </w:r>
      <w:hyperlink w:history="1" r:id="rId34">
        <w:r w:rsidRPr="00050094">
          <w:rPr>
            <w:rStyle w:val="Hyperlink"/>
            <w:rFonts w:asciiTheme="minorBidi" w:hAnsiTheme="minorBidi"/>
            <w:sz w:val="22"/>
            <w:szCs w:val="22"/>
          </w:rPr>
          <w:t>https://doi.org/10.1016/j.ijsu.2021.105918</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069F87A8"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Waid, J. and Kelly, M., 2020. Supporting family engagement with child and adolescent mental health services: A scoping review. </w:t>
      </w:r>
      <w:r w:rsidRPr="00050094">
        <w:rPr>
          <w:rFonts w:asciiTheme="minorBidi" w:hAnsiTheme="minorBidi"/>
          <w:i/>
          <w:iCs/>
          <w:sz w:val="22"/>
          <w:szCs w:val="22"/>
        </w:rPr>
        <w:t>Health &amp; social care in the community</w:t>
      </w:r>
      <w:r w:rsidRPr="00050094">
        <w:rPr>
          <w:rFonts w:asciiTheme="minorBidi" w:hAnsiTheme="minorBidi"/>
          <w:sz w:val="22"/>
          <w:szCs w:val="22"/>
        </w:rPr>
        <w:t>, </w:t>
      </w:r>
      <w:r w:rsidRPr="00050094">
        <w:rPr>
          <w:rFonts w:asciiTheme="minorBidi" w:hAnsiTheme="minorBidi"/>
          <w:i/>
          <w:iCs/>
          <w:sz w:val="22"/>
          <w:szCs w:val="22"/>
        </w:rPr>
        <w:t>28</w:t>
      </w:r>
      <w:r w:rsidRPr="00050094">
        <w:rPr>
          <w:rFonts w:asciiTheme="minorBidi" w:hAnsiTheme="minorBidi"/>
          <w:sz w:val="22"/>
          <w:szCs w:val="22"/>
        </w:rPr>
        <w:t>(5), pp.1333-1342.</w:t>
      </w:r>
      <w:r w:rsidRPr="00050094">
        <w:rPr>
          <w:rFonts w:ascii="Arial" w:hAnsi="Arial" w:cs="Arial"/>
          <w:kern w:val="0"/>
          <w:sz w:val="22"/>
          <w:szCs w:val="22"/>
          <w14:ligatures w14:val="none"/>
        </w:rPr>
        <w:t xml:space="preserve"> </w:t>
      </w:r>
    </w:p>
    <w:p w:rsidRPr="00050094" w:rsidR="00050094" w:rsidP="003502E9" w:rsidRDefault="00050094" w14:paraId="3123F4A7"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Wakida, E.K., Talib, Z.M., Akena, D., Okello, E.S., </w:t>
      </w:r>
      <w:proofErr w:type="spellStart"/>
      <w:r w:rsidRPr="00050094">
        <w:rPr>
          <w:rFonts w:asciiTheme="minorBidi" w:hAnsiTheme="minorBidi"/>
          <w:sz w:val="22"/>
          <w:szCs w:val="22"/>
        </w:rPr>
        <w:t>Kinengyere</w:t>
      </w:r>
      <w:proofErr w:type="spellEnd"/>
      <w:r w:rsidRPr="00050094">
        <w:rPr>
          <w:rFonts w:asciiTheme="minorBidi" w:hAnsiTheme="minorBidi"/>
          <w:sz w:val="22"/>
          <w:szCs w:val="22"/>
        </w:rPr>
        <w:t xml:space="preserve">, A., </w:t>
      </w:r>
      <w:proofErr w:type="spellStart"/>
      <w:r w:rsidRPr="00050094">
        <w:rPr>
          <w:rFonts w:asciiTheme="minorBidi" w:hAnsiTheme="minorBidi"/>
          <w:sz w:val="22"/>
          <w:szCs w:val="22"/>
        </w:rPr>
        <w:t>Mindra</w:t>
      </w:r>
      <w:proofErr w:type="spellEnd"/>
      <w:r w:rsidRPr="00050094">
        <w:rPr>
          <w:rFonts w:asciiTheme="minorBidi" w:hAnsiTheme="minorBidi"/>
          <w:sz w:val="22"/>
          <w:szCs w:val="22"/>
        </w:rPr>
        <w:t xml:space="preserve">, A. and </w:t>
      </w:r>
      <w:proofErr w:type="spellStart"/>
      <w:r w:rsidRPr="00050094">
        <w:rPr>
          <w:rFonts w:asciiTheme="minorBidi" w:hAnsiTheme="minorBidi"/>
          <w:sz w:val="22"/>
          <w:szCs w:val="22"/>
        </w:rPr>
        <w:t>Obua</w:t>
      </w:r>
      <w:proofErr w:type="spellEnd"/>
      <w:r w:rsidRPr="00050094">
        <w:rPr>
          <w:rFonts w:asciiTheme="minorBidi" w:hAnsiTheme="minorBidi"/>
          <w:sz w:val="22"/>
          <w:szCs w:val="22"/>
        </w:rPr>
        <w:t>, C., 2018. Barriers and facilitators to the integration of mental health services into primary health care: a systematic review. </w:t>
      </w:r>
      <w:r w:rsidRPr="00050094">
        <w:rPr>
          <w:rFonts w:asciiTheme="minorBidi" w:hAnsiTheme="minorBidi"/>
          <w:i/>
          <w:iCs/>
          <w:sz w:val="22"/>
          <w:szCs w:val="22"/>
        </w:rPr>
        <w:t>Systematic reviews</w:t>
      </w:r>
      <w:r w:rsidRPr="00050094">
        <w:rPr>
          <w:rFonts w:asciiTheme="minorBidi" w:hAnsiTheme="minorBidi"/>
          <w:sz w:val="22"/>
          <w:szCs w:val="22"/>
        </w:rPr>
        <w:t>, </w:t>
      </w:r>
      <w:r w:rsidRPr="00050094">
        <w:rPr>
          <w:rFonts w:asciiTheme="minorBidi" w:hAnsiTheme="minorBidi"/>
          <w:i/>
          <w:iCs/>
          <w:sz w:val="22"/>
          <w:szCs w:val="22"/>
        </w:rPr>
        <w:t>7</w:t>
      </w:r>
      <w:r w:rsidRPr="00050094">
        <w:rPr>
          <w:rFonts w:asciiTheme="minorBidi" w:hAnsiTheme="minorBidi"/>
          <w:sz w:val="22"/>
          <w:szCs w:val="22"/>
        </w:rPr>
        <w:t>(1), p.211.</w:t>
      </w:r>
    </w:p>
    <w:p w:rsidRPr="00050094" w:rsidR="00050094" w:rsidP="003502E9" w:rsidRDefault="00050094" w14:paraId="4B6D731D" w14:textId="4C388F85">
      <w:pPr>
        <w:spacing w:line="360" w:lineRule="auto"/>
        <w:ind w:left="720" w:hanging="360"/>
        <w:jc w:val="both"/>
        <w:rPr>
          <w:rFonts w:asciiTheme="minorBidi" w:hAnsiTheme="minorBidi"/>
          <w:sz w:val="22"/>
          <w:szCs w:val="22"/>
        </w:rPr>
      </w:pPr>
      <w:r w:rsidRPr="00050094">
        <w:rPr>
          <w:rFonts w:asciiTheme="minorBidi" w:hAnsiTheme="minorBidi"/>
          <w:sz w:val="22"/>
          <w:szCs w:val="22"/>
        </w:rPr>
        <w:lastRenderedPageBreak/>
        <w:t xml:space="preserve">Wilson, S. and McGuire, K. (2021) '‘They’d already made their minds up’: understanding the impact of stigma on parental engagement,' </w:t>
      </w:r>
      <w:r w:rsidRPr="00050094">
        <w:rPr>
          <w:rFonts w:asciiTheme="minorBidi" w:hAnsiTheme="minorBidi"/>
          <w:i/>
          <w:iCs/>
          <w:sz w:val="22"/>
          <w:szCs w:val="22"/>
        </w:rPr>
        <w:t>British Journal of Sociology of Education</w:t>
      </w:r>
      <w:r w:rsidRPr="00050094">
        <w:rPr>
          <w:rFonts w:asciiTheme="minorBidi" w:hAnsiTheme="minorBidi"/>
          <w:sz w:val="22"/>
          <w:szCs w:val="22"/>
        </w:rPr>
        <w:t xml:space="preserve">, 42(5–6), pp. 775–791. </w:t>
      </w:r>
      <w:hyperlink w:history="1" r:id="rId35">
        <w:r w:rsidRPr="00050094">
          <w:rPr>
            <w:rStyle w:val="Hyperlink"/>
            <w:rFonts w:asciiTheme="minorBidi" w:hAnsiTheme="minorBidi"/>
            <w:sz w:val="22"/>
            <w:szCs w:val="22"/>
          </w:rPr>
          <w:t>https://doi.org/10.1080/01425692.2021.1908115</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40E602EE" w14:textId="065AFCBC">
      <w:pPr>
        <w:spacing w:line="360" w:lineRule="auto"/>
        <w:ind w:left="720" w:hanging="360"/>
        <w:jc w:val="both"/>
        <w:rPr>
          <w:rFonts w:asciiTheme="minorBidi" w:hAnsiTheme="minorBidi"/>
          <w:sz w:val="22"/>
          <w:szCs w:val="22"/>
        </w:rPr>
      </w:pPr>
      <w:r w:rsidRPr="00050094">
        <w:rPr>
          <w:rFonts w:asciiTheme="minorBidi" w:hAnsiTheme="minorBidi"/>
          <w:sz w:val="22"/>
          <w:szCs w:val="22"/>
        </w:rPr>
        <w:t xml:space="preserve">World Health Organization (2025). </w:t>
      </w:r>
      <w:r w:rsidRPr="00050094">
        <w:rPr>
          <w:rFonts w:asciiTheme="minorBidi" w:hAnsiTheme="minorBidi"/>
          <w:i/>
          <w:iCs/>
          <w:sz w:val="22"/>
          <w:szCs w:val="22"/>
        </w:rPr>
        <w:t>Social connection linked to improved health and reduced risk of early death</w:t>
      </w:r>
      <w:r w:rsidRPr="00050094">
        <w:rPr>
          <w:rFonts w:asciiTheme="minorBidi" w:hAnsiTheme="minorBidi"/>
          <w:sz w:val="22"/>
          <w:szCs w:val="22"/>
        </w:rPr>
        <w:t xml:space="preserve">. [online] Who.int. Available at: </w:t>
      </w:r>
      <w:hyperlink w:history="1" r:id="rId36">
        <w:r w:rsidRPr="00050094">
          <w:rPr>
            <w:rStyle w:val="Hyperlink"/>
            <w:rFonts w:asciiTheme="minorBidi" w:hAnsiTheme="minorBidi"/>
            <w:sz w:val="22"/>
            <w:szCs w:val="22"/>
          </w:rPr>
          <w:t>https://www.who.int/news/item/30-06-2025-social-connection-linked-to-improved-heath-and-reduced-risk-of-early-death</w:t>
        </w:r>
      </w:hyperlink>
      <w:r w:rsidRPr="00050094">
        <w:rPr>
          <w:rFonts w:asciiTheme="minorBidi" w:hAnsiTheme="minorBidi"/>
          <w:sz w:val="22"/>
          <w:szCs w:val="22"/>
        </w:rPr>
        <w:t>.</w:t>
      </w:r>
      <w:r w:rsidRPr="00050094">
        <w:rPr>
          <w:rFonts w:asciiTheme="minorBidi" w:hAnsiTheme="minorBidi"/>
          <w:sz w:val="22"/>
          <w:szCs w:val="22"/>
        </w:rPr>
        <w:t xml:space="preserve"> </w:t>
      </w:r>
    </w:p>
    <w:p w:rsidRPr="00050094" w:rsidR="00050094" w:rsidP="003502E9" w:rsidRDefault="00050094" w14:paraId="530B2918" w14:textId="77777777">
      <w:pPr>
        <w:spacing w:line="360" w:lineRule="auto"/>
        <w:ind w:left="720" w:hanging="360"/>
        <w:jc w:val="both"/>
        <w:rPr>
          <w:rFonts w:asciiTheme="minorBidi" w:hAnsiTheme="minorBidi"/>
          <w:sz w:val="22"/>
          <w:szCs w:val="22"/>
        </w:rPr>
      </w:pPr>
      <w:r w:rsidRPr="00050094">
        <w:rPr>
          <w:rFonts w:asciiTheme="minorBidi" w:hAnsiTheme="minorBidi"/>
          <w:sz w:val="22"/>
          <w:szCs w:val="22"/>
        </w:rPr>
        <w:t>Yin, M., Li, Z. and Zhou, C., 2020. Experience of stigma among family members of people with severe mental illness: A qualitative systematic review. </w:t>
      </w:r>
      <w:r w:rsidRPr="00050094">
        <w:rPr>
          <w:rFonts w:asciiTheme="minorBidi" w:hAnsiTheme="minorBidi"/>
          <w:i/>
          <w:iCs/>
          <w:sz w:val="22"/>
          <w:szCs w:val="22"/>
        </w:rPr>
        <w:t>International Journal of Mental Health Nursing</w:t>
      </w:r>
      <w:r w:rsidRPr="00050094">
        <w:rPr>
          <w:rFonts w:asciiTheme="minorBidi" w:hAnsiTheme="minorBidi"/>
          <w:sz w:val="22"/>
          <w:szCs w:val="22"/>
        </w:rPr>
        <w:t>, </w:t>
      </w:r>
      <w:r w:rsidRPr="00050094">
        <w:rPr>
          <w:rFonts w:asciiTheme="minorBidi" w:hAnsiTheme="minorBidi"/>
          <w:i/>
          <w:iCs/>
          <w:sz w:val="22"/>
          <w:szCs w:val="22"/>
        </w:rPr>
        <w:t>29</w:t>
      </w:r>
      <w:r w:rsidRPr="00050094">
        <w:rPr>
          <w:rFonts w:asciiTheme="minorBidi" w:hAnsiTheme="minorBidi"/>
          <w:sz w:val="22"/>
          <w:szCs w:val="22"/>
        </w:rPr>
        <w:t>(2), pp.141-160.</w:t>
      </w:r>
    </w:p>
    <w:p w:rsidRPr="00050094" w:rsidR="00050094" w:rsidP="003502E9" w:rsidRDefault="00050094" w14:paraId="6E34663E" w14:textId="24F6E574">
      <w:pPr>
        <w:spacing w:line="360" w:lineRule="auto"/>
        <w:ind w:left="720" w:hanging="360"/>
        <w:jc w:val="both"/>
        <w:rPr>
          <w:rFonts w:asciiTheme="minorBidi" w:hAnsiTheme="minorBidi"/>
          <w:sz w:val="22"/>
          <w:szCs w:val="22"/>
        </w:rPr>
      </w:pPr>
      <w:r w:rsidRPr="00050094">
        <w:rPr>
          <w:rFonts w:asciiTheme="minorBidi" w:hAnsiTheme="minorBidi"/>
          <w:sz w:val="22"/>
          <w:szCs w:val="22"/>
        </w:rPr>
        <w:t>Zaidi, U., 2020. Role of social support in relapse prevention for drug addicts. </w:t>
      </w:r>
      <w:r w:rsidRPr="00050094">
        <w:rPr>
          <w:rFonts w:asciiTheme="minorBidi" w:hAnsiTheme="minorBidi"/>
          <w:i/>
          <w:iCs/>
          <w:sz w:val="22"/>
          <w:szCs w:val="22"/>
        </w:rPr>
        <w:t>International journal of innovation, creativity and change</w:t>
      </w:r>
      <w:r w:rsidRPr="00050094">
        <w:rPr>
          <w:rFonts w:asciiTheme="minorBidi" w:hAnsiTheme="minorBidi"/>
          <w:sz w:val="22"/>
          <w:szCs w:val="22"/>
        </w:rPr>
        <w:t>, </w:t>
      </w:r>
      <w:r w:rsidRPr="00050094">
        <w:rPr>
          <w:rFonts w:asciiTheme="minorBidi" w:hAnsiTheme="minorBidi"/>
          <w:i/>
          <w:iCs/>
          <w:sz w:val="22"/>
          <w:szCs w:val="22"/>
        </w:rPr>
        <w:t>13</w:t>
      </w:r>
      <w:r w:rsidRPr="00050094">
        <w:rPr>
          <w:rFonts w:asciiTheme="minorBidi" w:hAnsiTheme="minorBidi"/>
          <w:sz w:val="22"/>
          <w:szCs w:val="22"/>
        </w:rPr>
        <w:t>(1), pp.915-924.</w:t>
      </w:r>
      <w:r w:rsidRPr="00050094">
        <w:rPr>
          <w:rFonts w:asciiTheme="minorBidi" w:hAnsiTheme="minorBidi"/>
          <w:sz w:val="22"/>
          <w:szCs w:val="22"/>
        </w:rPr>
        <w:t xml:space="preserve"> </w:t>
      </w:r>
    </w:p>
    <w:p w:rsidRPr="00050094" w:rsidR="009D1B8A" w:rsidP="003502E9" w:rsidRDefault="009D1B8A" w14:paraId="16A86AC8" w14:textId="0D5AC37C">
      <w:pPr>
        <w:spacing w:line="360" w:lineRule="auto"/>
        <w:rPr>
          <w:sz w:val="22"/>
          <w:szCs w:val="22"/>
        </w:rPr>
      </w:pPr>
      <w:r w:rsidRPr="00050094">
        <w:rPr>
          <w:sz w:val="22"/>
          <w:szCs w:val="22"/>
        </w:rPr>
        <w:br w:type="page"/>
      </w:r>
    </w:p>
    <w:p w:rsidRPr="00050094" w:rsidR="00841283" w:rsidP="003502E9" w:rsidRDefault="009D1B8A" w14:paraId="06F37061" w14:textId="0BFA12B4">
      <w:pPr>
        <w:pStyle w:val="Heading1"/>
        <w:spacing w:line="360" w:lineRule="auto"/>
        <w:rPr>
          <w:rFonts w:asciiTheme="minorBidi" w:hAnsiTheme="minorBidi" w:cstheme="minorBidi"/>
          <w:b/>
          <w:bCs/>
          <w:color w:val="000000" w:themeColor="text1"/>
          <w:sz w:val="32"/>
          <w:szCs w:val="32"/>
        </w:rPr>
      </w:pPr>
      <w:bookmarkStart w:name="_Toc225378561" w:id="73"/>
      <w:r w:rsidRPr="00050094">
        <w:rPr>
          <w:rFonts w:asciiTheme="minorBidi" w:hAnsiTheme="minorBidi" w:cstheme="minorBidi"/>
          <w:b/>
          <w:bCs/>
          <w:color w:val="000000" w:themeColor="text1"/>
          <w:sz w:val="32"/>
          <w:szCs w:val="32"/>
        </w:rPr>
        <w:lastRenderedPageBreak/>
        <w:t>Appendixes</w:t>
      </w:r>
      <w:bookmarkEnd w:id="73"/>
    </w:p>
    <w:p w:rsidRPr="00050094" w:rsidR="009D1B8A" w:rsidP="003502E9" w:rsidRDefault="009D1B8A" w14:paraId="51DB67A5" w14:textId="057C48E7">
      <w:pPr>
        <w:pStyle w:val="Heading2"/>
        <w:spacing w:line="360" w:lineRule="auto"/>
        <w:rPr>
          <w:rFonts w:asciiTheme="minorBidi" w:hAnsiTheme="minorBidi" w:cstheme="minorBidi"/>
          <w:b/>
          <w:bCs/>
          <w:i/>
          <w:iCs/>
          <w:color w:val="000000" w:themeColor="text1"/>
          <w:sz w:val="28"/>
          <w:szCs w:val="28"/>
        </w:rPr>
      </w:pPr>
      <w:bookmarkStart w:name="_Toc225378562" w:id="74"/>
      <w:r w:rsidRPr="00050094">
        <w:rPr>
          <w:rFonts w:asciiTheme="minorBidi" w:hAnsiTheme="minorBidi" w:cstheme="minorBidi"/>
          <w:b/>
          <w:bCs/>
          <w:i/>
          <w:iCs/>
          <w:color w:val="000000" w:themeColor="text1"/>
          <w:sz w:val="28"/>
          <w:szCs w:val="28"/>
        </w:rPr>
        <w:t>Appendix A: Prisma Flow Chart</w:t>
      </w:r>
      <w:bookmarkEnd w:id="74"/>
    </w:p>
    <w:p w:rsidRPr="00050094" w:rsidR="009D1B8A" w:rsidP="003502E9" w:rsidRDefault="009D1B8A" w14:paraId="7A3FCB3E" w14:textId="77777777">
      <w:pPr>
        <w:spacing w:line="360" w:lineRule="auto"/>
        <w:rPr>
          <w:b/>
          <w:bCs/>
        </w:rPr>
      </w:pPr>
    </w:p>
    <w:p w:rsidRPr="00050094" w:rsidR="009D1B8A" w:rsidP="003502E9" w:rsidRDefault="009D1B8A" w14:paraId="7C6500CE" w14:textId="77777777">
      <w:pPr>
        <w:spacing w:line="360" w:lineRule="auto"/>
        <w:rPr>
          <w:lang w:val="en-AU"/>
        </w:rPr>
      </w:pPr>
      <w:r w:rsidRPr="00050094">
        <w:rPr>
          <w:noProof/>
        </w:rPr>
        <w:drawing>
          <wp:inline distT="0" distB="0" distL="0" distR="0" wp14:anchorId="57D1166F" wp14:editId="0B569045">
            <wp:extent cx="4877435" cy="285750"/>
            <wp:effectExtent l="0" t="0" r="0" b="0"/>
            <wp:docPr id="981316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77435" cy="285750"/>
                    </a:xfrm>
                    <a:prstGeom prst="rect">
                      <a:avLst/>
                    </a:prstGeom>
                    <a:noFill/>
                  </pic:spPr>
                </pic:pic>
              </a:graphicData>
            </a:graphic>
          </wp:inline>
        </w:drawing>
      </w:r>
    </w:p>
    <w:p w:rsidRPr="00050094" w:rsidR="009D1B8A" w:rsidP="003502E9" w:rsidRDefault="009D1B8A" w14:paraId="49DCE5A2" w14:textId="77777777">
      <w:pPr>
        <w:spacing w:line="360" w:lineRule="auto"/>
        <w:rPr>
          <w:lang w:val="en-AU"/>
        </w:rPr>
      </w:pPr>
      <w:r w:rsidRPr="00050094">
        <w:rPr>
          <w:noProof/>
        </w:rPr>
        <mc:AlternateContent>
          <mc:Choice Requires="wps">
            <w:drawing>
              <wp:anchor distT="0" distB="0" distL="114300" distR="114300" simplePos="0" relativeHeight="251660288" behindDoc="0" locked="0" layoutInCell="1" allowOverlap="1" wp14:anchorId="12E968C8" wp14:editId="1F657F99">
                <wp:simplePos x="0" y="0"/>
                <wp:positionH relativeFrom="column">
                  <wp:posOffset>3038475</wp:posOffset>
                </wp:positionH>
                <wp:positionV relativeFrom="paragraph">
                  <wp:posOffset>74930</wp:posOffset>
                </wp:positionV>
                <wp:extent cx="1887220" cy="1450023"/>
                <wp:effectExtent l="0" t="0" r="17780" b="17145"/>
                <wp:wrapNone/>
                <wp:docPr id="1461530024" name="Rectangle 37"/>
                <wp:cNvGraphicFramePr/>
                <a:graphic xmlns:a="http://schemas.openxmlformats.org/drawingml/2006/main">
                  <a:graphicData uri="http://schemas.microsoft.com/office/word/2010/wordprocessingShape">
                    <wps:wsp>
                      <wps:cNvSpPr/>
                      <wps:spPr>
                        <a:xfrm>
                          <a:off x="0" y="0"/>
                          <a:ext cx="1887220" cy="1450023"/>
                        </a:xfrm>
                        <a:prstGeom prst="rect">
                          <a:avLst/>
                        </a:prstGeom>
                        <a:noFill/>
                        <a:ln w="12700" cap="flat" cmpd="sng" algn="ctr">
                          <a:solidFill>
                            <a:sysClr val="windowText" lastClr="000000"/>
                          </a:solidFill>
                          <a:prstDash val="solid"/>
                          <a:miter lim="800000"/>
                        </a:ln>
                        <a:effectLst/>
                      </wps:spPr>
                      <wps:txbx>
                        <w:txbxContent>
                          <w:p w:rsidRPr="00ED79FE" w:rsidR="009D1B8A" w:rsidP="009D1B8A" w:rsidRDefault="009D1B8A" w14:paraId="3C999CD4" w14:textId="77777777">
                            <w:pPr>
                              <w:spacing w:line="240" w:lineRule="auto"/>
                              <w:rPr>
                                <w:rFonts w:ascii="Arial" w:hAnsi="Arial" w:cs="Arial"/>
                                <w:color w:val="000000"/>
                                <w:sz w:val="18"/>
                                <w:szCs w:val="18"/>
                              </w:rPr>
                            </w:pPr>
                            <w:r w:rsidRPr="00ED79FE">
                              <w:rPr>
                                <w:rFonts w:ascii="Arial" w:hAnsi="Arial" w:cs="Arial"/>
                                <w:b/>
                                <w:bCs/>
                                <w:color w:val="000000"/>
                                <w:sz w:val="18"/>
                                <w:szCs w:val="18"/>
                              </w:rPr>
                              <w:t>Records removed before screening:</w:t>
                            </w:r>
                            <w:r w:rsidRPr="00ED79FE">
                              <w:rPr>
                                <w:rFonts w:ascii="Arial" w:hAnsi="Arial" w:cs="Arial"/>
                                <w:color w:val="000000"/>
                                <w:sz w:val="18"/>
                                <w:szCs w:val="18"/>
                              </w:rPr>
                              <w:br/>
                              <w:t>• Duplicate records removed (n = 40)</w:t>
                            </w:r>
                            <w:r w:rsidRPr="00ED79FE">
                              <w:rPr>
                                <w:rFonts w:ascii="Arial" w:hAnsi="Arial" w:cs="Arial"/>
                                <w:color w:val="000000"/>
                                <w:sz w:val="18"/>
                                <w:szCs w:val="18"/>
                              </w:rPr>
                              <w:br/>
                              <w:t>• Records marked ineligible by tools (n = 0)</w:t>
                            </w:r>
                            <w:r w:rsidRPr="00ED79FE">
                              <w:rPr>
                                <w:rFonts w:ascii="Arial" w:hAnsi="Arial" w:cs="Arial"/>
                                <w:color w:val="000000"/>
                                <w:sz w:val="18"/>
                                <w:szCs w:val="18"/>
                              </w:rPr>
                              <w:br/>
                              <w:t>• Records removed for other reasons (n = 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7" style="position:absolute;margin-left:239.25pt;margin-top:5.9pt;width:148.6pt;height:11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windowText" strokeweight="1pt" w14:anchorId="12E968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">
                <v:textbox>
                  <w:txbxContent>
                    <w:p w:rsidRPr="00ED79FE" w:rsidR="009D1B8A" w:rsidP="009D1B8A" w:rsidRDefault="009D1B8A" w14:paraId="3C999CD4" w14:textId="77777777">
                      <w:pPr>
                        <w:spacing w:line="240" w:lineRule="auto"/>
                        <w:rPr>
                          <w:rFonts w:ascii="Arial" w:hAnsi="Arial" w:cs="Arial"/>
                          <w:color w:val="000000"/>
                          <w:sz w:val="18"/>
                          <w:szCs w:val="18"/>
                        </w:rPr>
                      </w:pPr>
                      <w:r w:rsidRPr="00ED79FE">
                        <w:rPr>
                          <w:rFonts w:ascii="Arial" w:hAnsi="Arial" w:cs="Arial"/>
                          <w:b/>
                          <w:bCs/>
                          <w:color w:val="000000"/>
                          <w:sz w:val="18"/>
                          <w:szCs w:val="18"/>
                        </w:rPr>
                        <w:t>Records removed before screening:</w:t>
                      </w:r>
                      <w:r w:rsidRPr="00ED79FE">
                        <w:rPr>
                          <w:rFonts w:ascii="Arial" w:hAnsi="Arial" w:cs="Arial"/>
                          <w:color w:val="000000"/>
                          <w:sz w:val="18"/>
                          <w:szCs w:val="18"/>
                        </w:rPr>
                        <w:br/>
                        <w:t>• Duplicate records removed (n = 40)</w:t>
                      </w:r>
                      <w:r w:rsidRPr="00ED79FE">
                        <w:rPr>
                          <w:rFonts w:ascii="Arial" w:hAnsi="Arial" w:cs="Arial"/>
                          <w:color w:val="000000"/>
                          <w:sz w:val="18"/>
                          <w:szCs w:val="18"/>
                        </w:rPr>
                        <w:br/>
                        <w:t>• Records marked ineligible by tools (n = 0)</w:t>
                      </w:r>
                      <w:r w:rsidRPr="00ED79FE">
                        <w:rPr>
                          <w:rFonts w:ascii="Arial" w:hAnsi="Arial" w:cs="Arial"/>
                          <w:color w:val="000000"/>
                          <w:sz w:val="18"/>
                          <w:szCs w:val="18"/>
                        </w:rPr>
                        <w:br/>
                        <w:t>• Records removed for other reasons (n = 0)</w:t>
                      </w:r>
                    </w:p>
                  </w:txbxContent>
                </v:textbox>
              </v:rect>
            </w:pict>
          </mc:Fallback>
        </mc:AlternateContent>
      </w:r>
      <w:r w:rsidRPr="00050094">
        <w:rPr>
          <w:noProof/>
        </w:rPr>
        <mc:AlternateContent>
          <mc:Choice Requires="wps">
            <w:drawing>
              <wp:anchor distT="0" distB="0" distL="114300" distR="114300" simplePos="0" relativeHeight="251672576" behindDoc="0" locked="0" layoutInCell="1" allowOverlap="1" wp14:anchorId="13DCDA3D" wp14:editId="1AAD1ED8">
                <wp:simplePos x="0" y="0"/>
                <wp:positionH relativeFrom="column">
                  <wp:posOffset>-403860</wp:posOffset>
                </wp:positionH>
                <wp:positionV relativeFrom="paragraph">
                  <wp:posOffset>552450</wp:posOffset>
                </wp:positionV>
                <wp:extent cx="1276985" cy="262890"/>
                <wp:effectExtent l="0" t="7302" r="11112" b="11113"/>
                <wp:wrapNone/>
                <wp:docPr id="2809368" name="Flowchart: Alternate Process 40"/>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9D1B8A" w:rsidP="009D1B8A" w:rsidRDefault="009D1B8A" w14:paraId="787C5DCD" w14:textId="77777777">
                            <w:pPr>
                              <w:spacing w:after="0" w:line="240" w:lineRule="auto"/>
                              <w:jc w:val="center"/>
                              <w:rPr>
                                <w:rFonts w:ascii="Arial" w:hAnsi="Arial" w:cs="Arial"/>
                                <w:color w:val="000000"/>
                                <w:sz w:val="18"/>
                                <w:szCs w:val="18"/>
                              </w:rPr>
                            </w:pPr>
                            <w:r>
                              <w:rPr>
                                <w:rFonts w:ascii="Arial" w:hAnsi="Arial" w:cs="Arial"/>
                                <w:color w:val="000000"/>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76" coordsize="21600,21600" o:spt="176" adj="2700" path="m@0,qx0@0l0@2qy@0,21600l@1,21600qx21600@2l21600@0qy@1,xe" w14:anchorId="13DCDA3D">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40" style="position:absolute;margin-left:-31.8pt;margin-top:43.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9dc3e6" strokecolor="windowText"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">
                <v:textbox>
                  <w:txbxContent>
                    <w:p w:rsidR="009D1B8A" w:rsidP="009D1B8A" w:rsidRDefault="009D1B8A" w14:paraId="787C5DCD" w14:textId="77777777">
                      <w:pPr>
                        <w:spacing w:after="0" w:line="240" w:lineRule="auto"/>
                        <w:jc w:val="center"/>
                        <w:rPr>
                          <w:rFonts w:ascii="Arial" w:hAnsi="Arial" w:cs="Arial"/>
                          <w:color w:val="000000"/>
                          <w:sz w:val="18"/>
                          <w:szCs w:val="18"/>
                        </w:rPr>
                      </w:pPr>
                      <w:r>
                        <w:rPr>
                          <w:rFonts w:ascii="Arial" w:hAnsi="Arial" w:cs="Arial"/>
                          <w:color w:val="000000"/>
                          <w:sz w:val="18"/>
                          <w:szCs w:val="18"/>
                        </w:rPr>
                        <w:t>Identification</w:t>
                      </w:r>
                    </w:p>
                  </w:txbxContent>
                </v:textbox>
              </v:shape>
            </w:pict>
          </mc:Fallback>
        </mc:AlternateContent>
      </w:r>
      <w:r w:rsidRPr="00050094">
        <w:rPr>
          <w:noProof/>
        </w:rPr>
        <mc:AlternateContent>
          <mc:Choice Requires="wps">
            <w:drawing>
              <wp:anchor distT="0" distB="0" distL="114300" distR="114300" simplePos="0" relativeHeight="251674624" behindDoc="0" locked="0" layoutInCell="1" allowOverlap="1" wp14:anchorId="7E84FF49" wp14:editId="4F4283E9">
                <wp:simplePos x="0" y="0"/>
                <wp:positionH relativeFrom="column">
                  <wp:posOffset>-133350</wp:posOffset>
                </wp:positionH>
                <wp:positionV relativeFrom="paragraph">
                  <wp:posOffset>4628515</wp:posOffset>
                </wp:positionV>
                <wp:extent cx="764540" cy="262890"/>
                <wp:effectExtent l="3175" t="0" r="19685" b="19685"/>
                <wp:wrapNone/>
                <wp:docPr id="1490017262" name="Flowchart: Alternate Process 39"/>
                <wp:cNvGraphicFramePr/>
                <a:graphic xmlns:a="http://schemas.openxmlformats.org/drawingml/2006/main">
                  <a:graphicData uri="http://schemas.microsoft.com/office/word/2010/wordprocessingShape">
                    <wps:wsp>
                      <wps:cNvSpPr/>
                      <wps:spPr>
                        <a:xfrm rot="16200000">
                          <a:off x="0" y="0"/>
                          <a:ext cx="764540"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9D1B8A" w:rsidP="009D1B8A" w:rsidRDefault="009D1B8A" w14:paraId="4131436D" w14:textId="77777777">
                            <w:pPr>
                              <w:spacing w:after="0" w:line="240" w:lineRule="auto"/>
                              <w:jc w:val="center"/>
                              <w:rPr>
                                <w:rFonts w:ascii="Arial" w:hAnsi="Arial" w:cs="Arial"/>
                                <w:color w:val="000000"/>
                                <w:sz w:val="18"/>
                                <w:szCs w:val="18"/>
                              </w:rPr>
                            </w:pPr>
                            <w:r>
                              <w:rPr>
                                <w:rFonts w:ascii="Arial" w:hAnsi="Arial" w:cs="Arial"/>
                                <w:color w:val="000000"/>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39" style="position:absolute;margin-left:-10.5pt;margin-top:364.45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9dc3e6" strokecolor="windowText"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" w14:anchorId="7E84FF49">
                <v:textbox>
                  <w:txbxContent>
                    <w:p w:rsidR="009D1B8A" w:rsidP="009D1B8A" w:rsidRDefault="009D1B8A" w14:paraId="4131436D" w14:textId="77777777">
                      <w:pPr>
                        <w:spacing w:after="0" w:line="240" w:lineRule="auto"/>
                        <w:jc w:val="center"/>
                        <w:rPr>
                          <w:rFonts w:ascii="Arial" w:hAnsi="Arial" w:cs="Arial"/>
                          <w:color w:val="000000"/>
                          <w:sz w:val="18"/>
                          <w:szCs w:val="18"/>
                        </w:rPr>
                      </w:pPr>
                      <w:r>
                        <w:rPr>
                          <w:rFonts w:ascii="Arial" w:hAnsi="Arial" w:cs="Arial"/>
                          <w:color w:val="000000"/>
                          <w:sz w:val="18"/>
                          <w:szCs w:val="18"/>
                        </w:rPr>
                        <w:t>Included</w:t>
                      </w:r>
                    </w:p>
                  </w:txbxContent>
                </v:textbox>
              </v:shape>
            </w:pict>
          </mc:Fallback>
        </mc:AlternateContent>
      </w:r>
      <w:r w:rsidRPr="00050094">
        <w:rPr>
          <w:noProof/>
        </w:rPr>
        <mc:AlternateContent>
          <mc:Choice Requires="wps">
            <w:drawing>
              <wp:anchor distT="0" distB="0" distL="114300" distR="114300" simplePos="0" relativeHeight="251659264" behindDoc="0" locked="0" layoutInCell="1" allowOverlap="1" wp14:anchorId="45CB6D2B" wp14:editId="2827D733">
                <wp:simplePos x="0" y="0"/>
                <wp:positionH relativeFrom="column">
                  <wp:posOffset>559435</wp:posOffset>
                </wp:positionH>
                <wp:positionV relativeFrom="paragraph">
                  <wp:posOffset>76835</wp:posOffset>
                </wp:positionV>
                <wp:extent cx="1887220" cy="1243330"/>
                <wp:effectExtent l="0" t="0" r="17780" b="13970"/>
                <wp:wrapNone/>
                <wp:docPr id="418589106" name="Rectangle 38"/>
                <wp:cNvGraphicFramePr/>
                <a:graphic xmlns:a="http://schemas.openxmlformats.org/drawingml/2006/main">
                  <a:graphicData uri="http://schemas.microsoft.com/office/word/2010/wordprocessingShape">
                    <wps:wsp>
                      <wps:cNvSpPr/>
                      <wps:spPr>
                        <a:xfrm>
                          <a:off x="0" y="0"/>
                          <a:ext cx="1887220" cy="1243330"/>
                        </a:xfrm>
                        <a:prstGeom prst="rect">
                          <a:avLst/>
                        </a:prstGeom>
                        <a:noFill/>
                        <a:ln w="12700" cap="flat" cmpd="sng" algn="ctr">
                          <a:solidFill>
                            <a:sysClr val="windowText" lastClr="000000"/>
                          </a:solidFill>
                          <a:prstDash val="solid"/>
                          <a:miter lim="800000"/>
                        </a:ln>
                        <a:effectLst/>
                      </wps:spPr>
                      <wps:txbx>
                        <w:txbxContent>
                          <w:p w:rsidRPr="00ED79FE" w:rsidR="009D1B8A" w:rsidP="009D1B8A" w:rsidRDefault="009D1B8A" w14:paraId="564ED76B"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Records identified from databases:</w:t>
                            </w:r>
                            <w:r w:rsidRPr="00ED79FE">
                              <w:rPr>
                                <w:rFonts w:ascii="Arial" w:hAnsi="Arial" w:cs="Arial"/>
                                <w:bCs/>
                                <w:color w:val="000000"/>
                                <w:sz w:val="18"/>
                                <w:szCs w:val="20"/>
                              </w:rPr>
                              <w:br/>
                              <w:t>• PubMed</w:t>
                            </w:r>
                            <w:r w:rsidRPr="00ED79FE">
                              <w:rPr>
                                <w:rFonts w:ascii="Arial" w:hAnsi="Arial" w:cs="Arial"/>
                                <w:bCs/>
                                <w:color w:val="000000"/>
                                <w:sz w:val="18"/>
                                <w:szCs w:val="20"/>
                              </w:rPr>
                              <w:br/>
                              <w:t>• Scopus</w:t>
                            </w:r>
                            <w:r w:rsidRPr="00ED79FE">
                              <w:rPr>
                                <w:rFonts w:ascii="Arial" w:hAnsi="Arial" w:cs="Arial"/>
                                <w:bCs/>
                                <w:color w:val="000000"/>
                                <w:sz w:val="18"/>
                                <w:szCs w:val="20"/>
                              </w:rPr>
                              <w:br/>
                              <w:t>• Web of Science</w:t>
                            </w:r>
                            <w:r w:rsidRPr="00ED79FE">
                              <w:rPr>
                                <w:rFonts w:ascii="Arial" w:hAnsi="Arial" w:cs="Arial"/>
                                <w:bCs/>
                                <w:color w:val="000000"/>
                                <w:sz w:val="18"/>
                                <w:szCs w:val="20"/>
                              </w:rPr>
                              <w:br/>
                              <w:t>• Google Scholar</w:t>
                            </w:r>
                          </w:p>
                          <w:p w:rsidRPr="002F3DB7" w:rsidR="009D1B8A" w:rsidP="009D1B8A" w:rsidRDefault="009D1B8A" w14:paraId="29AAFA7D"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Total records identified (n = 140</w:t>
                            </w:r>
                            <w:r w:rsidRPr="003B3AB5">
                              <w:rPr>
                                <w:rFonts w:ascii="Arial" w:hAnsi="Arial" w:cs="Arial"/>
                                <w:color w:val="000000"/>
                                <w:sz w:val="18"/>
                                <w:szCs w:val="20"/>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ed="f" strokecolor="windowText" strokeweight="1pt" w14:anchorId="45CB6D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">
                <v:textbox>
                  <w:txbxContent>
                    <w:p w:rsidRPr="00ED79FE" w:rsidR="009D1B8A" w:rsidP="009D1B8A" w:rsidRDefault="009D1B8A" w14:paraId="564ED76B"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Records identified from databases:</w:t>
                      </w:r>
                      <w:r w:rsidRPr="00ED79FE">
                        <w:rPr>
                          <w:rFonts w:ascii="Arial" w:hAnsi="Arial" w:cs="Arial"/>
                          <w:bCs/>
                          <w:color w:val="000000"/>
                          <w:sz w:val="18"/>
                          <w:szCs w:val="20"/>
                        </w:rPr>
                        <w:br/>
                        <w:t>• PubMed</w:t>
                      </w:r>
                      <w:r w:rsidRPr="00ED79FE">
                        <w:rPr>
                          <w:rFonts w:ascii="Arial" w:hAnsi="Arial" w:cs="Arial"/>
                          <w:bCs/>
                          <w:color w:val="000000"/>
                          <w:sz w:val="18"/>
                          <w:szCs w:val="20"/>
                        </w:rPr>
                        <w:br/>
                        <w:t>• Scopus</w:t>
                      </w:r>
                      <w:r w:rsidRPr="00ED79FE">
                        <w:rPr>
                          <w:rFonts w:ascii="Arial" w:hAnsi="Arial" w:cs="Arial"/>
                          <w:bCs/>
                          <w:color w:val="000000"/>
                          <w:sz w:val="18"/>
                          <w:szCs w:val="20"/>
                        </w:rPr>
                        <w:br/>
                        <w:t>• Web of Science</w:t>
                      </w:r>
                      <w:r w:rsidRPr="00ED79FE">
                        <w:rPr>
                          <w:rFonts w:ascii="Arial" w:hAnsi="Arial" w:cs="Arial"/>
                          <w:bCs/>
                          <w:color w:val="000000"/>
                          <w:sz w:val="18"/>
                          <w:szCs w:val="20"/>
                        </w:rPr>
                        <w:br/>
                        <w:t>• Google Scholar</w:t>
                      </w:r>
                    </w:p>
                    <w:p w:rsidRPr="002F3DB7" w:rsidR="009D1B8A" w:rsidP="009D1B8A" w:rsidRDefault="009D1B8A" w14:paraId="29AAFA7D"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Total records identified (n = 140</w:t>
                      </w:r>
                      <w:r w:rsidRPr="003B3AB5">
                        <w:rPr>
                          <w:rFonts w:ascii="Arial" w:hAnsi="Arial" w:cs="Arial"/>
                          <w:color w:val="000000"/>
                          <w:sz w:val="18"/>
                          <w:szCs w:val="20"/>
                        </w:rPr>
                        <w:t>)</w:t>
                      </w:r>
                    </w:p>
                  </w:txbxContent>
                </v:textbox>
              </v:rect>
            </w:pict>
          </mc:Fallback>
        </mc:AlternateContent>
      </w:r>
      <w:r w:rsidRPr="00050094">
        <w:rPr>
          <w:noProof/>
        </w:rPr>
        <mc:AlternateContent>
          <mc:Choice Requires="wps">
            <w:drawing>
              <wp:anchor distT="0" distB="0" distL="114300" distR="114300" simplePos="0" relativeHeight="251662336" behindDoc="0" locked="0" layoutInCell="1" allowOverlap="1" wp14:anchorId="1B778B6F" wp14:editId="542CD4E0">
                <wp:simplePos x="0" y="0"/>
                <wp:positionH relativeFrom="column">
                  <wp:posOffset>3048000</wp:posOffset>
                </wp:positionH>
                <wp:positionV relativeFrom="paragraph">
                  <wp:posOffset>1560830</wp:posOffset>
                </wp:positionV>
                <wp:extent cx="1887220" cy="526415"/>
                <wp:effectExtent l="0" t="0" r="17780" b="26035"/>
                <wp:wrapNone/>
                <wp:docPr id="465003880" name="Rectangle 35"/>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9D1B8A" w:rsidP="009D1B8A" w:rsidRDefault="009D1B8A" w14:paraId="1D5B557A" w14:textId="77777777">
                            <w:pPr>
                              <w:spacing w:after="0" w:line="240" w:lineRule="auto"/>
                              <w:rPr>
                                <w:rFonts w:ascii="Arial" w:hAnsi="Arial" w:cs="Arial"/>
                                <w:color w:val="000000"/>
                                <w:sz w:val="18"/>
                                <w:szCs w:val="20"/>
                              </w:rPr>
                            </w:pPr>
                            <w:r w:rsidRPr="00ED79FE">
                              <w:rPr>
                                <w:rFonts w:ascii="Arial" w:hAnsi="Arial" w:cs="Arial"/>
                                <w:b/>
                                <w:bCs/>
                                <w:color w:val="000000"/>
                                <w:sz w:val="18"/>
                                <w:szCs w:val="20"/>
                                <w:lang w:val="en-GB"/>
                              </w:rPr>
                              <w:t>Records excluded at title/abstract stage (n = 30)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5" style="position:absolute;margin-left:240pt;margin-top:122.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ed="f" strokecolor="windowText" strokeweight="1pt" w14:anchorId="1B778B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">
                <v:textbox>
                  <w:txbxContent>
                    <w:p w:rsidR="009D1B8A" w:rsidP="009D1B8A" w:rsidRDefault="009D1B8A" w14:paraId="1D5B557A" w14:textId="77777777">
                      <w:pPr>
                        <w:spacing w:after="0" w:line="240" w:lineRule="auto"/>
                        <w:rPr>
                          <w:rFonts w:ascii="Arial" w:hAnsi="Arial" w:cs="Arial"/>
                          <w:color w:val="000000"/>
                          <w:sz w:val="18"/>
                          <w:szCs w:val="20"/>
                        </w:rPr>
                      </w:pPr>
                      <w:r w:rsidRPr="00ED79FE">
                        <w:rPr>
                          <w:rFonts w:ascii="Arial" w:hAnsi="Arial" w:cs="Arial"/>
                          <w:b/>
                          <w:bCs/>
                          <w:color w:val="000000"/>
                          <w:sz w:val="18"/>
                          <w:szCs w:val="20"/>
                          <w:lang w:val="en-GB"/>
                        </w:rPr>
                        <w:t>Records excluded at title/abstract stage (n = 30)</w:t>
                      </w:r>
                    </w:p>
                  </w:txbxContent>
                </v:textbox>
              </v:rect>
            </w:pict>
          </mc:Fallback>
        </mc:AlternateContent>
      </w:r>
      <w:r w:rsidRPr="00050094">
        <w:rPr>
          <w:noProof/>
        </w:rPr>
        <mc:AlternateContent>
          <mc:Choice Requires="wps">
            <w:drawing>
              <wp:anchor distT="0" distB="0" distL="114300" distR="114300" simplePos="0" relativeHeight="251663360" behindDoc="0" locked="0" layoutInCell="1" allowOverlap="1" wp14:anchorId="56EF6E04" wp14:editId="3A5C64B9">
                <wp:simplePos x="0" y="0"/>
                <wp:positionH relativeFrom="column">
                  <wp:posOffset>560705</wp:posOffset>
                </wp:positionH>
                <wp:positionV relativeFrom="paragraph">
                  <wp:posOffset>2359025</wp:posOffset>
                </wp:positionV>
                <wp:extent cx="1887220" cy="526415"/>
                <wp:effectExtent l="0" t="0" r="17780" b="26035"/>
                <wp:wrapNone/>
                <wp:docPr id="676458286" name="Rectangle 34"/>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9D1B8A" w:rsidP="009D1B8A" w:rsidRDefault="009D1B8A" w14:paraId="75BD7D6A"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Reports sought for retrieval (n = 70)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4" style="position:absolute;margin-left:44.15pt;margin-top:185.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ed="f" strokecolor="windowText" strokeweight="1pt" w14:anchorId="56EF6E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">
                <v:textbox>
                  <w:txbxContent>
                    <w:p w:rsidR="009D1B8A" w:rsidP="009D1B8A" w:rsidRDefault="009D1B8A" w14:paraId="75BD7D6A"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Reports sought for retrieval (n = 70)</w:t>
                      </w:r>
                    </w:p>
                  </w:txbxContent>
                </v:textbox>
              </v:rect>
            </w:pict>
          </mc:Fallback>
        </mc:AlternateContent>
      </w:r>
      <w:r w:rsidRPr="00050094">
        <w:rPr>
          <w:noProof/>
        </w:rPr>
        <mc:AlternateContent>
          <mc:Choice Requires="wps">
            <w:drawing>
              <wp:anchor distT="0" distB="0" distL="114300" distR="114300" simplePos="0" relativeHeight="251664384" behindDoc="0" locked="0" layoutInCell="1" allowOverlap="1" wp14:anchorId="0590DBD0" wp14:editId="214D5C6F">
                <wp:simplePos x="0" y="0"/>
                <wp:positionH relativeFrom="column">
                  <wp:posOffset>3049270</wp:posOffset>
                </wp:positionH>
                <wp:positionV relativeFrom="paragraph">
                  <wp:posOffset>2378075</wp:posOffset>
                </wp:positionV>
                <wp:extent cx="1887220" cy="526415"/>
                <wp:effectExtent l="0" t="0" r="17780" b="26035"/>
                <wp:wrapNone/>
                <wp:docPr id="1019788016" name="Rectangle 3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Pr="00ED79FE" w:rsidR="009D1B8A" w:rsidP="009D1B8A" w:rsidRDefault="009D1B8A" w14:paraId="56BB6874"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Reports not retrieved:</w:t>
                            </w:r>
                            <w:r w:rsidRPr="00ED79FE">
                              <w:rPr>
                                <w:rFonts w:ascii="Arial" w:hAnsi="Arial" w:cs="Arial"/>
                                <w:color w:val="000000"/>
                                <w:sz w:val="18"/>
                                <w:szCs w:val="20"/>
                              </w:rPr>
                              <w:br/>
                              <w:t>• Full text not accessible (n = 0)</w:t>
                            </w:r>
                          </w:p>
                          <w:p w:rsidR="009D1B8A" w:rsidP="009D1B8A" w:rsidRDefault="009D1B8A" w14:paraId="6EA2FB83" w14:textId="77777777">
                            <w:pPr>
                              <w:spacing w:after="0" w:line="240" w:lineRule="auto"/>
                              <w:rPr>
                                <w:rFonts w:ascii="Arial" w:hAnsi="Arial" w:cs="Arial"/>
                                <w:color w:val="000000"/>
                                <w:sz w:val="18"/>
                                <w:szCs w:val="20"/>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3" style="position:absolute;margin-left:240.1pt;margin-top:187.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ed="f" strokecolor="windowText" strokeweight="1pt" w14:anchorId="0590DB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">
                <v:textbox>
                  <w:txbxContent>
                    <w:p w:rsidRPr="00ED79FE" w:rsidR="009D1B8A" w:rsidP="009D1B8A" w:rsidRDefault="009D1B8A" w14:paraId="56BB6874"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Reports not retrieved:</w:t>
                      </w:r>
                      <w:r w:rsidRPr="00ED79FE">
                        <w:rPr>
                          <w:rFonts w:ascii="Arial" w:hAnsi="Arial" w:cs="Arial"/>
                          <w:color w:val="000000"/>
                          <w:sz w:val="18"/>
                          <w:szCs w:val="20"/>
                        </w:rPr>
                        <w:br/>
                        <w:t>• Full text not accessible (n = 0)</w:t>
                      </w:r>
                    </w:p>
                    <w:p w:rsidR="009D1B8A" w:rsidP="009D1B8A" w:rsidRDefault="009D1B8A" w14:paraId="6EA2FB83" w14:textId="77777777">
                      <w:pPr>
                        <w:spacing w:after="0" w:line="240" w:lineRule="auto"/>
                        <w:rPr>
                          <w:rFonts w:ascii="Arial" w:hAnsi="Arial" w:cs="Arial"/>
                          <w:color w:val="000000"/>
                          <w:sz w:val="18"/>
                          <w:szCs w:val="20"/>
                        </w:rPr>
                      </w:pPr>
                    </w:p>
                  </w:txbxContent>
                </v:textbox>
              </v:rect>
            </w:pict>
          </mc:Fallback>
        </mc:AlternateContent>
      </w:r>
      <w:r w:rsidRPr="00050094">
        <w:rPr>
          <w:noProof/>
        </w:rPr>
        <mc:AlternateContent>
          <mc:Choice Requires="wps">
            <w:drawing>
              <wp:anchor distT="0" distB="0" distL="114300" distR="114300" simplePos="0" relativeHeight="251665408" behindDoc="0" locked="0" layoutInCell="1" allowOverlap="1" wp14:anchorId="2FDFC5B3" wp14:editId="36B0206C">
                <wp:simplePos x="0" y="0"/>
                <wp:positionH relativeFrom="column">
                  <wp:posOffset>561975</wp:posOffset>
                </wp:positionH>
                <wp:positionV relativeFrom="paragraph">
                  <wp:posOffset>3150235</wp:posOffset>
                </wp:positionV>
                <wp:extent cx="1887220" cy="526415"/>
                <wp:effectExtent l="0" t="0" r="17780" b="26035"/>
                <wp:wrapNone/>
                <wp:docPr id="2147367885" name="Rectangle 32"/>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9D1B8A" w:rsidP="009D1B8A" w:rsidRDefault="009D1B8A" w14:paraId="41AB0AAB" w14:textId="77777777">
                            <w:pPr>
                              <w:spacing w:after="0" w:line="240" w:lineRule="auto"/>
                              <w:rPr>
                                <w:rFonts w:ascii="Arial" w:hAnsi="Arial" w:cs="Arial"/>
                                <w:color w:val="000000"/>
                                <w:sz w:val="18"/>
                                <w:szCs w:val="20"/>
                              </w:rPr>
                            </w:pPr>
                            <w:r w:rsidRPr="00ED79FE">
                              <w:rPr>
                                <w:rFonts w:ascii="Arial" w:hAnsi="Arial" w:cs="Arial"/>
                                <w:b/>
                                <w:color w:val="000000"/>
                                <w:sz w:val="18"/>
                                <w:szCs w:val="20"/>
                              </w:rPr>
                              <w:t>Reports assessed for eligibility (n = 70)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2" style="position:absolute;margin-left:44.25pt;margin-top:248.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ed="f" strokecolor="windowText" strokeweight="1pt" w14:anchorId="2FDFC5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">
                <v:textbox>
                  <w:txbxContent>
                    <w:p w:rsidR="009D1B8A" w:rsidP="009D1B8A" w:rsidRDefault="009D1B8A" w14:paraId="41AB0AAB" w14:textId="77777777">
                      <w:pPr>
                        <w:spacing w:after="0" w:line="240" w:lineRule="auto"/>
                        <w:rPr>
                          <w:rFonts w:ascii="Arial" w:hAnsi="Arial" w:cs="Arial"/>
                          <w:color w:val="000000"/>
                          <w:sz w:val="18"/>
                          <w:szCs w:val="20"/>
                        </w:rPr>
                      </w:pPr>
                      <w:r w:rsidRPr="00ED79FE">
                        <w:rPr>
                          <w:rFonts w:ascii="Arial" w:hAnsi="Arial" w:cs="Arial"/>
                          <w:b/>
                          <w:color w:val="000000"/>
                          <w:sz w:val="18"/>
                          <w:szCs w:val="20"/>
                        </w:rPr>
                        <w:t>Reports assessed for eligibility (n = 70)</w:t>
                      </w:r>
                    </w:p>
                  </w:txbxContent>
                </v:textbox>
              </v:rect>
            </w:pict>
          </mc:Fallback>
        </mc:AlternateContent>
      </w:r>
      <w:r w:rsidRPr="00050094">
        <w:rPr>
          <w:noProof/>
        </w:rPr>
        <mc:AlternateContent>
          <mc:Choice Requires="wps">
            <w:drawing>
              <wp:anchor distT="0" distB="0" distL="114300" distR="114300" simplePos="0" relativeHeight="251667456" behindDoc="0" locked="0" layoutInCell="1" allowOverlap="1" wp14:anchorId="1DD89226" wp14:editId="186B7727">
                <wp:simplePos x="0" y="0"/>
                <wp:positionH relativeFrom="column">
                  <wp:posOffset>540385</wp:posOffset>
                </wp:positionH>
                <wp:positionV relativeFrom="paragraph">
                  <wp:posOffset>4403090</wp:posOffset>
                </wp:positionV>
                <wp:extent cx="1887220" cy="723900"/>
                <wp:effectExtent l="0" t="0" r="17780" b="19050"/>
                <wp:wrapNone/>
                <wp:docPr id="391120593" name="Rectangle 30"/>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rsidRPr="00ED79FE" w:rsidR="009D1B8A" w:rsidP="009D1B8A" w:rsidRDefault="009D1B8A" w14:paraId="77111D97"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Studies included in review (n = 35)</w:t>
                            </w:r>
                          </w:p>
                          <w:p w:rsidR="009D1B8A" w:rsidP="009D1B8A" w:rsidRDefault="009D1B8A" w14:paraId="66A931B3" w14:textId="77777777">
                            <w:pPr>
                              <w:spacing w:after="0" w:line="240" w:lineRule="auto"/>
                              <w:rPr>
                                <w:rFonts w:ascii="Arial" w:hAnsi="Arial" w:cs="Arial"/>
                                <w:color w:val="000000"/>
                                <w:sz w:val="18"/>
                                <w:szCs w:val="20"/>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0" style="position:absolute;margin-left:42.55pt;margin-top:346.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ed="f" strokecolor="windowText" strokeweight="1pt" w14:anchorId="1DD89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">
                <v:textbox>
                  <w:txbxContent>
                    <w:p w:rsidRPr="00ED79FE" w:rsidR="009D1B8A" w:rsidP="009D1B8A" w:rsidRDefault="009D1B8A" w14:paraId="77111D97" w14:textId="77777777">
                      <w:pPr>
                        <w:spacing w:after="0" w:line="240" w:lineRule="auto"/>
                        <w:rPr>
                          <w:rFonts w:ascii="Arial" w:hAnsi="Arial" w:cs="Arial"/>
                          <w:color w:val="000000"/>
                          <w:sz w:val="18"/>
                          <w:szCs w:val="20"/>
                        </w:rPr>
                      </w:pPr>
                      <w:r w:rsidRPr="00ED79FE">
                        <w:rPr>
                          <w:rFonts w:ascii="Arial" w:hAnsi="Arial" w:cs="Arial"/>
                          <w:b/>
                          <w:bCs/>
                          <w:color w:val="000000"/>
                          <w:sz w:val="18"/>
                          <w:szCs w:val="20"/>
                        </w:rPr>
                        <w:t>Studies included in review (n = 35)</w:t>
                      </w:r>
                    </w:p>
                    <w:p w:rsidR="009D1B8A" w:rsidP="009D1B8A" w:rsidRDefault="009D1B8A" w14:paraId="66A931B3" w14:textId="77777777">
                      <w:pPr>
                        <w:spacing w:after="0" w:line="240" w:lineRule="auto"/>
                        <w:rPr>
                          <w:rFonts w:ascii="Arial" w:hAnsi="Arial" w:cs="Arial"/>
                          <w:color w:val="000000"/>
                          <w:sz w:val="18"/>
                          <w:szCs w:val="20"/>
                        </w:rPr>
                      </w:pPr>
                    </w:p>
                  </w:txbxContent>
                </v:textbox>
              </v:rect>
            </w:pict>
          </mc:Fallback>
        </mc:AlternateContent>
      </w:r>
      <w:r w:rsidRPr="00050094">
        <w:rPr>
          <w:noProof/>
        </w:rPr>
        <mc:AlternateContent>
          <mc:Choice Requires="wps">
            <w:drawing>
              <wp:anchor distT="0" distB="0" distL="114300" distR="114300" simplePos="0" relativeHeight="251668480" behindDoc="0" locked="0" layoutInCell="1" allowOverlap="1" wp14:anchorId="6DC6C13F" wp14:editId="7CF082EC">
                <wp:simplePos x="0" y="0"/>
                <wp:positionH relativeFrom="column">
                  <wp:posOffset>2454275</wp:posOffset>
                </wp:positionH>
                <wp:positionV relativeFrom="paragraph">
                  <wp:posOffset>669925</wp:posOffset>
                </wp:positionV>
                <wp:extent cx="563245" cy="0"/>
                <wp:effectExtent l="0" t="76200" r="27305" b="95250"/>
                <wp:wrapNone/>
                <wp:docPr id="297466283" name="Straight Arrow Connector 29"/>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oned="t" filled="f" o:spt="32" path="m,l21600,21600e" w14:anchorId="2DFE2A01">
                <v:path fillok="f" arrowok="t" o:connecttype="none"/>
                <o:lock v:ext="edit" shapetype="t"/>
              </v:shapetype>
              <v:shape id="Straight Arrow Connector 29" style="position:absolute;margin-left:193.25pt;margin-top:52.75pt;width:44.3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">
                <v:stroke joinstyle="miter" endarrow="block"/>
              </v:shape>
            </w:pict>
          </mc:Fallback>
        </mc:AlternateContent>
      </w:r>
      <w:r w:rsidRPr="00050094">
        <w:rPr>
          <w:noProof/>
        </w:rPr>
        <mc:AlternateContent>
          <mc:Choice Requires="wps">
            <w:drawing>
              <wp:anchor distT="0" distB="0" distL="114300" distR="114300" simplePos="0" relativeHeight="251669504" behindDoc="0" locked="0" layoutInCell="1" allowOverlap="1" wp14:anchorId="31DB8D73" wp14:editId="4ECE360A">
                <wp:simplePos x="0" y="0"/>
                <wp:positionH relativeFrom="column">
                  <wp:posOffset>2453640</wp:posOffset>
                </wp:positionH>
                <wp:positionV relativeFrom="paragraph">
                  <wp:posOffset>1814195</wp:posOffset>
                </wp:positionV>
                <wp:extent cx="563245" cy="0"/>
                <wp:effectExtent l="0" t="76200" r="27305" b="95250"/>
                <wp:wrapNone/>
                <wp:docPr id="1998647380" name="Straight Arrow Connector 28"/>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8" style="position:absolute;margin-left:193.2pt;margin-top:142.85pt;width:44.3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" w14:anchorId="08E70F7B">
                <v:stroke joinstyle="miter" endarrow="block"/>
              </v:shape>
            </w:pict>
          </mc:Fallback>
        </mc:AlternateContent>
      </w:r>
      <w:r w:rsidRPr="00050094">
        <w:rPr>
          <w:noProof/>
        </w:rPr>
        <mc:AlternateContent>
          <mc:Choice Requires="wps">
            <w:drawing>
              <wp:anchor distT="0" distB="0" distL="114300" distR="114300" simplePos="0" relativeHeight="251670528" behindDoc="0" locked="0" layoutInCell="1" allowOverlap="1" wp14:anchorId="57FBFF7D" wp14:editId="798540CA">
                <wp:simplePos x="0" y="0"/>
                <wp:positionH relativeFrom="column">
                  <wp:posOffset>2463165</wp:posOffset>
                </wp:positionH>
                <wp:positionV relativeFrom="paragraph">
                  <wp:posOffset>2632075</wp:posOffset>
                </wp:positionV>
                <wp:extent cx="563245" cy="0"/>
                <wp:effectExtent l="0" t="76200" r="27305" b="95250"/>
                <wp:wrapNone/>
                <wp:docPr id="2108927621" name="Straight Arrow Connector 2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7" style="position:absolute;margin-left:193.95pt;margin-top:207.2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" w14:anchorId="77598A1E">
                <v:stroke joinstyle="miter" endarrow="block"/>
              </v:shape>
            </w:pict>
          </mc:Fallback>
        </mc:AlternateContent>
      </w:r>
      <w:r w:rsidRPr="00050094">
        <w:rPr>
          <w:noProof/>
        </w:rPr>
        <mc:AlternateContent>
          <mc:Choice Requires="wps">
            <w:drawing>
              <wp:anchor distT="0" distB="0" distL="114300" distR="114300" simplePos="0" relativeHeight="251671552" behindDoc="0" locked="0" layoutInCell="1" allowOverlap="1" wp14:anchorId="0813722F" wp14:editId="6D101EA8">
                <wp:simplePos x="0" y="0"/>
                <wp:positionH relativeFrom="column">
                  <wp:posOffset>2476500</wp:posOffset>
                </wp:positionH>
                <wp:positionV relativeFrom="paragraph">
                  <wp:posOffset>3431540</wp:posOffset>
                </wp:positionV>
                <wp:extent cx="563245" cy="0"/>
                <wp:effectExtent l="0" t="76200" r="27305" b="95250"/>
                <wp:wrapNone/>
                <wp:docPr id="629288879" name="Straight Arrow Connector 26"/>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6" style="position:absolute;margin-left:195pt;margin-top:270.2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" w14:anchorId="416B1BF2">
                <v:stroke joinstyle="miter" endarrow="block"/>
              </v:shape>
            </w:pict>
          </mc:Fallback>
        </mc:AlternateContent>
      </w:r>
      <w:r w:rsidRPr="00050094">
        <w:rPr>
          <w:noProof/>
        </w:rPr>
        <mc:AlternateContent>
          <mc:Choice Requires="wps">
            <w:drawing>
              <wp:anchor distT="0" distB="0" distL="114300" distR="114300" simplePos="0" relativeHeight="251675648" behindDoc="0" locked="0" layoutInCell="1" allowOverlap="1" wp14:anchorId="1E750BF8" wp14:editId="0B58E32B">
                <wp:simplePos x="0" y="0"/>
                <wp:positionH relativeFrom="column">
                  <wp:posOffset>1400175</wp:posOffset>
                </wp:positionH>
                <wp:positionV relativeFrom="paragraph">
                  <wp:posOffset>1284605</wp:posOffset>
                </wp:positionV>
                <wp:extent cx="0" cy="281305"/>
                <wp:effectExtent l="76200" t="0" r="57150" b="61595"/>
                <wp:wrapNone/>
                <wp:docPr id="97963321" name="Straight Arrow Connector 2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5" style="position:absolute;margin-left:110.25pt;margin-top:101.15pt;width:0;height:22.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" w14:anchorId="2C4B5EA0">
                <v:stroke joinstyle="miter" endarrow="block"/>
              </v:shape>
            </w:pict>
          </mc:Fallback>
        </mc:AlternateContent>
      </w:r>
      <w:r w:rsidRPr="00050094">
        <w:rPr>
          <w:noProof/>
        </w:rPr>
        <mc:AlternateContent>
          <mc:Choice Requires="wps">
            <w:drawing>
              <wp:anchor distT="0" distB="0" distL="114300" distR="114300" simplePos="0" relativeHeight="251676672" behindDoc="0" locked="0" layoutInCell="1" allowOverlap="1" wp14:anchorId="6C0F9354" wp14:editId="2C93EBE3">
                <wp:simplePos x="0" y="0"/>
                <wp:positionH relativeFrom="column">
                  <wp:posOffset>1400175</wp:posOffset>
                </wp:positionH>
                <wp:positionV relativeFrom="paragraph">
                  <wp:posOffset>2080895</wp:posOffset>
                </wp:positionV>
                <wp:extent cx="0" cy="281305"/>
                <wp:effectExtent l="76200" t="0" r="57150" b="61595"/>
                <wp:wrapNone/>
                <wp:docPr id="1107884017" name="Straight Arrow Connector 24"/>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4" style="position:absolute;margin-left:110.25pt;margin-top:163.85pt;width:0;height:2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" w14:anchorId="00FDE544">
                <v:stroke joinstyle="miter" endarrow="block"/>
              </v:shape>
            </w:pict>
          </mc:Fallback>
        </mc:AlternateContent>
      </w:r>
      <w:r w:rsidRPr="00050094">
        <w:rPr>
          <w:noProof/>
        </w:rPr>
        <mc:AlternateContent>
          <mc:Choice Requires="wps">
            <w:drawing>
              <wp:anchor distT="0" distB="0" distL="114300" distR="114300" simplePos="0" relativeHeight="251677696" behindDoc="0" locked="0" layoutInCell="1" allowOverlap="1" wp14:anchorId="41CD2C5F" wp14:editId="772C083B">
                <wp:simplePos x="0" y="0"/>
                <wp:positionH relativeFrom="column">
                  <wp:posOffset>1409700</wp:posOffset>
                </wp:positionH>
                <wp:positionV relativeFrom="paragraph">
                  <wp:posOffset>2863215</wp:posOffset>
                </wp:positionV>
                <wp:extent cx="0" cy="281305"/>
                <wp:effectExtent l="76200" t="0" r="57150" b="61595"/>
                <wp:wrapNone/>
                <wp:docPr id="610040483" name="Straight Arrow Connector 23"/>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3" style="position:absolute;margin-left:111pt;margin-top:225.45pt;width:0;height:22.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" w14:anchorId="3EDA9C3B">
                <v:stroke joinstyle="miter" endarrow="block"/>
              </v:shape>
            </w:pict>
          </mc:Fallback>
        </mc:AlternateContent>
      </w:r>
      <w:r w:rsidRPr="00050094">
        <w:rPr>
          <w:noProof/>
        </w:rPr>
        <mc:AlternateContent>
          <mc:Choice Requires="wps">
            <w:drawing>
              <wp:anchor distT="0" distB="0" distL="114300" distR="114300" simplePos="0" relativeHeight="251678720" behindDoc="0" locked="0" layoutInCell="1" allowOverlap="1" wp14:anchorId="6F44C9D3" wp14:editId="3CFF9060">
                <wp:simplePos x="0" y="0"/>
                <wp:positionH relativeFrom="column">
                  <wp:posOffset>1400810</wp:posOffset>
                </wp:positionH>
                <wp:positionV relativeFrom="paragraph">
                  <wp:posOffset>3662045</wp:posOffset>
                </wp:positionV>
                <wp:extent cx="0" cy="746125"/>
                <wp:effectExtent l="76200" t="0" r="57150" b="53975"/>
                <wp:wrapNone/>
                <wp:docPr id="1850345479" name="Straight Arrow Connector 22"/>
                <wp:cNvGraphicFramePr/>
                <a:graphic xmlns:a="http://schemas.openxmlformats.org/drawingml/2006/main">
                  <a:graphicData uri="http://schemas.microsoft.com/office/word/2010/wordprocessingShape">
                    <wps:wsp>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id="Straight Arrow Connector 22" style="position:absolute;margin-left:110.3pt;margin-top:288.35pt;width:0;height:5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windowText"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" w14:anchorId="3008991D">
                <v:stroke joinstyle="miter" endarrow="block"/>
              </v:shape>
            </w:pict>
          </mc:Fallback>
        </mc:AlternateContent>
      </w:r>
      <w:r w:rsidRPr="00050094">
        <w:rPr>
          <w:noProof/>
        </w:rPr>
        <mc:AlternateContent>
          <mc:Choice Requires="wps">
            <w:drawing>
              <wp:anchor distT="0" distB="0" distL="114300" distR="114300" simplePos="0" relativeHeight="251673600" behindDoc="0" locked="0" layoutInCell="1" allowOverlap="1" wp14:anchorId="33527BEE" wp14:editId="7E69371E">
                <wp:simplePos x="0" y="0"/>
                <wp:positionH relativeFrom="column">
                  <wp:posOffset>-1160780</wp:posOffset>
                </wp:positionH>
                <wp:positionV relativeFrom="paragraph">
                  <wp:posOffset>2781935</wp:posOffset>
                </wp:positionV>
                <wp:extent cx="2787650" cy="262890"/>
                <wp:effectExtent l="5080" t="0" r="17780" b="17780"/>
                <wp:wrapNone/>
                <wp:docPr id="870262360" name="Flowchart: Alternate Process 21"/>
                <wp:cNvGraphicFramePr/>
                <a:graphic xmlns:a="http://schemas.openxmlformats.org/drawingml/2006/main">
                  <a:graphicData uri="http://schemas.microsoft.com/office/word/2010/wordprocessingShape">
                    <wps:wsp>
                      <wps:cNvSpPr/>
                      <wps:spPr>
                        <a:xfrm rot="16200000">
                          <a:off x="0" y="0"/>
                          <a:ext cx="2787650"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9D1B8A" w:rsidP="009D1B8A" w:rsidRDefault="009D1B8A" w14:paraId="70F5B65E" w14:textId="77777777">
                            <w:pPr>
                              <w:spacing w:after="0" w:line="240" w:lineRule="auto"/>
                              <w:jc w:val="center"/>
                              <w:rPr>
                                <w:rFonts w:ascii="Arial" w:hAnsi="Arial" w:cs="Arial"/>
                                <w:color w:val="000000"/>
                                <w:sz w:val="18"/>
                                <w:szCs w:val="18"/>
                              </w:rPr>
                            </w:pPr>
                            <w:r>
                              <w:rPr>
                                <w:rFonts w:ascii="Arial" w:hAnsi="Arial" w:cs="Arial"/>
                                <w:color w:val="000000"/>
                                <w:sz w:val="18"/>
                                <w:szCs w:val="18"/>
                              </w:rPr>
                              <w:t>Screening</w:t>
                            </w:r>
                          </w:p>
                          <w:p w:rsidR="009D1B8A" w:rsidP="009D1B8A" w:rsidRDefault="009D1B8A" w14:paraId="1D622478" w14:textId="77777777">
                            <w:pPr>
                              <w:spacing w:after="0" w:line="240" w:lineRule="auto"/>
                              <w:rPr>
                                <w:rFonts w:ascii="Arial" w:hAnsi="Arial" w:cs="Arial"/>
                                <w:b/>
                                <w:color w:val="000000"/>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1" style="position:absolute;margin-left:-91.4pt;margin-top:219.05pt;width:219.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9dc3e6" strokecolor="windowText"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" w14:anchorId="33527BEE">
                <v:textbox>
                  <w:txbxContent>
                    <w:p w:rsidR="009D1B8A" w:rsidP="009D1B8A" w:rsidRDefault="009D1B8A" w14:paraId="70F5B65E" w14:textId="77777777">
                      <w:pPr>
                        <w:spacing w:after="0" w:line="240" w:lineRule="auto"/>
                        <w:jc w:val="center"/>
                        <w:rPr>
                          <w:rFonts w:ascii="Arial" w:hAnsi="Arial" w:cs="Arial"/>
                          <w:color w:val="000000"/>
                          <w:sz w:val="18"/>
                          <w:szCs w:val="18"/>
                        </w:rPr>
                      </w:pPr>
                      <w:r>
                        <w:rPr>
                          <w:rFonts w:ascii="Arial" w:hAnsi="Arial" w:cs="Arial"/>
                          <w:color w:val="000000"/>
                          <w:sz w:val="18"/>
                          <w:szCs w:val="18"/>
                        </w:rPr>
                        <w:t>Screening</w:t>
                      </w:r>
                    </w:p>
                    <w:p w:rsidR="009D1B8A" w:rsidP="009D1B8A" w:rsidRDefault="009D1B8A" w14:paraId="1D622478" w14:textId="77777777">
                      <w:pPr>
                        <w:spacing w:after="0" w:line="240" w:lineRule="auto"/>
                        <w:rPr>
                          <w:rFonts w:ascii="Arial" w:hAnsi="Arial" w:cs="Arial"/>
                          <w:b/>
                          <w:color w:val="000000"/>
                          <w:sz w:val="18"/>
                          <w:szCs w:val="18"/>
                        </w:rPr>
                      </w:pPr>
                    </w:p>
                  </w:txbxContent>
                </v:textbox>
              </v:shape>
            </w:pict>
          </mc:Fallback>
        </mc:AlternateContent>
      </w:r>
    </w:p>
    <w:p w:rsidRPr="00050094" w:rsidR="009D1B8A" w:rsidP="003502E9" w:rsidRDefault="009D1B8A" w14:paraId="3A624900" w14:textId="77777777">
      <w:pPr>
        <w:spacing w:line="360" w:lineRule="auto"/>
        <w:rPr>
          <w:lang w:val="en-AU"/>
        </w:rPr>
      </w:pPr>
    </w:p>
    <w:p w:rsidRPr="00050094" w:rsidR="009D1B8A" w:rsidP="003502E9" w:rsidRDefault="009D1B8A" w14:paraId="679753F9" w14:textId="77777777">
      <w:pPr>
        <w:spacing w:line="360" w:lineRule="auto"/>
        <w:rPr>
          <w:lang w:val="en-AU"/>
        </w:rPr>
      </w:pPr>
    </w:p>
    <w:p w:rsidRPr="00050094" w:rsidR="009D1B8A" w:rsidP="003502E9" w:rsidRDefault="009D1B8A" w14:paraId="337D6288" w14:textId="77777777">
      <w:pPr>
        <w:spacing w:line="360" w:lineRule="auto"/>
        <w:rPr>
          <w:lang w:val="en-AU"/>
        </w:rPr>
      </w:pPr>
    </w:p>
    <w:p w:rsidRPr="00050094" w:rsidR="009D1B8A" w:rsidP="003502E9" w:rsidRDefault="009D1B8A" w14:paraId="6C39C489" w14:textId="77777777">
      <w:pPr>
        <w:spacing w:line="360" w:lineRule="auto"/>
        <w:rPr>
          <w:lang w:val="en-AU"/>
        </w:rPr>
      </w:pPr>
      <w:r w:rsidRPr="00050094">
        <w:rPr>
          <w:noProof/>
        </w:rPr>
        <mc:AlternateContent>
          <mc:Choice Requires="wps">
            <w:drawing>
              <wp:anchor distT="0" distB="0" distL="114300" distR="114300" simplePos="0" relativeHeight="251661312" behindDoc="0" locked="0" layoutInCell="1" allowOverlap="1" wp14:anchorId="25747C0D" wp14:editId="00C7C5D5">
                <wp:simplePos x="0" y="0"/>
                <wp:positionH relativeFrom="column">
                  <wp:posOffset>562131</wp:posOffset>
                </wp:positionH>
                <wp:positionV relativeFrom="paragraph">
                  <wp:posOffset>100996</wp:posOffset>
                </wp:positionV>
                <wp:extent cx="1887220" cy="569626"/>
                <wp:effectExtent l="0" t="0" r="17780" b="14605"/>
                <wp:wrapNone/>
                <wp:docPr id="59104107" name="Rectangle 36"/>
                <wp:cNvGraphicFramePr/>
                <a:graphic xmlns:a="http://schemas.openxmlformats.org/drawingml/2006/main">
                  <a:graphicData uri="http://schemas.microsoft.com/office/word/2010/wordprocessingShape">
                    <wps:wsp>
                      <wps:cNvSpPr/>
                      <wps:spPr>
                        <a:xfrm>
                          <a:off x="0" y="0"/>
                          <a:ext cx="1887220" cy="569626"/>
                        </a:xfrm>
                        <a:prstGeom prst="rect">
                          <a:avLst/>
                        </a:prstGeom>
                        <a:noFill/>
                        <a:ln w="12700" cap="flat" cmpd="sng" algn="ctr">
                          <a:solidFill>
                            <a:sysClr val="windowText" lastClr="000000"/>
                          </a:solidFill>
                          <a:prstDash val="solid"/>
                          <a:miter lim="800000"/>
                        </a:ln>
                        <a:effectLst/>
                      </wps:spPr>
                      <wps:txbx>
                        <w:txbxContent>
                          <w:p w:rsidRPr="00ED79FE" w:rsidR="009D1B8A" w:rsidP="009D1B8A" w:rsidRDefault="009D1B8A" w14:paraId="676F4896"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Records screened based on title and abstract (n = 100)</w:t>
                            </w:r>
                          </w:p>
                          <w:p w:rsidR="009D1B8A" w:rsidP="009D1B8A" w:rsidRDefault="009D1B8A" w14:paraId="33409043" w14:textId="77777777">
                            <w:pPr>
                              <w:spacing w:after="0" w:line="240" w:lineRule="auto"/>
                              <w:rPr>
                                <w:rFonts w:ascii="Arial" w:hAnsi="Arial" w:cs="Arial"/>
                                <w:color w:val="000000"/>
                                <w:sz w:val="18"/>
                                <w:szCs w:val="20"/>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6" style="position:absolute;margin-left:44.25pt;margin-top:7.95pt;width:148.6pt;height:44.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ed="f" strokecolor="windowText" strokeweight="1pt" w14:anchorId="25747C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">
                <v:textbox>
                  <w:txbxContent>
                    <w:p w:rsidRPr="00ED79FE" w:rsidR="009D1B8A" w:rsidP="009D1B8A" w:rsidRDefault="009D1B8A" w14:paraId="676F4896" w14:textId="77777777">
                      <w:pPr>
                        <w:spacing w:after="0" w:line="240" w:lineRule="auto"/>
                        <w:rPr>
                          <w:rFonts w:ascii="Arial" w:hAnsi="Arial" w:cs="Arial"/>
                          <w:bCs/>
                          <w:color w:val="000000"/>
                          <w:sz w:val="18"/>
                          <w:szCs w:val="20"/>
                        </w:rPr>
                      </w:pPr>
                      <w:r w:rsidRPr="00ED79FE">
                        <w:rPr>
                          <w:rFonts w:ascii="Arial" w:hAnsi="Arial" w:cs="Arial"/>
                          <w:b/>
                          <w:bCs/>
                          <w:color w:val="000000"/>
                          <w:sz w:val="18"/>
                          <w:szCs w:val="20"/>
                        </w:rPr>
                        <w:t>Records screened based on title and abstract (n = 100)</w:t>
                      </w:r>
                    </w:p>
                    <w:p w:rsidR="009D1B8A" w:rsidP="009D1B8A" w:rsidRDefault="009D1B8A" w14:paraId="33409043" w14:textId="77777777">
                      <w:pPr>
                        <w:spacing w:after="0" w:line="240" w:lineRule="auto"/>
                        <w:rPr>
                          <w:rFonts w:ascii="Arial" w:hAnsi="Arial" w:cs="Arial"/>
                          <w:color w:val="000000"/>
                          <w:sz w:val="18"/>
                          <w:szCs w:val="20"/>
                        </w:rPr>
                      </w:pPr>
                    </w:p>
                  </w:txbxContent>
                </v:textbox>
              </v:rect>
            </w:pict>
          </mc:Fallback>
        </mc:AlternateContent>
      </w:r>
    </w:p>
    <w:p w:rsidRPr="00050094" w:rsidR="009D1B8A" w:rsidP="003502E9" w:rsidRDefault="009D1B8A" w14:paraId="7F35A065" w14:textId="77777777">
      <w:pPr>
        <w:spacing w:line="360" w:lineRule="auto"/>
        <w:rPr>
          <w:lang w:val="en-AU"/>
        </w:rPr>
      </w:pPr>
    </w:p>
    <w:p w:rsidRPr="00050094" w:rsidR="009D1B8A" w:rsidP="003502E9" w:rsidRDefault="009D1B8A" w14:paraId="475740CC" w14:textId="77777777">
      <w:pPr>
        <w:spacing w:line="360" w:lineRule="auto"/>
        <w:rPr>
          <w:lang w:val="en-AU"/>
        </w:rPr>
      </w:pPr>
    </w:p>
    <w:p w:rsidRPr="00050094" w:rsidR="009D1B8A" w:rsidP="003502E9" w:rsidRDefault="009D1B8A" w14:paraId="795DA08E" w14:textId="77777777">
      <w:pPr>
        <w:spacing w:line="360" w:lineRule="auto"/>
        <w:rPr>
          <w:lang w:val="en-AU"/>
        </w:rPr>
      </w:pPr>
    </w:p>
    <w:p w:rsidR="009D1B8A" w:rsidP="003502E9" w:rsidRDefault="009D1B8A" w14:paraId="17E56E9C" w14:textId="77777777">
      <w:pPr>
        <w:spacing w:line="360" w:lineRule="auto"/>
      </w:pPr>
      <w:r w:rsidRPr="00050094">
        <w:rPr>
          <w:noProof/>
        </w:rPr>
        <mc:AlternateContent>
          <mc:Choice Requires="wps">
            <w:drawing>
              <wp:anchor distT="0" distB="0" distL="114300" distR="114300" simplePos="0" relativeHeight="251666432" behindDoc="0" locked="0" layoutInCell="1" allowOverlap="1" wp14:anchorId="0AFD3E52" wp14:editId="304C7D46">
                <wp:simplePos x="0" y="0"/>
                <wp:positionH relativeFrom="column">
                  <wp:posOffset>3057993</wp:posOffset>
                </wp:positionH>
                <wp:positionV relativeFrom="paragraph">
                  <wp:posOffset>231994</wp:posOffset>
                </wp:positionV>
                <wp:extent cx="1887220" cy="1776334"/>
                <wp:effectExtent l="0" t="0" r="17780" b="14605"/>
                <wp:wrapNone/>
                <wp:docPr id="341100111" name="Rectangle 31"/>
                <wp:cNvGraphicFramePr/>
                <a:graphic xmlns:a="http://schemas.openxmlformats.org/drawingml/2006/main">
                  <a:graphicData uri="http://schemas.microsoft.com/office/word/2010/wordprocessingShape">
                    <wps:wsp>
                      <wps:cNvSpPr/>
                      <wps:spPr>
                        <a:xfrm>
                          <a:off x="0" y="0"/>
                          <a:ext cx="1887220" cy="1776334"/>
                        </a:xfrm>
                        <a:prstGeom prst="rect">
                          <a:avLst/>
                        </a:prstGeom>
                        <a:noFill/>
                        <a:ln w="12700" cap="flat" cmpd="sng" algn="ctr">
                          <a:solidFill>
                            <a:sysClr val="windowText" lastClr="000000"/>
                          </a:solidFill>
                          <a:prstDash val="solid"/>
                          <a:miter lim="800000"/>
                        </a:ln>
                        <a:effectLst/>
                      </wps:spPr>
                      <wps:txbx>
                        <w:txbxContent>
                          <w:p w:rsidRPr="003B3AB5" w:rsidR="009D1B8A" w:rsidP="009D1B8A" w:rsidRDefault="009D1B8A" w14:paraId="30D5F388" w14:textId="77777777">
                            <w:pPr>
                              <w:spacing w:after="0" w:line="276" w:lineRule="auto"/>
                              <w:ind w:left="284"/>
                              <w:rPr>
                                <w:rFonts w:ascii="Arial" w:hAnsi="Arial" w:cs="Arial"/>
                                <w:color w:val="000000"/>
                                <w:sz w:val="16"/>
                                <w:szCs w:val="16"/>
                              </w:rPr>
                            </w:pPr>
                            <w:r w:rsidRPr="00ED79FE">
                              <w:rPr>
                                <w:rFonts w:ascii="Arial" w:hAnsi="Arial" w:cs="Arial"/>
                                <w:bCs/>
                                <w:color w:val="000000"/>
                                <w:sz w:val="16"/>
                                <w:szCs w:val="16"/>
                                <w:lang w:val="en-GB"/>
                              </w:rPr>
                              <w:t>Reports excluded (n = 35):</w:t>
                            </w:r>
                            <w:r w:rsidRPr="00ED79FE">
                              <w:rPr>
                                <w:rFonts w:ascii="Arial" w:hAnsi="Arial" w:cs="Arial"/>
                                <w:b/>
                                <w:color w:val="000000"/>
                                <w:sz w:val="16"/>
                                <w:szCs w:val="16"/>
                                <w:lang w:val="en-GB"/>
                              </w:rPr>
                              <w:br/>
                              <w:t>• Not relevant to family support (n = 12)</w:t>
                            </w:r>
                            <w:r w:rsidRPr="00ED79FE">
                              <w:rPr>
                                <w:rFonts w:ascii="Arial" w:hAnsi="Arial" w:cs="Arial"/>
                                <w:b/>
                                <w:color w:val="000000"/>
                                <w:sz w:val="16"/>
                                <w:szCs w:val="16"/>
                                <w:lang w:val="en-GB"/>
                              </w:rPr>
                              <w:br/>
                              <w:t>• Not focused on UK context (n = 10)</w:t>
                            </w:r>
                            <w:r w:rsidRPr="00ED79FE">
                              <w:rPr>
                                <w:rFonts w:ascii="Arial" w:hAnsi="Arial" w:cs="Arial"/>
                                <w:b/>
                                <w:color w:val="000000"/>
                                <w:sz w:val="16"/>
                                <w:szCs w:val="16"/>
                                <w:lang w:val="en-GB"/>
                              </w:rPr>
                              <w:br/>
                              <w:t>• Review articles / non-empirical studies (n = 5)</w:t>
                            </w:r>
                            <w:r w:rsidRPr="00ED79FE">
                              <w:rPr>
                                <w:rFonts w:ascii="Arial" w:hAnsi="Arial" w:cs="Arial"/>
                                <w:b/>
                                <w:color w:val="000000"/>
                                <w:sz w:val="16"/>
                                <w:szCs w:val="16"/>
                                <w:lang w:val="en-GB"/>
                              </w:rPr>
                              <w:br/>
                              <w:t>• Incomplete data or methodological limitations (n = 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style="position:absolute;margin-left:240.8pt;margin-top:18.25pt;width:148.6pt;height:139.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ed="f" strokecolor="windowText" strokeweight="1pt" w14:anchorId="0AFD3E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">
                <v:textbox>
                  <w:txbxContent>
                    <w:p w:rsidRPr="003B3AB5" w:rsidR="009D1B8A" w:rsidP="009D1B8A" w:rsidRDefault="009D1B8A" w14:paraId="30D5F388" w14:textId="77777777">
                      <w:pPr>
                        <w:spacing w:after="0" w:line="276" w:lineRule="auto"/>
                        <w:ind w:left="284"/>
                        <w:rPr>
                          <w:rFonts w:ascii="Arial" w:hAnsi="Arial" w:cs="Arial"/>
                          <w:color w:val="000000"/>
                          <w:sz w:val="16"/>
                          <w:szCs w:val="16"/>
                        </w:rPr>
                      </w:pPr>
                      <w:r w:rsidRPr="00ED79FE">
                        <w:rPr>
                          <w:rFonts w:ascii="Arial" w:hAnsi="Arial" w:cs="Arial"/>
                          <w:bCs/>
                          <w:color w:val="000000"/>
                          <w:sz w:val="16"/>
                          <w:szCs w:val="16"/>
                          <w:lang w:val="en-GB"/>
                        </w:rPr>
                        <w:t>Reports excluded (n = 35):</w:t>
                      </w:r>
                      <w:r w:rsidRPr="00ED79FE">
                        <w:rPr>
                          <w:rFonts w:ascii="Arial" w:hAnsi="Arial" w:cs="Arial"/>
                          <w:b/>
                          <w:color w:val="000000"/>
                          <w:sz w:val="16"/>
                          <w:szCs w:val="16"/>
                          <w:lang w:val="en-GB"/>
                        </w:rPr>
                        <w:br/>
                        <w:t>• Not relevant to family support (n = 12)</w:t>
                      </w:r>
                      <w:r w:rsidRPr="00ED79FE">
                        <w:rPr>
                          <w:rFonts w:ascii="Arial" w:hAnsi="Arial" w:cs="Arial"/>
                          <w:b/>
                          <w:color w:val="000000"/>
                          <w:sz w:val="16"/>
                          <w:szCs w:val="16"/>
                          <w:lang w:val="en-GB"/>
                        </w:rPr>
                        <w:br/>
                        <w:t>• Not focused on UK context (n = 10)</w:t>
                      </w:r>
                      <w:r w:rsidRPr="00ED79FE">
                        <w:rPr>
                          <w:rFonts w:ascii="Arial" w:hAnsi="Arial" w:cs="Arial"/>
                          <w:b/>
                          <w:color w:val="000000"/>
                          <w:sz w:val="16"/>
                          <w:szCs w:val="16"/>
                          <w:lang w:val="en-GB"/>
                        </w:rPr>
                        <w:br/>
                        <w:t>• Review articles / non-empirical studies (n = 5)</w:t>
                      </w:r>
                      <w:r w:rsidRPr="00ED79FE">
                        <w:rPr>
                          <w:rFonts w:ascii="Arial" w:hAnsi="Arial" w:cs="Arial"/>
                          <w:b/>
                          <w:color w:val="000000"/>
                          <w:sz w:val="16"/>
                          <w:szCs w:val="16"/>
                          <w:lang w:val="en-GB"/>
                        </w:rPr>
                        <w:br/>
                        <w:t>• Incomplete data or methodological limitations (n = 8)</w:t>
                      </w:r>
                    </w:p>
                  </w:txbxContent>
                </v:textbox>
              </v:rect>
            </w:pict>
          </mc:Fallback>
        </mc:AlternateContent>
      </w:r>
    </w:p>
    <w:p w:rsidRPr="009D1B8A" w:rsidR="009D1B8A" w:rsidP="003502E9" w:rsidRDefault="009D1B8A" w14:paraId="09CE619F" w14:textId="77777777">
      <w:pPr>
        <w:spacing w:line="360" w:lineRule="auto"/>
      </w:pPr>
    </w:p>
    <w:sectPr w:rsidRPr="009D1B8A" w:rsidR="009D1B8A" w:rsidSect="004A27DF">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25918"/>
    <w:multiLevelType w:val="multilevel"/>
    <w:tmpl w:val="90C66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54468"/>
    <w:multiLevelType w:val="multilevel"/>
    <w:tmpl w:val="368031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3633A77"/>
    <w:multiLevelType w:val="hybridMultilevel"/>
    <w:tmpl w:val="62A25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642234">
    <w:abstractNumId w:val="1"/>
  </w:num>
  <w:num w:numId="2" w16cid:durableId="1127624625">
    <w:abstractNumId w:val="0"/>
  </w:num>
  <w:num w:numId="3" w16cid:durableId="1505050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7DF"/>
    <w:rsid w:val="00040023"/>
    <w:rsid w:val="00050094"/>
    <w:rsid w:val="00053EB8"/>
    <w:rsid w:val="00080D6F"/>
    <w:rsid w:val="0008442A"/>
    <w:rsid w:val="000F11C2"/>
    <w:rsid w:val="001B41A2"/>
    <w:rsid w:val="001D130F"/>
    <w:rsid w:val="00275A3E"/>
    <w:rsid w:val="002C5E45"/>
    <w:rsid w:val="003502E9"/>
    <w:rsid w:val="00434395"/>
    <w:rsid w:val="004A27DF"/>
    <w:rsid w:val="006210ED"/>
    <w:rsid w:val="006460AC"/>
    <w:rsid w:val="00707F9F"/>
    <w:rsid w:val="007174F8"/>
    <w:rsid w:val="00841283"/>
    <w:rsid w:val="009D1B8A"/>
    <w:rsid w:val="00A51233"/>
    <w:rsid w:val="00B05CED"/>
    <w:rsid w:val="00C44C25"/>
    <w:rsid w:val="00C776C7"/>
    <w:rsid w:val="00CE4548"/>
    <w:rsid w:val="00CF3194"/>
    <w:rsid w:val="00D27592"/>
    <w:rsid w:val="00D64613"/>
    <w:rsid w:val="00E64263"/>
    <w:rsid w:val="00EF4CBB"/>
    <w:rsid w:val="00F042AB"/>
    <w:rsid w:val="00F66464"/>
    <w:rsid w:val="00FF3442"/>
    <w:rsid w:val="02260A75"/>
    <w:rsid w:val="0964F81F"/>
    <w:rsid w:val="0C76C74C"/>
    <w:rsid w:val="0EB7295C"/>
    <w:rsid w:val="2880D54A"/>
    <w:rsid w:val="34EEA17A"/>
    <w:rsid w:val="354B0A7E"/>
    <w:rsid w:val="382047FA"/>
    <w:rsid w:val="3E036FF8"/>
    <w:rsid w:val="4263EF84"/>
    <w:rsid w:val="4A4EF694"/>
    <w:rsid w:val="50464EEC"/>
    <w:rsid w:val="60716732"/>
    <w:rsid w:val="630E7ECE"/>
    <w:rsid w:val="6895F3F2"/>
    <w:rsid w:val="6DE82581"/>
    <w:rsid w:val="71248F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0FC85"/>
  <w15:chartTrackingRefBased/>
  <w15:docId w15:val="{169E539A-EB05-4A85-99A0-1AC73FA49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27D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A27D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A27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27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27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2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7D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27D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4A27D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4A27D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A27D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A27D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A27D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A27D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A27D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A27DF"/>
    <w:rPr>
      <w:rFonts w:eastAsiaTheme="majorEastAsia" w:cstheme="majorBidi"/>
      <w:color w:val="272727" w:themeColor="text1" w:themeTint="D8"/>
    </w:rPr>
  </w:style>
  <w:style w:type="paragraph" w:styleId="Title">
    <w:name w:val="Title"/>
    <w:basedOn w:val="Normal"/>
    <w:next w:val="Normal"/>
    <w:link w:val="TitleChar"/>
    <w:uiPriority w:val="10"/>
    <w:qFormat/>
    <w:rsid w:val="004A27D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A27D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A27D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A2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7DF"/>
    <w:pPr>
      <w:spacing w:before="160"/>
      <w:jc w:val="center"/>
    </w:pPr>
    <w:rPr>
      <w:i/>
      <w:iCs/>
      <w:color w:val="404040" w:themeColor="text1" w:themeTint="BF"/>
    </w:rPr>
  </w:style>
  <w:style w:type="character" w:styleId="QuoteChar" w:customStyle="1">
    <w:name w:val="Quote Char"/>
    <w:basedOn w:val="DefaultParagraphFont"/>
    <w:link w:val="Quote"/>
    <w:uiPriority w:val="29"/>
    <w:rsid w:val="004A27DF"/>
    <w:rPr>
      <w:i/>
      <w:iCs/>
      <w:color w:val="404040" w:themeColor="text1" w:themeTint="BF"/>
    </w:rPr>
  </w:style>
  <w:style w:type="paragraph" w:styleId="ListParagraph">
    <w:name w:val="List Paragraph"/>
    <w:basedOn w:val="Normal"/>
    <w:uiPriority w:val="34"/>
    <w:qFormat/>
    <w:rsid w:val="004A27DF"/>
    <w:pPr>
      <w:ind w:left="720"/>
      <w:contextualSpacing/>
    </w:pPr>
  </w:style>
  <w:style w:type="character" w:styleId="IntenseEmphasis">
    <w:name w:val="Intense Emphasis"/>
    <w:basedOn w:val="DefaultParagraphFont"/>
    <w:uiPriority w:val="21"/>
    <w:qFormat/>
    <w:rsid w:val="004A27DF"/>
    <w:rPr>
      <w:i/>
      <w:iCs/>
      <w:color w:val="2F5496" w:themeColor="accent1" w:themeShade="BF"/>
    </w:rPr>
  </w:style>
  <w:style w:type="paragraph" w:styleId="IntenseQuote">
    <w:name w:val="Intense Quote"/>
    <w:basedOn w:val="Normal"/>
    <w:next w:val="Normal"/>
    <w:link w:val="IntenseQuoteChar"/>
    <w:uiPriority w:val="30"/>
    <w:qFormat/>
    <w:rsid w:val="004A27D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A27DF"/>
    <w:rPr>
      <w:i/>
      <w:iCs/>
      <w:color w:val="2F5496" w:themeColor="accent1" w:themeShade="BF"/>
    </w:rPr>
  </w:style>
  <w:style w:type="character" w:styleId="IntenseReference">
    <w:name w:val="Intense Reference"/>
    <w:basedOn w:val="DefaultParagraphFont"/>
    <w:uiPriority w:val="32"/>
    <w:qFormat/>
    <w:rsid w:val="004A27DF"/>
    <w:rPr>
      <w:b/>
      <w:bCs/>
      <w:smallCaps/>
      <w:color w:val="2F5496" w:themeColor="accent1" w:themeShade="BF"/>
      <w:spacing w:val="5"/>
    </w:rPr>
  </w:style>
  <w:style w:type="character" w:styleId="Strong">
    <w:name w:val="Strong"/>
    <w:basedOn w:val="DefaultParagraphFont"/>
    <w:uiPriority w:val="22"/>
    <w:qFormat/>
    <w:rsid w:val="004A27DF"/>
    <w:rPr>
      <w:b/>
      <w:bCs/>
    </w:rPr>
  </w:style>
  <w:style w:type="paragraph" w:styleId="NormalWeb">
    <w:name w:val="Normal (Web)"/>
    <w:basedOn w:val="Normal"/>
    <w:uiPriority w:val="99"/>
    <w:semiHidden/>
    <w:unhideWhenUsed/>
    <w:rsid w:val="004A27DF"/>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Hyperlink">
    <w:name w:val="Hyperlink"/>
    <w:basedOn w:val="DefaultParagraphFont"/>
    <w:uiPriority w:val="99"/>
    <w:unhideWhenUsed/>
    <w:rsid w:val="00050094"/>
    <w:rPr>
      <w:color w:val="0563C1" w:themeColor="hyperlink"/>
      <w:u w:val="single"/>
    </w:rPr>
  </w:style>
  <w:style w:type="character" w:styleId="UnresolvedMention">
    <w:name w:val="Unresolved Mention"/>
    <w:basedOn w:val="DefaultParagraphFont"/>
    <w:uiPriority w:val="99"/>
    <w:semiHidden/>
    <w:unhideWhenUsed/>
    <w:rsid w:val="00050094"/>
    <w:rPr>
      <w:color w:val="605E5C"/>
      <w:shd w:val="clear" w:color="auto" w:fill="E1DFDD"/>
    </w:rPr>
  </w:style>
  <w:style w:type="paragraph" w:styleId="TOCHeading">
    <w:name w:val="TOC Heading"/>
    <w:basedOn w:val="Heading1"/>
    <w:next w:val="Normal"/>
    <w:uiPriority w:val="39"/>
    <w:unhideWhenUsed/>
    <w:qFormat/>
    <w:rsid w:val="0005009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0094"/>
    <w:pPr>
      <w:spacing w:after="100"/>
    </w:pPr>
  </w:style>
  <w:style w:type="paragraph" w:styleId="TOC2">
    <w:name w:val="toc 2"/>
    <w:basedOn w:val="Normal"/>
    <w:next w:val="Normal"/>
    <w:autoRedefine/>
    <w:uiPriority w:val="39"/>
    <w:unhideWhenUsed/>
    <w:rsid w:val="00050094"/>
    <w:pPr>
      <w:spacing w:after="100"/>
      <w:ind w:left="240"/>
    </w:pPr>
  </w:style>
  <w:style w:type="paragraph" w:styleId="TOC3">
    <w:name w:val="toc 3"/>
    <w:basedOn w:val="Normal"/>
    <w:next w:val="Normal"/>
    <w:autoRedefine/>
    <w:uiPriority w:val="39"/>
    <w:unhideWhenUsed/>
    <w:rsid w:val="0005009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07/s10591-025-09768-6" TargetMode="External" Id="rId13" /><Relationship Type="http://schemas.openxmlformats.org/officeDocument/2006/relationships/hyperlink" Target="https://www.gov.uk/government/publications/data-saves-lives-reshaping-health-and-social-care-with-data/data-saves-lives-reshaping-health-and-social-care-with-data" TargetMode="External" Id="rId18" /><Relationship Type="http://schemas.openxmlformats.org/officeDocument/2006/relationships/hyperlink" Target="https://doi.org/10.13140/RG.2.2.13084.71048" TargetMode="External" Id="rId26" /><Relationship Type="http://schemas.openxmlformats.org/officeDocument/2006/relationships/theme" Target="theme/theme1.xml" Id="rId39" /><Relationship Type="http://schemas.openxmlformats.org/officeDocument/2006/relationships/hyperlink" Target="https://doi.org/10.1080/0312407x.2023.2267037" TargetMode="External" Id="rId21" /><Relationship Type="http://schemas.openxmlformats.org/officeDocument/2006/relationships/hyperlink" Target="https://doi.org/10.1016/j.ijsu.2021.105918" TargetMode="External" Id="rId34" /><Relationship Type="http://schemas.openxmlformats.org/officeDocument/2006/relationships/image" Target="cid:image001.png@01D0EA4A.2BD679A0" TargetMode="External" Id="rId7" /><Relationship Type="http://schemas.openxmlformats.org/officeDocument/2006/relationships/hyperlink" Target="https://www.scirp.org/reference/referencespapers?referenceid=741527" TargetMode="External" Id="rId12" /><Relationship Type="http://schemas.openxmlformats.org/officeDocument/2006/relationships/hyperlink" Target="https://doi.org/10.1016/j.childyouth.2023.106860" TargetMode="External" Id="rId17" /><Relationship Type="http://schemas.openxmlformats.org/officeDocument/2006/relationships/hyperlink" Target="https://doi.org/10.1016/j.glohj.2025.02.004" TargetMode="External" Id="rId25" /><Relationship Type="http://schemas.openxmlformats.org/officeDocument/2006/relationships/hyperlink" Target="https://doi.org/10.1017/9781316339275" TargetMode="External" Id="rId33"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hyperlink" Target="https://doi.org/10.1007/s11469-023-01170-3" TargetMode="External" Id="rId16" /><Relationship Type="http://schemas.openxmlformats.org/officeDocument/2006/relationships/hyperlink" Target="https://doi.org/10.61194/jrkpk.v1i2.656" TargetMode="External" Id="rId20" /><Relationship Type="http://schemas.openxmlformats.org/officeDocument/2006/relationships/hyperlink" Target="https://www.england.nhs.uk/mental-health/adults/cmhs/"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doi.org/10.1080/2156857x.2020.1868553" TargetMode="External" Id="rId11" /><Relationship Type="http://schemas.openxmlformats.org/officeDocument/2006/relationships/hyperlink" Target="https://doi.org/10.3390/psychiatryint6010030" TargetMode="External" Id="rId24" /><Relationship Type="http://schemas.openxmlformats.org/officeDocument/2006/relationships/hyperlink" Target="https://doi.org/10.1111/inm.13449" TargetMode="External" Id="rId32" /><Relationship Type="http://schemas.openxmlformats.org/officeDocument/2006/relationships/image" Target="media/image2.png" Id="rId37" /><Relationship Type="http://schemas.openxmlformats.org/officeDocument/2006/relationships/webSettings" Target="webSettings.xml" Id="rId5" /><Relationship Type="http://schemas.openxmlformats.org/officeDocument/2006/relationships/hyperlink" Target="https://www.scirp.org/reference/referencespapers?referenceid=1341404" TargetMode="External" Id="rId15" /><Relationship Type="http://schemas.openxmlformats.org/officeDocument/2006/relationships/hyperlink" Target="https://doi.org/10.1192/bjp.bp.110.083733" TargetMode="External" Id="rId23" /><Relationship Type="http://schemas.openxmlformats.org/officeDocument/2006/relationships/hyperlink" Target="https://doi.org/10.1080/18387357.2025.2567402" TargetMode="External" Id="rId28" /><Relationship Type="http://schemas.openxmlformats.org/officeDocument/2006/relationships/hyperlink" Target="https://www.who.int/news/item/30-06-2025-social-connection-linked-to-improved-heath-and-reduced-risk-of-early-death" TargetMode="External" Id="rId36" /><Relationship Type="http://schemas.openxmlformats.org/officeDocument/2006/relationships/hyperlink" Target="https://doi.org/10.1186/s12913-018-3161-3" TargetMode="External" Id="rId10" /><Relationship Type="http://schemas.openxmlformats.org/officeDocument/2006/relationships/hyperlink" Target="https://doi.org/10.1177/17455057251385367" TargetMode="External" Id="rId19" /><Relationship Type="http://schemas.openxmlformats.org/officeDocument/2006/relationships/hyperlink" Target="https://doi.org/10.1136/bmj.n71" TargetMode="External" Id="rId31" /><Relationship Type="http://schemas.openxmlformats.org/officeDocument/2006/relationships/settings" Target="settings.xml" Id="rId4" /><Relationship Type="http://schemas.openxmlformats.org/officeDocument/2006/relationships/hyperlink" Target="https://doi.org/10.1023/a:1022601619482" TargetMode="External" Id="rId9" /><Relationship Type="http://schemas.openxmlformats.org/officeDocument/2006/relationships/hyperlink" Target="https://doi.org/10.1111/jpm.12985" TargetMode="External" Id="rId14" /><Relationship Type="http://schemas.openxmlformats.org/officeDocument/2006/relationships/hyperlink" Target="https://doi.org/10.1016/j.ijnsa.2026.100510" TargetMode="External" Id="rId22" /><Relationship Type="http://schemas.openxmlformats.org/officeDocument/2006/relationships/hyperlink" Target="https://doi.org/10.1177/16094069231205789" TargetMode="External" Id="rId27" /><Relationship Type="http://schemas.openxmlformats.org/officeDocument/2006/relationships/hyperlink" Target="https://doi.org/10.13140/RG.2.2.30200.25608" TargetMode="External" Id="rId30" /><Relationship Type="http://schemas.openxmlformats.org/officeDocument/2006/relationships/hyperlink" Target="https://doi.org/10.1080/01425692.2021.1908115" TargetMode="External" Id="rId35" /><Relationship Type="http://schemas.openxmlformats.org/officeDocument/2006/relationships/hyperlink" Target="https://doi.org/10.1016/j.childyouth.2024.107449" TargetMode="External" Id="rId8" /><Relationship Type="http://schemas.openxmlformats.org/officeDocument/2006/relationships/styles" Target="style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6DF6764-2258-4FB5-ADA4-7F335B4B9E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Writting</dc:creator>
  <keywords/>
  <dc:description/>
  <lastModifiedBy>Tati Bangoura (2120469)</lastModifiedBy>
  <revision>3</revision>
  <dcterms:created xsi:type="dcterms:W3CDTF">2026-03-25T19:48:00.0000000Z</dcterms:created>
  <dcterms:modified xsi:type="dcterms:W3CDTF">2026-06-15T23:45:35.6594041Z</dcterms:modified>
</coreProperties>
</file>