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r>
        <w:rPr>
          <w:rFonts w:ascii="宋体" w:hAnsi="宋体" w:eastAsia="宋体" w:cs="宋体"/>
          <w:sz w:val="24"/>
          <w:szCs w:val="24"/>
        </w:rPr>
        <w:drawing>
          <wp:inline distT="0" distB="0" distL="114300" distR="114300">
            <wp:extent cx="2206625" cy="889635"/>
            <wp:effectExtent l="0" t="0" r="3175" b="12065"/>
            <wp:docPr id="9"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IMG_256"/>
                    <pic:cNvPicPr>
                      <a:picLocks noChangeAspect="1"/>
                    </pic:cNvPicPr>
                  </pic:nvPicPr>
                  <pic:blipFill>
                    <a:blip r:embed="rId7"/>
                    <a:stretch>
                      <a:fillRect/>
                    </a:stretch>
                  </pic:blipFill>
                  <pic:spPr>
                    <a:xfrm>
                      <a:off x="0" y="0"/>
                      <a:ext cx="2206625" cy="889635"/>
                    </a:xfrm>
                    <a:prstGeom prst="rect">
                      <a:avLst/>
                    </a:prstGeom>
                    <a:noFill/>
                    <a:ln w="9525">
                      <a:noFill/>
                    </a:ln>
                  </pic:spPr>
                </pic:pic>
              </a:graphicData>
            </a:graphic>
          </wp:inline>
        </w:drawing>
      </w:r>
    </w:p>
    <w:p/>
    <w:p>
      <w:pPr>
        <w:spacing w:line="480" w:lineRule="auto"/>
        <w:jc w:val="center"/>
        <w:rPr>
          <w:rFonts w:hint="eastAsia" w:ascii="Times New Roman" w:hAnsi="Times New Roman" w:cs="Times New Roman"/>
          <w:b/>
          <w:bCs/>
          <w:sz w:val="36"/>
          <w:szCs w:val="36"/>
          <w:lang w:val="en-US" w:eastAsia="zh-CN"/>
        </w:rPr>
      </w:pPr>
    </w:p>
    <w:p>
      <w:pPr>
        <w:spacing w:line="480" w:lineRule="auto"/>
        <w:jc w:val="center"/>
        <w:rPr>
          <w:rFonts w:hint="eastAsia" w:ascii="Times New Roman" w:hAnsi="Times New Roman" w:cs="Times New Roman"/>
          <w:sz w:val="30"/>
          <w:szCs w:val="30"/>
          <w:lang w:val="en-US" w:eastAsia="zh-CN"/>
        </w:rPr>
      </w:pPr>
      <w:r>
        <w:rPr>
          <w:rFonts w:hint="eastAsia" w:ascii="Times New Roman" w:hAnsi="Times New Roman" w:cs="Times New Roman"/>
          <w:b/>
          <w:bCs/>
          <w:sz w:val="36"/>
          <w:szCs w:val="36"/>
          <w:lang w:val="en-US" w:eastAsia="zh-CN"/>
        </w:rPr>
        <w:t>Chipotle Mexican Grill’s (CMG) Change Management</w:t>
      </w:r>
    </w:p>
    <w:p>
      <w:pPr>
        <w:spacing w:line="480" w:lineRule="auto"/>
        <w:jc w:val="both"/>
        <w:rPr>
          <w:rFonts w:hint="eastAsia" w:ascii="Times New Roman" w:hAnsi="Times New Roman" w:cs="Times New Roman"/>
          <w:sz w:val="30"/>
          <w:szCs w:val="30"/>
          <w:lang w:val="en-US" w:eastAsia="zh-CN"/>
        </w:rPr>
      </w:pPr>
    </w:p>
    <w:p>
      <w:pPr>
        <w:spacing w:line="480" w:lineRule="auto"/>
        <w:jc w:val="center"/>
        <w:rPr>
          <w:rFonts w:hint="eastAsia" w:ascii="Times New Roman" w:hAnsi="Times New Roman" w:cs="Times New Roman"/>
          <w:sz w:val="30"/>
          <w:szCs w:val="30"/>
          <w:lang w:val="en-US" w:eastAsia="zh-CN"/>
        </w:rPr>
      </w:pPr>
    </w:p>
    <w:p>
      <w:pPr>
        <w:spacing w:line="480" w:lineRule="auto"/>
        <w:jc w:val="center"/>
        <w:rPr>
          <w:rFonts w:hint="default" w:ascii="Times New Roman" w:hAnsi="Times New Roman" w:cs="Times New Roman"/>
          <w:sz w:val="30"/>
          <w:szCs w:val="30"/>
          <w:lang w:val="en-US" w:eastAsia="zh-CN"/>
        </w:rPr>
      </w:pPr>
      <w:r>
        <w:rPr>
          <w:rFonts w:hint="eastAsia" w:ascii="Times New Roman" w:hAnsi="Times New Roman" w:cs="Times New Roman"/>
          <w:sz w:val="30"/>
          <w:szCs w:val="30"/>
          <w:lang w:val="en-US" w:eastAsia="zh-CN"/>
        </w:rPr>
        <w:t>Student n</w:t>
      </w:r>
      <w:r>
        <w:rPr>
          <w:rFonts w:hint="default" w:ascii="Times New Roman" w:hAnsi="Times New Roman" w:cs="Times New Roman"/>
          <w:sz w:val="30"/>
          <w:szCs w:val="30"/>
          <w:lang w:val="en-US" w:eastAsia="zh-CN"/>
        </w:rPr>
        <w:t>ame:</w:t>
      </w:r>
      <w:r>
        <w:rPr>
          <w:rFonts w:hint="eastAsia" w:ascii="Times New Roman" w:hAnsi="Times New Roman" w:cs="Times New Roman"/>
          <w:sz w:val="30"/>
          <w:szCs w:val="30"/>
          <w:lang w:val="en-US" w:eastAsia="zh-CN"/>
        </w:rPr>
        <w:t>Yifan Liu</w:t>
      </w:r>
    </w:p>
    <w:p>
      <w:pPr>
        <w:spacing w:line="480" w:lineRule="auto"/>
        <w:jc w:val="center"/>
        <w:rPr>
          <w:rFonts w:ascii="Times New Roman" w:hAnsi="Times New Roman" w:cs="Times New Roman"/>
          <w:sz w:val="30"/>
          <w:szCs w:val="30"/>
        </w:rPr>
      </w:pPr>
      <w:r>
        <w:rPr>
          <w:rFonts w:hint="eastAsia" w:ascii="Times New Roman" w:hAnsi="Times New Roman" w:cs="Times New Roman"/>
          <w:sz w:val="30"/>
          <w:szCs w:val="30"/>
          <w:lang w:val="en-US" w:eastAsia="zh-CN"/>
        </w:rPr>
        <w:t xml:space="preserve"> Student number:2206060</w:t>
      </w:r>
    </w:p>
    <w:p>
      <w:pPr>
        <w:spacing w:line="480" w:lineRule="auto"/>
        <w:jc w:val="center"/>
        <w:rPr>
          <w:rFonts w:hint="default" w:eastAsia="宋体" w:cs="Times New Roman"/>
          <w:sz w:val="30"/>
          <w:szCs w:val="30"/>
          <w:lang w:val="en-US" w:eastAsia="zh-CN"/>
        </w:rPr>
      </w:pPr>
      <w:r>
        <w:rPr>
          <w:rFonts w:ascii="Times New Roman" w:hAnsi="Times New Roman" w:cs="Times New Roman"/>
          <w:sz w:val="30"/>
          <w:szCs w:val="30"/>
        </w:rPr>
        <w:t>Tutor:</w:t>
      </w:r>
      <w:r>
        <w:rPr>
          <w:rFonts w:hint="eastAsia" w:eastAsia="宋体" w:cs="Times New Roman"/>
          <w:sz w:val="30"/>
          <w:szCs w:val="30"/>
          <w:lang w:val="en-US" w:eastAsia="zh-CN"/>
        </w:rPr>
        <w:t>Marie Pitson</w:t>
      </w:r>
    </w:p>
    <w:p>
      <w:pPr>
        <w:spacing w:line="480" w:lineRule="auto"/>
        <w:jc w:val="center"/>
        <w:rPr>
          <w:rFonts w:hint="default" w:ascii="Times New Roman" w:hAnsi="Times New Roman" w:eastAsia="宋体" w:cs="Times New Roman"/>
          <w:sz w:val="30"/>
          <w:szCs w:val="30"/>
          <w:lang w:val="en-US" w:eastAsia="zh-CN"/>
        </w:rPr>
      </w:pPr>
      <w:r>
        <w:rPr>
          <w:rFonts w:ascii="Times New Roman" w:hAnsi="Times New Roman" w:cs="Times New Roman"/>
          <w:sz w:val="30"/>
          <w:szCs w:val="30"/>
        </w:rPr>
        <w:t>Course:</w:t>
      </w:r>
      <w:r>
        <w:rPr>
          <w:rFonts w:hint="eastAsia" w:eastAsia="宋体" w:cs="Times New Roman"/>
          <w:sz w:val="30"/>
          <w:szCs w:val="30"/>
          <w:lang w:val="en-US" w:eastAsia="zh-CN"/>
        </w:rPr>
        <w:t>Change and Stability Management</w:t>
      </w:r>
      <w:r>
        <w:rPr>
          <w:rFonts w:hint="eastAsia" w:ascii="Times New Roman" w:hAnsi="Times New Roman" w:eastAsia="宋体" w:cs="Times New Roman"/>
          <w:sz w:val="30"/>
          <w:szCs w:val="30"/>
          <w:lang w:eastAsia="zh-CN"/>
        </w:rPr>
        <w:t>（</w:t>
      </w:r>
      <w:r>
        <w:rPr>
          <w:rFonts w:hint="eastAsia" w:ascii="Times New Roman" w:hAnsi="Times New Roman" w:eastAsia="宋体" w:cs="Times New Roman"/>
          <w:sz w:val="30"/>
          <w:szCs w:val="30"/>
          <w:lang w:val="en-US" w:eastAsia="zh-CN"/>
        </w:rPr>
        <w:t>BMMB700</w:t>
      </w:r>
      <w:r>
        <w:rPr>
          <w:rFonts w:hint="eastAsia" w:eastAsia="宋体" w:cs="Times New Roman"/>
          <w:sz w:val="30"/>
          <w:szCs w:val="30"/>
          <w:lang w:val="en-US" w:eastAsia="zh-CN"/>
        </w:rPr>
        <w:t>0</w:t>
      </w:r>
      <w:r>
        <w:rPr>
          <w:rFonts w:hint="eastAsia" w:ascii="Times New Roman" w:hAnsi="Times New Roman" w:eastAsia="宋体" w:cs="Times New Roman"/>
          <w:sz w:val="30"/>
          <w:szCs w:val="30"/>
          <w:lang w:val="en-US" w:eastAsia="zh-CN"/>
        </w:rPr>
        <w:t>）</w:t>
      </w:r>
    </w:p>
    <w:p>
      <w:pPr>
        <w:spacing w:line="480" w:lineRule="auto"/>
        <w:jc w:val="center"/>
        <w:rPr>
          <w:rFonts w:ascii="Times New Roman" w:hAnsi="Times New Roman" w:cs="Times New Roman"/>
          <w:sz w:val="30"/>
          <w:szCs w:val="30"/>
        </w:rPr>
      </w:pPr>
    </w:p>
    <w:p>
      <w:pPr>
        <w:spacing w:line="480" w:lineRule="auto"/>
        <w:jc w:val="center"/>
        <w:rPr>
          <w:rFonts w:hint="default" w:ascii="Times New Roman" w:hAnsi="Times New Roman" w:eastAsia="宋体" w:cs="Times New Roman"/>
          <w:sz w:val="30"/>
          <w:szCs w:val="30"/>
          <w:lang w:val="en-US" w:eastAsia="zh-CN"/>
        </w:rPr>
      </w:pPr>
      <w:r>
        <w:rPr>
          <w:rFonts w:ascii="Times New Roman" w:hAnsi="Times New Roman" w:cs="Times New Roman"/>
          <w:sz w:val="30"/>
          <w:szCs w:val="30"/>
        </w:rPr>
        <w:t>Date:</w:t>
      </w:r>
      <w:r>
        <w:rPr>
          <w:rFonts w:hint="eastAsia" w:eastAsia="宋体" w:cs="Times New Roman"/>
          <w:sz w:val="30"/>
          <w:szCs w:val="30"/>
          <w:lang w:val="en-US" w:eastAsia="zh-CN"/>
        </w:rPr>
        <w:t>30</w:t>
      </w:r>
      <w:r>
        <w:rPr>
          <w:rFonts w:hint="eastAsia" w:ascii="Times New Roman" w:hAnsi="Times New Roman" w:eastAsia="宋体" w:cs="Times New Roman"/>
          <w:sz w:val="30"/>
          <w:szCs w:val="30"/>
          <w:lang w:val="en-US" w:eastAsia="zh-CN"/>
        </w:rPr>
        <w:t>/</w:t>
      </w:r>
      <w:r>
        <w:rPr>
          <w:rFonts w:hint="eastAsia" w:eastAsia="宋体" w:cs="Times New Roman"/>
          <w:sz w:val="30"/>
          <w:szCs w:val="30"/>
          <w:lang w:val="en-US" w:eastAsia="zh-CN"/>
        </w:rPr>
        <w:t>4</w:t>
      </w:r>
      <w:r>
        <w:rPr>
          <w:rFonts w:hint="eastAsia" w:ascii="Times New Roman" w:hAnsi="Times New Roman" w:eastAsia="宋体" w:cs="Times New Roman"/>
          <w:sz w:val="30"/>
          <w:szCs w:val="30"/>
          <w:lang w:val="en-US" w:eastAsia="zh-CN"/>
        </w:rPr>
        <w:t>/2023</w:t>
      </w:r>
    </w:p>
    <w:p>
      <w:pPr>
        <w:jc w:val="center"/>
      </w:pPr>
    </w:p>
    <w:p>
      <w:pPr>
        <w:jc w:val="center"/>
      </w:pPr>
    </w:p>
    <w:p>
      <w:pPr>
        <w:jc w:val="center"/>
      </w:pPr>
    </w:p>
    <w:p/>
    <w:p>
      <w:pPr>
        <w:spacing w:after="160"/>
        <w:jc w:val="center"/>
        <w:rPr>
          <w:rFonts w:ascii="Times New Roman" w:hAnsi="Times New Roman"/>
          <w:b/>
          <w:bCs/>
          <w:szCs w:val="24"/>
        </w:rPr>
      </w:pPr>
      <w:r>
        <w:rPr>
          <w:rFonts w:ascii="Times New Roman" w:hAnsi="Times New Roman"/>
          <w:b/>
          <w:bCs/>
          <w:szCs w:val="24"/>
        </w:rPr>
        <w:t>Executive Summary</w:t>
      </w:r>
    </w:p>
    <w:p>
      <w:pPr>
        <w:spacing w:after="0" w:line="480" w:lineRule="auto"/>
        <w:jc w:val="both"/>
      </w:pPr>
      <w:r>
        <w:t>This article provides an analysis of Chipotle Mexican Grill (CMG), a popular fast food chain, regarding its internal and external environment in relation to the implementation of the "chipotlanes" concept, which is a drive-thru service. Using SWOT analysis, the article identifies CMG's strengths, such as its global presence and reputation for operating its own restaurants, and opportunities like introducing chipotlanes in new markets. However, the analysis also highlights CMG's weaknesses, such as its limited international presence and a narrow menu, and threats, including the emergence of new competitors and the adoption of similar concepts by rivals. The article also employs PESTLE analysis to examine external factors influencing CMG's capacity to implement chipotlanes, including favourable political and tax systems, declining per capita income, and trends towards eating out at restaurants following the pandemic. Overall, the article presents a comprehensive evaluation of CMG's internal and external environments and provides insight into factors that could impact the company's success in implementing the chipotlanes concept.</w:t>
      </w:r>
    </w:p>
    <w:p>
      <w:pPr>
        <w:spacing w:after="160"/>
        <w:jc w:val="center"/>
        <w:rPr>
          <w:rFonts w:ascii="Times New Roman" w:hAnsi="Times New Roman"/>
          <w:b/>
          <w:bCs/>
          <w:szCs w:val="24"/>
        </w:rPr>
      </w:pPr>
    </w:p>
    <w:p/>
    <w:p/>
    <w:p/>
    <w:p/>
    <w:p/>
    <w:p/>
    <w:p/>
    <w:p/>
    <w:p/>
    <w:p/>
    <w:p>
      <w:pPr>
        <w:spacing w:after="160"/>
        <w:rPr>
          <w:rFonts w:ascii="Times New Roman" w:hAnsi="Times New Roman"/>
          <w:szCs w:val="24"/>
        </w:rPr>
      </w:pPr>
    </w:p>
    <w:sdt>
      <w:sdtPr>
        <w:rPr>
          <w:rFonts w:ascii="Times New Roman" w:hAnsi="Times New Roman" w:eastAsia="Times New Roman" w:cs="Times New Roman"/>
          <w:color w:val="auto"/>
          <w:sz w:val="24"/>
          <w:szCs w:val="24"/>
          <w:lang w:val="en-GB" w:eastAsia="en-GB"/>
        </w:rPr>
        <w:id w:val="-1719038218"/>
        <w:docPartObj>
          <w:docPartGallery w:val="Table of Contents"/>
          <w:docPartUnique/>
        </w:docPartObj>
      </w:sdtPr>
      <w:sdtEndPr>
        <w:rPr>
          <w:rFonts w:ascii="Times New Roman" w:hAnsi="Times New Roman" w:eastAsia="Times New Roman" w:cs="Times New Roman"/>
          <w:b/>
          <w:bCs/>
          <w:color w:val="auto"/>
          <w:sz w:val="24"/>
          <w:szCs w:val="24"/>
          <w:lang w:val="en-GB" w:eastAsia="en-GB"/>
        </w:rPr>
      </w:sdtEndPr>
      <w:sdtContent>
        <w:p>
          <w:pPr>
            <w:pStyle w:val="15"/>
            <w:keepNext/>
            <w:keepLines/>
            <w:pageBreakBefore w:val="0"/>
            <w:widowControl/>
            <w:kinsoku/>
            <w:wordWrap/>
            <w:overflowPunct/>
            <w:topLinePunct w:val="0"/>
            <w:autoSpaceDE/>
            <w:autoSpaceDN/>
            <w:bidi w:val="0"/>
            <w:adjustRightInd/>
            <w:snapToGrid/>
            <w:spacing w:line="480" w:lineRule="auto"/>
            <w:jc w:val="center"/>
            <w:textAlignment w:val="auto"/>
            <w:rPr>
              <w:rFonts w:ascii="Times New Roman" w:hAnsi="Times New Roman" w:cs="Times New Roman"/>
              <w:color w:val="auto"/>
              <w:sz w:val="24"/>
              <w:szCs w:val="24"/>
            </w:rPr>
          </w:pPr>
          <w:r>
            <w:rPr>
              <w:rFonts w:ascii="Times New Roman" w:hAnsi="Times New Roman" w:cs="Times New Roman"/>
              <w:b/>
              <w:bCs/>
              <w:color w:val="auto"/>
              <w:sz w:val="24"/>
              <w:szCs w:val="24"/>
            </w:rPr>
            <w:t>Table of Contents</w:t>
          </w:r>
        </w:p>
        <w:p>
          <w:pPr>
            <w:pStyle w:val="6"/>
            <w:tabs>
              <w:tab w:val="right" w:leader="dot" w:pos="9016"/>
            </w:tabs>
            <w:rPr>
              <w:rFonts w:hint="eastAsia" w:ascii="Times New Roman" w:hAnsi="Times New Roman" w:eastAsia="宋体"/>
              <w:b/>
              <w:bCs/>
              <w:szCs w:val="24"/>
              <w:lang w:eastAsia="zh-CN"/>
            </w:rPr>
          </w:pPr>
          <w:r>
            <w:rPr>
              <w:rFonts w:ascii="Times New Roman" w:hAnsi="Times New Roman"/>
              <w:b/>
              <w:bCs/>
              <w:szCs w:val="24"/>
            </w:rPr>
            <w:t>Executive Summary</w:t>
          </w:r>
          <w:r>
            <w:rPr>
              <w:rFonts w:ascii="Times New Roman" w:hAnsi="Times New Roman"/>
              <w:b w:val="0"/>
              <w:bCs w:val="0"/>
              <w:szCs w:val="24"/>
            </w:rPr>
            <w:tab/>
          </w:r>
          <w:r>
            <w:rPr>
              <w:rFonts w:hint="eastAsia" w:eastAsia="宋体"/>
              <w:b w:val="0"/>
              <w:bCs w:val="0"/>
              <w:szCs w:val="24"/>
              <w:lang w:val="en-US" w:eastAsia="zh-CN"/>
            </w:rPr>
            <w:t>1</w:t>
          </w:r>
        </w:p>
        <w:p>
          <w:pPr>
            <w:pStyle w:val="6"/>
            <w:tabs>
              <w:tab w:val="right" w:leader="dot" w:pos="9016"/>
            </w:tabs>
            <w:rPr>
              <w:rFonts w:asciiTheme="minorHAnsi" w:hAnsiTheme="minorHAnsi" w:eastAsiaTheme="minorEastAsia" w:cstheme="minorBidi"/>
              <w:sz w:val="22"/>
              <w:szCs w:val="22"/>
              <w:lang w:val="zh-CN" w:eastAsia="zh-CN"/>
            </w:rPr>
          </w:pPr>
          <w:r>
            <w:rPr>
              <w:rFonts w:ascii="Times New Roman" w:hAnsi="Times New Roman"/>
              <w:b/>
              <w:bCs/>
              <w:szCs w:val="24"/>
            </w:rPr>
            <w:fldChar w:fldCharType="begin"/>
          </w:r>
          <w:r>
            <w:rPr>
              <w:rFonts w:ascii="Times New Roman" w:hAnsi="Times New Roman"/>
              <w:b/>
              <w:bCs/>
              <w:szCs w:val="24"/>
            </w:rPr>
            <w:instrText xml:space="preserve"> TOC \o "1-3" \h \z \u </w:instrText>
          </w:r>
          <w:r>
            <w:rPr>
              <w:rFonts w:ascii="Times New Roman" w:hAnsi="Times New Roman"/>
              <w:b/>
              <w:bCs/>
              <w:szCs w:val="24"/>
            </w:rPr>
            <w:fldChar w:fldCharType="separate"/>
          </w:r>
          <w:r>
            <w:fldChar w:fldCharType="begin"/>
          </w:r>
          <w:r>
            <w:instrText xml:space="preserve"> HYPERLINK \l "_Toc127875386" </w:instrText>
          </w:r>
          <w:r>
            <w:fldChar w:fldCharType="separate"/>
          </w:r>
          <w:r>
            <w:rPr>
              <w:rStyle w:val="10"/>
              <w:rFonts w:ascii="Times New Roman" w:hAnsi="Times New Roman"/>
              <w:b/>
              <w:bCs/>
              <w:iCs/>
            </w:rPr>
            <w:t xml:space="preserve">1.0 </w:t>
          </w:r>
          <w:r>
            <w:rPr>
              <w:rStyle w:val="10"/>
              <w:rFonts w:ascii="Times New Roman" w:hAnsi="Times New Roman"/>
              <w:b/>
            </w:rPr>
            <w:t>Introduction</w:t>
          </w:r>
          <w:r>
            <w:tab/>
          </w:r>
          <w:r>
            <w:rPr>
              <w:rFonts w:hint="eastAsia" w:eastAsia="宋体"/>
              <w:lang w:val="en-US" w:eastAsia="zh-CN"/>
            </w:rPr>
            <w:t>3</w:t>
          </w:r>
          <w:r>
            <w:fldChar w:fldCharType="end"/>
          </w:r>
        </w:p>
        <w:p>
          <w:pPr>
            <w:pStyle w:val="6"/>
            <w:tabs>
              <w:tab w:val="right" w:leader="dot" w:pos="9016"/>
            </w:tabs>
          </w:pPr>
          <w:r>
            <w:fldChar w:fldCharType="begin"/>
          </w:r>
          <w:r>
            <w:instrText xml:space="preserve"> HYPERLINK \l "_Toc127875387" </w:instrText>
          </w:r>
          <w:r>
            <w:fldChar w:fldCharType="separate"/>
          </w:r>
          <w:r>
            <w:rPr>
              <w:rStyle w:val="10"/>
              <w:rFonts w:ascii="Times New Roman" w:hAnsi="Times New Roman"/>
              <w:b/>
            </w:rPr>
            <w:t xml:space="preserve">2.0 </w:t>
          </w:r>
          <w:r>
            <w:rPr>
              <w:b/>
              <w:color w:val="auto"/>
            </w:rPr>
            <w:t>An overview of CMG and the ‘chipotlanes’ change</w:t>
          </w:r>
          <w:r>
            <w:tab/>
          </w:r>
          <w:r>
            <w:rPr>
              <w:rFonts w:hint="eastAsia" w:eastAsia="宋体"/>
              <w:lang w:val="en-US" w:eastAsia="zh-CN"/>
            </w:rPr>
            <w:t>4</w:t>
          </w:r>
          <w:r>
            <w:fldChar w:fldCharType="end"/>
          </w:r>
        </w:p>
        <w:p>
          <w:pPr>
            <w:pStyle w:val="7"/>
            <w:tabs>
              <w:tab w:val="right" w:leader="dot" w:pos="9016"/>
            </w:tabs>
            <w:ind w:left="0" w:leftChars="0" w:firstLine="0" w:firstLineChars="0"/>
            <w:rPr>
              <w:lang w:val="zh-CN" w:eastAsia="zh-CN"/>
            </w:rPr>
          </w:pPr>
          <w:r>
            <w:rPr>
              <w:rFonts w:hint="default" w:ascii="Times New Roman" w:hAnsi="Times New Roman" w:cs="Times New Roman"/>
              <w:i w:val="0"/>
              <w:iCs w:val="0"/>
            </w:rPr>
            <w:fldChar w:fldCharType="begin"/>
          </w:r>
          <w:r>
            <w:rPr>
              <w:rFonts w:hint="default" w:ascii="Times New Roman" w:hAnsi="Times New Roman" w:cs="Times New Roman"/>
              <w:i w:val="0"/>
              <w:iCs w:val="0"/>
            </w:rPr>
            <w:instrText xml:space="preserve"> HYPERLINK \l "_Toc127875389" </w:instrText>
          </w:r>
          <w:r>
            <w:rPr>
              <w:rFonts w:hint="default" w:ascii="Times New Roman" w:hAnsi="Times New Roman" w:cs="Times New Roman"/>
              <w:i w:val="0"/>
              <w:iCs w:val="0"/>
            </w:rPr>
            <w:fldChar w:fldCharType="separate"/>
          </w:r>
          <w:r>
            <w:rPr>
              <w:rStyle w:val="10"/>
              <w:rFonts w:hint="eastAsia" w:eastAsia="宋体" w:cs="Times New Roman"/>
              <w:i w:val="0"/>
              <w:iCs w:val="0"/>
              <w:lang w:val="en-US" w:eastAsia="zh-CN"/>
            </w:rPr>
            <w:t>2</w:t>
          </w:r>
          <w:r>
            <w:rPr>
              <w:rStyle w:val="10"/>
              <w:rFonts w:hint="default" w:ascii="Times New Roman" w:hAnsi="Times New Roman" w:cs="Times New Roman"/>
              <w:i w:val="0"/>
              <w:iCs w:val="0"/>
            </w:rPr>
            <w:t xml:space="preserve">.1 Drivers of the “chipotlanes” change </w:t>
          </w:r>
          <w:r>
            <w:rPr>
              <w:rFonts w:hint="default" w:ascii="Times New Roman" w:hAnsi="Times New Roman" w:cs="Times New Roman"/>
              <w:i w:val="0"/>
              <w:iCs w:val="0"/>
            </w:rPr>
            <w:tab/>
          </w:r>
          <w:r>
            <w:rPr>
              <w:rFonts w:hint="eastAsia" w:ascii="Times New Roman" w:hAnsi="Times New Roman" w:eastAsia="宋体" w:cs="Times New Roman"/>
              <w:i w:val="0"/>
              <w:iCs w:val="0"/>
              <w:lang w:val="en-US" w:eastAsia="zh-CN"/>
            </w:rPr>
            <w:t>5</w:t>
          </w:r>
          <w:r>
            <w:rPr>
              <w:rFonts w:hint="default" w:ascii="Times New Roman" w:hAnsi="Times New Roman" w:cs="Times New Roman"/>
              <w:i w:val="0"/>
              <w:iCs w:val="0"/>
            </w:rPr>
            <w:fldChar w:fldCharType="end"/>
          </w:r>
        </w:p>
        <w:p>
          <w:pPr>
            <w:pStyle w:val="6"/>
            <w:tabs>
              <w:tab w:val="left" w:pos="660"/>
              <w:tab w:val="right" w:leader="dot" w:pos="9016"/>
            </w:tabs>
            <w:rPr>
              <w:rFonts w:asciiTheme="minorHAnsi" w:hAnsiTheme="minorHAnsi" w:eastAsiaTheme="minorEastAsia" w:cstheme="minorBidi"/>
              <w:sz w:val="22"/>
              <w:szCs w:val="22"/>
              <w:lang w:val="zh-CN" w:eastAsia="zh-CN"/>
            </w:rPr>
          </w:pPr>
          <w:r>
            <w:fldChar w:fldCharType="begin"/>
          </w:r>
          <w:r>
            <w:instrText xml:space="preserve"> HYPERLINK \l "_Toc127875388" </w:instrText>
          </w:r>
          <w:r>
            <w:fldChar w:fldCharType="separate"/>
          </w:r>
          <w:r>
            <w:rPr>
              <w:rStyle w:val="10"/>
              <w:rFonts w:ascii="Times New Roman" w:hAnsi="Times New Roman"/>
              <w:b/>
            </w:rPr>
            <w:t>3.0</w:t>
          </w:r>
          <w:r>
            <w:rPr>
              <w:rStyle w:val="10"/>
              <w:rFonts w:hint="eastAsia" w:ascii="Times New Roman" w:hAnsi="Times New Roman" w:eastAsia="宋体"/>
              <w:b/>
              <w:lang w:val="en-US" w:eastAsia="zh-CN"/>
            </w:rPr>
            <w:t xml:space="preserve"> </w:t>
          </w:r>
          <w:r>
            <w:rPr>
              <w:rStyle w:val="10"/>
              <w:rFonts w:ascii="Times New Roman" w:hAnsi="Times New Roman"/>
              <w:b/>
            </w:rPr>
            <w:t>Main discussion</w:t>
          </w:r>
          <w:r>
            <w:tab/>
          </w:r>
          <w:r>
            <w:rPr>
              <w:rFonts w:hint="eastAsia" w:eastAsia="宋体"/>
              <w:lang w:val="en-US" w:eastAsia="zh-CN"/>
            </w:rPr>
            <w:t>7</w:t>
          </w:r>
          <w:r>
            <w:fldChar w:fldCharType="end"/>
          </w:r>
        </w:p>
        <w:p>
          <w:pPr>
            <w:pStyle w:val="7"/>
            <w:tabs>
              <w:tab w:val="right" w:leader="dot" w:pos="9016"/>
            </w:tabs>
            <w:ind w:left="0" w:leftChars="0" w:firstLine="0" w:firstLineChars="0"/>
            <w:rPr>
              <w:rFonts w:hint="default" w:ascii="Times New Roman" w:hAnsi="Times New Roman" w:cs="Times New Roman" w:eastAsiaTheme="minorEastAsia"/>
              <w:i w:val="0"/>
              <w:iCs w:val="0"/>
              <w:sz w:val="22"/>
              <w:szCs w:val="22"/>
              <w:lang w:val="zh-CN" w:eastAsia="zh-CN"/>
            </w:rPr>
          </w:pPr>
          <w:r>
            <w:rPr>
              <w:rFonts w:hint="default" w:ascii="Times New Roman" w:hAnsi="Times New Roman" w:cs="Times New Roman"/>
              <w:i w:val="0"/>
              <w:iCs w:val="0"/>
            </w:rPr>
            <w:fldChar w:fldCharType="begin"/>
          </w:r>
          <w:r>
            <w:rPr>
              <w:rFonts w:hint="default" w:ascii="Times New Roman" w:hAnsi="Times New Roman" w:cs="Times New Roman"/>
              <w:i w:val="0"/>
              <w:iCs w:val="0"/>
            </w:rPr>
            <w:instrText xml:space="preserve"> HYPERLINK \l "_Toc127875389" </w:instrText>
          </w:r>
          <w:r>
            <w:rPr>
              <w:rFonts w:hint="default" w:ascii="Times New Roman" w:hAnsi="Times New Roman" w:cs="Times New Roman"/>
              <w:i w:val="0"/>
              <w:iCs w:val="0"/>
            </w:rPr>
            <w:fldChar w:fldCharType="separate"/>
          </w:r>
          <w:r>
            <w:rPr>
              <w:rStyle w:val="10"/>
              <w:rFonts w:hint="default" w:ascii="Times New Roman" w:hAnsi="Times New Roman" w:cs="Times New Roman"/>
              <w:i w:val="0"/>
              <w:iCs w:val="0"/>
            </w:rPr>
            <w:t>3.1 Analysis of CMG’s internal environment</w:t>
          </w:r>
          <w:r>
            <w:rPr>
              <w:rFonts w:hint="default" w:ascii="Times New Roman" w:hAnsi="Times New Roman" w:cs="Times New Roman"/>
              <w:i w:val="0"/>
              <w:iCs w:val="0"/>
            </w:rPr>
            <w:tab/>
          </w:r>
          <w:r>
            <w:rPr>
              <w:rFonts w:hint="eastAsia" w:eastAsia="宋体" w:cs="Times New Roman"/>
              <w:i w:val="0"/>
              <w:iCs w:val="0"/>
              <w:lang w:val="en-US" w:eastAsia="zh-CN"/>
            </w:rPr>
            <w:t>7</w:t>
          </w:r>
          <w:r>
            <w:rPr>
              <w:rFonts w:hint="default" w:ascii="Times New Roman" w:hAnsi="Times New Roman" w:cs="Times New Roman"/>
              <w:i w:val="0"/>
              <w:iCs w:val="0"/>
            </w:rPr>
            <w:fldChar w:fldCharType="end"/>
          </w:r>
        </w:p>
        <w:p>
          <w:pPr>
            <w:pStyle w:val="7"/>
            <w:tabs>
              <w:tab w:val="right" w:leader="dot" w:pos="9016"/>
            </w:tabs>
            <w:ind w:left="0" w:leftChars="0" w:firstLine="0" w:firstLineChars="0"/>
            <w:rPr>
              <w:rFonts w:hint="default" w:ascii="Times New Roman" w:hAnsi="Times New Roman" w:cs="Times New Roman" w:eastAsiaTheme="minorEastAsia"/>
              <w:i w:val="0"/>
              <w:iCs w:val="0"/>
              <w:sz w:val="22"/>
              <w:szCs w:val="22"/>
              <w:lang w:val="zh-CN" w:eastAsia="zh-CN"/>
            </w:rPr>
          </w:pPr>
          <w:r>
            <w:rPr>
              <w:rFonts w:hint="default" w:ascii="Times New Roman" w:hAnsi="Times New Roman" w:cs="Times New Roman"/>
              <w:i w:val="0"/>
              <w:iCs w:val="0"/>
            </w:rPr>
            <w:fldChar w:fldCharType="begin"/>
          </w:r>
          <w:r>
            <w:rPr>
              <w:rFonts w:hint="default" w:ascii="Times New Roman" w:hAnsi="Times New Roman" w:cs="Times New Roman"/>
              <w:i w:val="0"/>
              <w:iCs w:val="0"/>
            </w:rPr>
            <w:instrText xml:space="preserve"> HYPERLINK \l "_Toc127875390" </w:instrText>
          </w:r>
          <w:r>
            <w:rPr>
              <w:rFonts w:hint="default" w:ascii="Times New Roman" w:hAnsi="Times New Roman" w:cs="Times New Roman"/>
              <w:i w:val="0"/>
              <w:iCs w:val="0"/>
            </w:rPr>
            <w:fldChar w:fldCharType="separate"/>
          </w:r>
          <w:r>
            <w:rPr>
              <w:rStyle w:val="10"/>
              <w:rFonts w:hint="default" w:ascii="Times New Roman" w:hAnsi="Times New Roman" w:cs="Times New Roman"/>
              <w:i w:val="0"/>
              <w:iCs w:val="0"/>
            </w:rPr>
            <w:t>3.2 Analysis of CMG’s external environment</w:t>
          </w:r>
          <w:r>
            <w:rPr>
              <w:rFonts w:hint="default" w:ascii="Times New Roman" w:hAnsi="Times New Roman" w:cs="Times New Roman"/>
              <w:i w:val="0"/>
              <w:iCs w:val="0"/>
            </w:rPr>
            <w:tab/>
          </w:r>
          <w:r>
            <w:rPr>
              <w:rFonts w:hint="eastAsia" w:eastAsia="宋体" w:cs="Times New Roman"/>
              <w:i w:val="0"/>
              <w:iCs w:val="0"/>
              <w:lang w:val="en-US" w:eastAsia="zh-CN"/>
            </w:rPr>
            <w:t>9</w:t>
          </w:r>
          <w:r>
            <w:rPr>
              <w:rFonts w:hint="default" w:ascii="Times New Roman" w:hAnsi="Times New Roman" w:cs="Times New Roman"/>
              <w:i w:val="0"/>
              <w:iCs w:val="0"/>
            </w:rPr>
            <w:fldChar w:fldCharType="end"/>
          </w:r>
        </w:p>
        <w:p>
          <w:pPr>
            <w:pStyle w:val="7"/>
            <w:tabs>
              <w:tab w:val="right" w:leader="dot" w:pos="9016"/>
            </w:tabs>
            <w:ind w:left="0" w:leftChars="0" w:firstLine="0" w:firstLineChars="0"/>
            <w:rPr>
              <w:rFonts w:hint="eastAsia" w:ascii="Times New Roman" w:hAnsi="Times New Roman" w:eastAsia="宋体" w:cs="Times New Roman"/>
              <w:i w:val="0"/>
              <w:iCs w:val="0"/>
              <w:sz w:val="22"/>
              <w:szCs w:val="22"/>
              <w:lang w:val="en-US" w:eastAsia="zh-CN"/>
            </w:rPr>
          </w:pPr>
          <w:r>
            <w:rPr>
              <w:rFonts w:hint="default" w:ascii="Times New Roman" w:hAnsi="Times New Roman" w:cs="Times New Roman"/>
              <w:i w:val="0"/>
              <w:iCs w:val="0"/>
            </w:rPr>
            <w:fldChar w:fldCharType="begin"/>
          </w:r>
          <w:r>
            <w:rPr>
              <w:rFonts w:hint="default" w:ascii="Times New Roman" w:hAnsi="Times New Roman" w:cs="Times New Roman"/>
              <w:i w:val="0"/>
              <w:iCs w:val="0"/>
            </w:rPr>
            <w:instrText xml:space="preserve"> HYPERLINK \l "_Toc127875391" </w:instrText>
          </w:r>
          <w:r>
            <w:rPr>
              <w:rFonts w:hint="default" w:ascii="Times New Roman" w:hAnsi="Times New Roman" w:cs="Times New Roman"/>
              <w:i w:val="0"/>
              <w:iCs w:val="0"/>
            </w:rPr>
            <w:fldChar w:fldCharType="separate"/>
          </w:r>
          <w:r>
            <w:rPr>
              <w:rStyle w:val="10"/>
              <w:rFonts w:hint="default" w:ascii="Times New Roman" w:hAnsi="Times New Roman" w:cs="Times New Roman"/>
              <w:i w:val="0"/>
              <w:iCs w:val="0"/>
            </w:rPr>
            <w:t>3.3 Resistance to chipotlanes change and CMG’s change management</w:t>
          </w:r>
          <w:r>
            <w:rPr>
              <w:rFonts w:hint="default" w:ascii="Times New Roman" w:hAnsi="Times New Roman" w:cs="Times New Roman"/>
              <w:i w:val="0"/>
              <w:iCs w:val="0"/>
            </w:rPr>
            <w:tab/>
          </w:r>
          <w:r>
            <w:rPr>
              <w:rFonts w:hint="eastAsia" w:eastAsia="宋体" w:cs="Times New Roman"/>
              <w:i w:val="0"/>
              <w:iCs w:val="0"/>
              <w:lang w:val="en-US" w:eastAsia="zh-CN"/>
            </w:rPr>
            <w:t>1</w:t>
          </w:r>
          <w:r>
            <w:rPr>
              <w:rFonts w:hint="default" w:ascii="Times New Roman" w:hAnsi="Times New Roman" w:cs="Times New Roman"/>
              <w:i w:val="0"/>
              <w:iCs w:val="0"/>
            </w:rPr>
            <w:fldChar w:fldCharType="end"/>
          </w:r>
          <w:r>
            <w:rPr>
              <w:rFonts w:hint="eastAsia" w:eastAsia="宋体" w:cs="Times New Roman"/>
              <w:i w:val="0"/>
              <w:iCs w:val="0"/>
              <w:lang w:val="en-US" w:eastAsia="zh-CN"/>
            </w:rPr>
            <w:t>0</w:t>
          </w:r>
        </w:p>
        <w:p>
          <w:pPr>
            <w:pStyle w:val="6"/>
            <w:tabs>
              <w:tab w:val="left" w:pos="660"/>
              <w:tab w:val="right" w:leader="dot" w:pos="9016"/>
            </w:tabs>
            <w:rPr>
              <w:rFonts w:hint="eastAsia" w:eastAsia="宋体" w:asciiTheme="minorHAnsi" w:hAnsiTheme="minorHAnsi" w:cstheme="minorBidi"/>
              <w:sz w:val="22"/>
              <w:szCs w:val="22"/>
              <w:lang w:val="en-US" w:eastAsia="zh-CN"/>
            </w:rPr>
          </w:pPr>
          <w:r>
            <w:fldChar w:fldCharType="begin"/>
          </w:r>
          <w:r>
            <w:instrText xml:space="preserve"> HYPERLINK \l "_Toc127875393" </w:instrText>
          </w:r>
          <w:r>
            <w:fldChar w:fldCharType="separate"/>
          </w:r>
          <w:r>
            <w:rPr>
              <w:rStyle w:val="10"/>
              <w:rFonts w:ascii="Times New Roman" w:hAnsi="Times New Roman"/>
              <w:b/>
            </w:rPr>
            <w:t>4.0</w:t>
          </w:r>
          <w:r>
            <w:rPr>
              <w:rStyle w:val="10"/>
              <w:rFonts w:hint="eastAsia" w:ascii="Times New Roman" w:hAnsi="Times New Roman" w:eastAsia="宋体"/>
              <w:b/>
              <w:lang w:val="en-US" w:eastAsia="zh-CN"/>
            </w:rPr>
            <w:t xml:space="preserve"> </w:t>
          </w:r>
          <w:r>
            <w:rPr>
              <w:b/>
            </w:rPr>
            <w:t>Conclusion and recommendations</w:t>
          </w:r>
          <w:r>
            <w:tab/>
          </w:r>
          <w:r>
            <w:rPr>
              <w:rFonts w:hint="eastAsia" w:eastAsia="宋体"/>
              <w:lang w:val="en-US" w:eastAsia="zh-CN"/>
            </w:rPr>
            <w:t>1</w:t>
          </w:r>
          <w:r>
            <w:fldChar w:fldCharType="end"/>
          </w:r>
          <w:r>
            <w:rPr>
              <w:rFonts w:hint="eastAsia" w:eastAsia="宋体"/>
              <w:lang w:val="en-US" w:eastAsia="zh-CN"/>
            </w:rPr>
            <w:t>3</w:t>
          </w:r>
        </w:p>
        <w:p>
          <w:pPr>
            <w:pStyle w:val="6"/>
            <w:tabs>
              <w:tab w:val="left" w:pos="660"/>
              <w:tab w:val="right" w:leader="dot" w:pos="9016"/>
            </w:tabs>
            <w:rPr>
              <w:rFonts w:hint="eastAsia" w:eastAsia="宋体" w:asciiTheme="minorHAnsi" w:hAnsiTheme="minorHAnsi" w:cstheme="minorBidi"/>
              <w:sz w:val="22"/>
              <w:szCs w:val="22"/>
              <w:lang w:val="en-US" w:eastAsia="zh-CN"/>
            </w:rPr>
          </w:pPr>
          <w:r>
            <w:fldChar w:fldCharType="begin"/>
          </w:r>
          <w:r>
            <w:instrText xml:space="preserve"> HYPERLINK \l "_Toc127875395" </w:instrText>
          </w:r>
          <w:r>
            <w:fldChar w:fldCharType="separate"/>
          </w:r>
          <w:r>
            <w:rPr>
              <w:rStyle w:val="10"/>
              <w:rFonts w:ascii="Times New Roman" w:hAnsi="Times New Roman"/>
              <w:b/>
            </w:rPr>
            <w:t>5.0</w:t>
          </w:r>
          <w:r>
            <w:rPr>
              <w:rStyle w:val="10"/>
              <w:rFonts w:hint="eastAsia" w:ascii="Times New Roman" w:hAnsi="Times New Roman" w:eastAsia="宋体"/>
              <w:b/>
              <w:lang w:val="en-US" w:eastAsia="zh-CN"/>
            </w:rPr>
            <w:t xml:space="preserve"> </w:t>
          </w:r>
          <w:r>
            <w:rPr>
              <w:rStyle w:val="10"/>
              <w:rFonts w:ascii="Times New Roman" w:hAnsi="Times New Roman"/>
              <w:b/>
              <w:shd w:val="clear" w:color="auto" w:fill="FFFFFF"/>
            </w:rPr>
            <w:t>Reference list</w:t>
          </w:r>
          <w:r>
            <w:tab/>
          </w:r>
          <w:r>
            <w:rPr>
              <w:rFonts w:hint="eastAsia" w:eastAsia="宋体"/>
              <w:lang w:val="en-US" w:eastAsia="zh-CN"/>
            </w:rPr>
            <w:t>1</w:t>
          </w:r>
          <w:r>
            <w:fldChar w:fldCharType="end"/>
          </w:r>
          <w:r>
            <w:rPr>
              <w:rFonts w:hint="eastAsia" w:eastAsia="宋体"/>
              <w:lang w:val="en-US" w:eastAsia="zh-CN"/>
            </w:rPr>
            <w:t>6</w:t>
          </w:r>
          <w:bookmarkStart w:id="1" w:name="_GoBack"/>
          <w:bookmarkEnd w:id="1"/>
        </w:p>
        <w:p>
          <w:r>
            <w:rPr>
              <w:rFonts w:ascii="Times New Roman" w:hAnsi="Times New Roman"/>
              <w:b/>
              <w:bCs/>
              <w:szCs w:val="24"/>
            </w:rPr>
            <w:fldChar w:fldCharType="end"/>
          </w:r>
        </w:p>
      </w:sdtContent>
    </w:sdt>
    <w:p/>
    <w:p>
      <w:pPr>
        <w:jc w:val="both"/>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rFonts w:hint="eastAsia" w:eastAsia="宋体"/>
          <w:b/>
          <w:lang w:val="en-US" w:eastAsia="zh-CN"/>
        </w:rPr>
      </w:pPr>
    </w:p>
    <w:p>
      <w:pPr>
        <w:jc w:val="center"/>
        <w:rPr>
          <w:b/>
        </w:rPr>
      </w:pPr>
      <w:r>
        <w:rPr>
          <w:rFonts w:hint="eastAsia" w:eastAsia="宋体"/>
          <w:b/>
          <w:lang w:val="en-US" w:eastAsia="zh-CN"/>
        </w:rPr>
        <w:t xml:space="preserve">1.0 </w:t>
      </w:r>
      <w:r>
        <w:rPr>
          <w:b/>
        </w:rPr>
        <w:t>Introduction</w:t>
      </w:r>
    </w:p>
    <w:p>
      <w:pPr>
        <w:spacing w:line="480" w:lineRule="auto"/>
        <w:ind w:firstLine="720"/>
        <w:jc w:val="both"/>
      </w:pPr>
      <w:r>
        <w:t xml:space="preserve">In an organisation context, change implies the processes involved in introducing new ideas (Stobierski, 2020). These changes can be moderate, occurring at least once a year, or major, occurring every four or five years. Organisational change can also imply the actions through which a business firm alters a key aspect of its administration, from the underlying technologies or infrastructure used in operations, to culture, to its internal processes. However, to realise positive outcomes, which in turn would give the organisation a competitive advantage, the organisation must have a plan to introduce, implement, monitor, as well as evaluate the change. This is why the concept of change management, which Todnem (2005, p.369) describes as ‘the process of continually renewing an organisation’s direction, structure, as well as capabilities to serve the ever-changing needs of both external and internal customers’, is essential. Change management helps many organisational initiatives to succeed in improving the workplace, as Oaklan and Tanner (2007, p.1) claim that most fail to deliver. This failure to deliver, however, is not because of total breakdown but because of the change initiatives being stalled, misdirected, or even achieving only partial results. When business fail to embrace change, they stagnate in their current state and are unable to develop, and are with time overtaken by the competition. in contrast, organisations that embrace change are able to exploit new business opportunities that in turn translate into higher revenues in the long run (McCullough, 2022). This essay focuses on Chipotle Mexican Grill (CMG) as an organisation that has recorded notable change within the past five years, and which has consequently been able to exploit new business opportunities, by introducing </w:t>
      </w:r>
      <w:r>
        <w:rPr>
          <w:i/>
        </w:rPr>
        <w:t>high-margin drive-thru pickup lanes</w:t>
      </w:r>
      <w:r>
        <w:t xml:space="preserve"> dubbed “chipotlanes” (Ludwig, 2023). Consequently, the paper discusses how CMG planned for this change, and explores the internal and external drivers that necessitated and promoted it. </w:t>
      </w:r>
    </w:p>
    <w:p>
      <w:pPr>
        <w:jc w:val="center"/>
        <w:rPr>
          <w:b/>
          <w:color w:val="auto"/>
        </w:rPr>
      </w:pPr>
      <w:r>
        <w:rPr>
          <w:rFonts w:hint="eastAsia" w:eastAsia="宋体"/>
          <w:b/>
          <w:color w:val="auto"/>
          <w:lang w:val="en-US" w:eastAsia="zh-CN"/>
        </w:rPr>
        <w:t xml:space="preserve">2.0 </w:t>
      </w:r>
      <w:r>
        <w:rPr>
          <w:b/>
          <w:color w:val="auto"/>
        </w:rPr>
        <w:t>An overview of CMG and the ‘chipotlanes’ change</w:t>
      </w:r>
    </w:p>
    <w:p>
      <w:pPr>
        <w:spacing w:after="0" w:line="480" w:lineRule="auto"/>
        <w:ind w:firstLine="720"/>
        <w:jc w:val="both"/>
      </w:pPr>
      <w:r>
        <w:t xml:space="preserve">CMG exemplifies a business firm that has experienced change in the past five years. Based on a 2023 survey by Forbes, CMG is a fast-casual, fresh Mexican food eatery whose majority of operations are in the US. Globally, the restaurant had over 3,000 restaurants as of 2022, spread in five countries that in addition the US also include Canada, UK, France, and Germany, as well as the UK (Cision, 2022). This organisation was established in 1993 by Steve Ells and has its current headquarters in Newport Beach, California. With more than 95,000 employees in all locations, some of its key food products include burritos, tacos, burrito bowls, as well as salads (Forbes, 2023). </w:t>
      </w:r>
    </w:p>
    <w:p>
      <w:pPr>
        <w:spacing w:line="480" w:lineRule="auto"/>
        <w:ind w:firstLine="360"/>
        <w:jc w:val="both"/>
      </w:pPr>
      <w:r>
        <w:t>While it is sometimes assumed that change is a bad thing, as it is not only daunting and scary but also challenges the comfort zone, McCullough (2022) posits that change in the workplace can be actually good, yielding positive outcomes for the firm. In this realisation, CMG introduced a change that involved high-margin drive-thru pickup lanes known as “chipotlanes” in 2018, in an attempt to serve their customers better and increase its revenue generation capacity. This change, supplemented the brand’s customary counter-service approach, where customers would walk in and place an order of their meal of choice. This concept was first introduced at greater Columbus, in Ohio. According to the company, the drive-thru lanes are primarily designed for mobile pickup orders (Ludwig, 2023). The change enables more customers to be served within a short time and is convenient for customers seeking social distancing. In 2020, this company had announced that it would be opening its 100</w:t>
      </w:r>
      <w:r>
        <w:rPr>
          <w:vertAlign w:val="superscript"/>
        </w:rPr>
        <w:t>th</w:t>
      </w:r>
      <w:r>
        <w:t xml:space="preserve"> chipotlane (CMG, 2020). In fact, CMG had opened 19 new restaurants in 2020, of which 11 featured a chipotlane, making this concept avaiable in 32 states (Ludwig, 2023). CMG had also communicated its intention to introduce chipotlanes in over 60% of its new chipotle restaurants. Considering the growth in digital business, chipotlanes, compared to traditional chipotle restaurants, have a higher staff requirement. Consequently, CMG had to hire an additional 10,000 employees that included hourly as well as salaried management positions, to support its growth (CMG, 2020). This workforce has helped CMG grow its revenues exponentially, particularly between the last quarter of 2019 through to the second quarter of 2022 </w:t>
      </w:r>
      <w:r>
        <mc:AlternateContent>
          <mc:Choice Requires="wps">
            <w:drawing>
              <wp:anchor distT="0" distB="0" distL="114300" distR="114300" simplePos="0" relativeHeight="251660288" behindDoc="0" locked="0" layoutInCell="1" allowOverlap="1">
                <wp:simplePos x="0" y="0"/>
                <wp:positionH relativeFrom="column">
                  <wp:posOffset>247650</wp:posOffset>
                </wp:positionH>
                <wp:positionV relativeFrom="paragraph">
                  <wp:posOffset>1314450</wp:posOffset>
                </wp:positionV>
                <wp:extent cx="5657850" cy="228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57850" cy="228600"/>
                        </a:xfrm>
                        <a:prstGeom prst="rect">
                          <a:avLst/>
                        </a:prstGeom>
                        <a:solidFill>
                          <a:prstClr val="white"/>
                        </a:solidFill>
                        <a:ln>
                          <a:noFill/>
                        </a:ln>
                      </wps:spPr>
                      <wps:txbx>
                        <w:txbxContent>
                          <w:p>
                            <w:pPr>
                              <w:pStyle w:val="3"/>
                              <w:rPr>
                                <w:color w:val="auto"/>
                                <w:sz w:val="36"/>
                                <w:szCs w:val="24"/>
                              </w:rPr>
                            </w:pPr>
                            <w:r>
                              <w:rPr>
                                <w:color w:val="auto"/>
                                <w:sz w:val="24"/>
                              </w:rPr>
                              <w:t xml:space="preserve">Figure </w:t>
                            </w:r>
                            <w:r>
                              <w:rPr>
                                <w:color w:val="auto"/>
                                <w:sz w:val="24"/>
                              </w:rPr>
                              <w:fldChar w:fldCharType="begin"/>
                            </w:r>
                            <w:r>
                              <w:rPr>
                                <w:color w:val="auto"/>
                                <w:sz w:val="24"/>
                              </w:rPr>
                              <w:instrText xml:space="preserve"> SEQ Figure \* ARABIC </w:instrText>
                            </w:r>
                            <w:r>
                              <w:rPr>
                                <w:color w:val="auto"/>
                                <w:sz w:val="24"/>
                              </w:rPr>
                              <w:fldChar w:fldCharType="separate"/>
                            </w:r>
                            <w:r>
                              <w:rPr>
                                <w:color w:val="auto"/>
                                <w:sz w:val="24"/>
                              </w:rPr>
                              <w:t>1</w:t>
                            </w:r>
                            <w:r>
                              <w:rPr>
                                <w:color w:val="auto"/>
                                <w:sz w:val="24"/>
                              </w:rPr>
                              <w:fldChar w:fldCharType="end"/>
                            </w:r>
                            <w:r>
                              <w:rPr>
                                <w:color w:val="auto"/>
                                <w:sz w:val="24"/>
                              </w:rPr>
                              <w:t>: CMG's revenue growth between 2019-2022</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 Box 2" o:spid="_x0000_s1026" o:spt="202" type="#_x0000_t202" style="position:absolute;left:0pt;margin-left:19.5pt;margin-top:103.5pt;height:18pt;width:445.5pt;mso-wrap-distance-bottom:0pt;mso-wrap-distance-left:9pt;mso-wrap-distance-right:9pt;mso-wrap-distance-top:0pt;z-index:251660288;mso-width-relative:page;mso-height-relative:page;" fillcolor="#FFFFFF" filled="t" stroked="f" coordsize="21600,21600" o:gfxdata="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xknqD9gAAAAKAQAADwAAAAAAAAABACAAAAAiAAAAZHJzL2Rvd25yZXYueG1sUEsB&#10;AhQAFAAAAAgAh07iQM3wFXUuAgAAdAQAAA4AAAAAAAAAAQAgAAAAJwEAAGRycy9lMm9Eb2MueG1s&#10;UEsFBgAAAAAGAAYAWQEAAMcFAAAAAA==&#10;">
                <v:fill on="t" focussize="0,0"/>
                <v:stroke on="f"/>
                <v:imagedata o:title=""/>
                <o:lock v:ext="edit" aspectratio="f"/>
                <v:textbox inset="0mm,0mm,0mm,0mm">
                  <w:txbxContent>
                    <w:p>
                      <w:pPr>
                        <w:pStyle w:val="3"/>
                        <w:rPr>
                          <w:color w:val="auto"/>
                          <w:sz w:val="36"/>
                          <w:szCs w:val="24"/>
                        </w:rPr>
                      </w:pPr>
                      <w:r>
                        <w:rPr>
                          <w:color w:val="auto"/>
                          <w:sz w:val="24"/>
                        </w:rPr>
                        <w:t xml:space="preserve">Figure </w:t>
                      </w:r>
                      <w:r>
                        <w:rPr>
                          <w:color w:val="auto"/>
                          <w:sz w:val="24"/>
                        </w:rPr>
                        <w:fldChar w:fldCharType="begin"/>
                      </w:r>
                      <w:r>
                        <w:rPr>
                          <w:color w:val="auto"/>
                          <w:sz w:val="24"/>
                        </w:rPr>
                        <w:instrText xml:space="preserve"> SEQ Figure \* ARABIC </w:instrText>
                      </w:r>
                      <w:r>
                        <w:rPr>
                          <w:color w:val="auto"/>
                          <w:sz w:val="24"/>
                        </w:rPr>
                        <w:fldChar w:fldCharType="separate"/>
                      </w:r>
                      <w:r>
                        <w:rPr>
                          <w:color w:val="auto"/>
                          <w:sz w:val="24"/>
                        </w:rPr>
                        <w:t>1</w:t>
                      </w:r>
                      <w:r>
                        <w:rPr>
                          <w:color w:val="auto"/>
                          <w:sz w:val="24"/>
                        </w:rPr>
                        <w:fldChar w:fldCharType="end"/>
                      </w:r>
                      <w:r>
                        <w:rPr>
                          <w:color w:val="auto"/>
                          <w:sz w:val="24"/>
                        </w:rPr>
                        <w:t>: CMG's revenue growth between 2019-2022</w:t>
                      </w:r>
                    </w:p>
                  </w:txbxContent>
                </v:textbox>
                <w10:wrap type="square"/>
              </v:shape>
            </w:pict>
          </mc:Fallback>
        </mc:AlternateContent>
      </w:r>
      <w:r>
        <w:drawing>
          <wp:anchor distT="0" distB="0" distL="114300" distR="114300" simplePos="0" relativeHeight="251659264" behindDoc="0" locked="0" layoutInCell="1" allowOverlap="1">
            <wp:simplePos x="0" y="0"/>
            <wp:positionH relativeFrom="column">
              <wp:posOffset>0</wp:posOffset>
            </wp:positionH>
            <wp:positionV relativeFrom="paragraph">
              <wp:posOffset>1552575</wp:posOffset>
            </wp:positionV>
            <wp:extent cx="5905500" cy="2219325"/>
            <wp:effectExtent l="0" t="0" r="0" b="9525"/>
            <wp:wrapSquare wrapText="bothSides"/>
            <wp:docPr id="1" name="Picture 1" descr="Zacks Investmen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acks Investment Research"/>
                    <pic:cNvPicPr>
                      <a:picLocks noChangeAspect="1" noChangeArrowheads="1"/>
                    </pic:cNvPicPr>
                  </pic:nvPicPr>
                  <pic:blipFill>
                    <a:blip r:embed="rId8">
                      <a:extLst>
                        <a:ext uri="{28A0092B-C50C-407E-A947-70E740481C1C}">
                          <a14:useLocalDpi xmlns:a14="http://schemas.microsoft.com/office/drawing/2010/main" val="0"/>
                        </a:ext>
                      </a:extLst>
                    </a:blip>
                    <a:srcRect t="10744"/>
                    <a:stretch>
                      <a:fillRect/>
                    </a:stretch>
                  </pic:blipFill>
                  <pic:spPr>
                    <a:xfrm>
                      <a:off x="0" y="0"/>
                      <a:ext cx="5905500" cy="2219325"/>
                    </a:xfrm>
                    <a:prstGeom prst="rect">
                      <a:avLst/>
                    </a:prstGeom>
                    <a:noFill/>
                    <a:ln>
                      <a:noFill/>
                    </a:ln>
                  </pic:spPr>
                </pic:pic>
              </a:graphicData>
            </a:graphic>
          </wp:anchor>
        </w:drawing>
      </w:r>
      <w:r>
        <w:t>as shown in Figure 1.</w:t>
      </w:r>
    </w:p>
    <w:p>
      <w:pPr>
        <w:spacing w:after="0" w:line="480" w:lineRule="auto"/>
        <w:jc w:val="center"/>
      </w:pPr>
      <w:r>
        <w:t>Source: Yahoo Finance / Derek Lewis (2022)</w:t>
      </w:r>
    </w:p>
    <w:p>
      <w:pPr>
        <w:spacing w:line="480" w:lineRule="auto"/>
      </w:pPr>
      <w:r>
        <w:t>As illustrated in Figure 1, CMG’s revenues increased rapidly, particularly between the second quarter of year 2020 through to the second quarter of 2022. Although the change had already been introduced two years earlier, it is evident that the spike in revenues must have been caused by an anticipated factor. Looking back at this period, the only factor capable of driving such as huge difference in revenues is the Covid-19 pandemic.</w:t>
      </w:r>
    </w:p>
    <w:p>
      <w:pPr>
        <w:rPr>
          <w:b/>
        </w:rPr>
      </w:pPr>
      <w:r>
        <w:rPr>
          <w:rFonts w:hint="eastAsia" w:eastAsia="宋体"/>
          <w:b/>
          <w:lang w:val="en-US" w:eastAsia="zh-CN"/>
        </w:rPr>
        <w:t xml:space="preserve">2.1 </w:t>
      </w:r>
      <w:r>
        <w:rPr>
          <w:b/>
        </w:rPr>
        <w:t xml:space="preserve">Drivers of the “chipotlanes” change  </w:t>
      </w:r>
    </w:p>
    <w:p>
      <w:pPr>
        <w:spacing w:after="0" w:line="480" w:lineRule="auto"/>
        <w:jc w:val="both"/>
      </w:pPr>
      <w:r>
        <w:tab/>
      </w:r>
      <w:r>
        <w:t xml:space="preserve">“Chipotlanes” is a change that has been necessitated and driven by various factors. But while these drivers are many and varied, three are most notable. These are the pandemic, the need to improve service quality, and the desire to supplement customary counter-service method. As indicated in Kee et al. (2022), the pandemic was brutal to most businesses, even those specialising in fast food. Forced social distancing and proper sanitisation implied additional expenses for firms in the fast food industry. The industry as a whole suffered as every fast food restaurant (FFR) strove to ensure that it remained afloat amidst strict measures by the government that left many businesses with little to no workforce (Kee et al., 2021, p.45). For those restaurants that were able to sustain their operations, such as CMG, implementing digitalisation technologies and other changes was the only way to ensure that they stayed afloat. In response to the hardships, CMG introduced chipotlanes as a new change, which helped it achieve its objective of serving more customers than before and within a comparatively short time. For CMG, and true to the view by McCullough (2022) that not all change is bad, the change yielded better outcomes than the firm would have thought considering the effects of the pandemic on other businesses. For instance, a study by Reuters reported that by mid-2020, CMG had started reaping benefits from this change as its online orders soared simultaneously sending its shares higher up by over 5% (Kumar and Russ, 2020). This was in contrast to same-store sales in other locations that had on average fell 16 percent, forcing them to completely shut their dining rooms. For CMG, however, it was possible to make up for in-store ordering that had fallen 75 percent, with delivery and mobile pickup orders that rose by 150 and 120 percent respectively (Kumar and Russ, 2020). Thus, CMG’s change had a positive impact on the business as a whole, especially in the US. </w:t>
      </w:r>
    </w:p>
    <w:p>
      <w:pPr>
        <w:spacing w:line="480" w:lineRule="auto"/>
        <w:jc w:val="both"/>
      </w:pPr>
      <w:r>
        <w:tab/>
      </w:r>
      <w:r>
        <w:t>Another driver of “chipotlanes” as implemented by CMG was the desire to improve service quality. Although the positive impacts of this change may have been realised during the pandemic, the restaurant’s plan to improve the quality of its services started in 2018, when the change was inaugurated. Since then, CMG found a better way to serve more customers within a comparatively short time (CMG, 2020). A study by Chen et al. (2018) supports this change noting that in the fast-food industry, innovations (such as chipotlanes) enhance convenience and help improve service quality. Moreover, CMG fulfilled its desire to supplement its traditional counter-service method, where customers used to walk in the restaurant and place their orders on the spot. As a result, CMG has been able to exploit the business opportunities brought about by this change in a manner that many other restaurants in the industry could not at the time. Nevertheless, CMG’s potential to fully exploit such opportunities can only be fully understood by analysing its internal and external environment.</w:t>
      </w:r>
    </w:p>
    <w:p>
      <w:pPr>
        <w:pStyle w:val="2"/>
        <w:numPr>
          <w:ilvl w:val="0"/>
          <w:numId w:val="1"/>
        </w:numPr>
        <w:jc w:val="center"/>
        <w:rPr>
          <w:rFonts w:ascii="Times New Roman" w:hAnsi="Times New Roman" w:cs="Times New Roman"/>
          <w:b/>
          <w:color w:val="auto"/>
          <w:sz w:val="24"/>
          <w:szCs w:val="24"/>
        </w:rPr>
      </w:pPr>
      <w:bookmarkStart w:id="0" w:name="_Toc127875388"/>
      <w:r>
        <w:rPr>
          <w:rFonts w:ascii="Times New Roman" w:hAnsi="Times New Roman" w:cs="Times New Roman"/>
          <w:b/>
          <w:color w:val="auto"/>
          <w:sz w:val="24"/>
          <w:szCs w:val="24"/>
        </w:rPr>
        <w:t>Main discussion</w:t>
      </w:r>
      <w:bookmarkEnd w:id="0"/>
    </w:p>
    <w:p>
      <w:pPr>
        <w:rPr>
          <w:b/>
        </w:rPr>
      </w:pPr>
    </w:p>
    <w:p>
      <w:pPr>
        <w:rPr>
          <w:b/>
        </w:rPr>
      </w:pPr>
      <w:r>
        <w:rPr>
          <w:rFonts w:hint="eastAsia" w:eastAsia="宋体"/>
          <w:b/>
          <w:lang w:val="en-US" w:eastAsia="zh-CN"/>
        </w:rPr>
        <w:t xml:space="preserve">3.1 </w:t>
      </w:r>
      <w:r>
        <w:rPr>
          <w:b/>
        </w:rPr>
        <w:t xml:space="preserve">Analysis of CMG’s internal environment </w:t>
      </w:r>
    </w:p>
    <w:p>
      <w:pPr>
        <w:spacing w:after="0" w:line="480" w:lineRule="auto"/>
        <w:ind w:firstLine="720"/>
        <w:jc w:val="both"/>
      </w:pPr>
      <w:r>
        <w:t xml:space="preserve">While there are many tools and models to analyse a company’s internal environment, including gap analysis, strategy evaluation, VRIO analysis, McKinsey 7s framework, and even core competency analysis, this paper makes use of SWOT analysis, as one of the in-depth models used in business (Benzaghta et al., 2022, p.55). Consequently, an analysis of CMG’s internal environment using SWOT analysis has revealed that some of the brand’s strengths include presence in various regions across the globe. For instance, as of 2022, CMG had about 3,100 restaurants in US, Canada, UK, France, as well as Germany (Cision, 2022). CMG also has as a strength, the capacity to fast implement the chipotlanes, particularly in the US market, where many firms in the fast food industry were unable at the time. The brand has been able to increase the implementation of this change in its existing restaurants from 100 in 2020 to 500 in 2022 (Littman, 2022). Moreover, CMG has cultivated a strong reputation as the only business of its size in the fast food industry that operates all of its own restaurants. The company also has best in class benefits for employees and inclusive culture, which enable it to attract as many as 700,000 job applications in the US alone every year (CMG, 2020). Additionally, a 2020 survey by the QSR Magazine ranked CMG first in 2020 among COVID-19 safety measures. </w:t>
      </w:r>
    </w:p>
    <w:p>
      <w:pPr>
        <w:spacing w:after="0" w:line="480" w:lineRule="auto"/>
        <w:ind w:firstLine="720"/>
        <w:jc w:val="both"/>
      </w:pPr>
      <w:r>
        <w:t>CMG also has diverse opportunities which the company can exploit to gain a competitive advantage. These, according to Cision (2022), include increased potential to introduce chipotlanes in other chipotles in regions outside the US, a more stable business environment as the world fully opens after the pandemic, as well as a growing population both in and outside the US. However, according to Choi and Shepherd (2004, p.377), exploiting the opportunities brought about by such change as the introduction of chipotlanes can be a double-edged sword. This is because, while it represents newness through which CMG can differentiate itself from competitors, the newness can also create and increase the company’s uncertainty regarding the capacity to attract returns that would offset and surpass the cost of implementing and sustaining the change. Luckily, Mueller (2007) notes that a company such as CMG can effectively exploit such opportunities by obtaining appropriate human resources and understanding the customers and the market as a whole.</w:t>
      </w:r>
    </w:p>
    <w:p>
      <w:pPr>
        <w:spacing w:line="480" w:lineRule="auto"/>
        <w:ind w:firstLine="720"/>
        <w:jc w:val="both"/>
      </w:pPr>
      <w:r>
        <w:t>However, CMG is compelled to contend with the confinement of its operations to the western world, and having only a few items on the food menu, which are highly inconveniencing to the brand (Littman, 2020). For instance, while he brand has over 3000 restaurants word over, only 40 are located outside the US (Gupta, 2023). This implies that CMG over relies on the US market which may have a negative financial impact on the brand in the long run. The impact of these weaknesses is amplified by the fact that CMG still has to contend with such threats as emerging new firms in the fast food business and the potential for the adoption of chipotlanes concept by competitors. The research by Littman (2020), for instance, indicated that digital pickup lanes are a growing concept that many fast food brands, such as McDonald’s and Starbucks, are seeking to adopt.</w:t>
      </w:r>
    </w:p>
    <w:p>
      <w:pPr>
        <w:spacing w:after="0" w:line="480" w:lineRule="auto"/>
        <w:rPr>
          <w:b/>
        </w:rPr>
      </w:pPr>
      <w:r>
        <w:rPr>
          <w:rFonts w:hint="eastAsia" w:eastAsia="宋体"/>
          <w:b/>
          <w:lang w:val="en-US" w:eastAsia="zh-CN"/>
        </w:rPr>
        <w:t xml:space="preserve">3.2 </w:t>
      </w:r>
      <w:r>
        <w:rPr>
          <w:b/>
        </w:rPr>
        <w:t xml:space="preserve">Analysis of CMG’s external environment </w:t>
      </w:r>
    </w:p>
    <w:p>
      <w:pPr>
        <w:spacing w:after="0" w:line="480" w:lineRule="auto"/>
        <w:jc w:val="both"/>
      </w:pPr>
      <w:r>
        <w:tab/>
      </w:r>
      <w:r>
        <w:t xml:space="preserve">It is also necessary to examine the external factors that may have an influence on CMG’s capacity to implement chipotlanes. The most appropriate tool for this type of analysis is PESTLE analysis, which Pan, Chen, and Zhan (2019, p.4) describe as the most comprehensive tool for evaluating the macro business environmental aspects of a business. This model also allows for the identification and categorisation of detailed sub-factors that are usually relevant to the external environment under analysis. </w:t>
      </w:r>
    </w:p>
    <w:p>
      <w:pPr>
        <w:spacing w:line="480" w:lineRule="auto"/>
        <w:jc w:val="both"/>
      </w:pPr>
      <w:r>
        <w:tab/>
      </w:r>
      <w:r>
        <w:t xml:space="preserve">Consequently, an examination of CMG’s external environment reveals that there are three major factors that influence the brand’s capacity to implement the chipotlanes change. These are political, economic, and social factors. However, this does not imply that other external factors are not relevant. Politically, CMG primarily operates in the western countries (US, Canada, UK, France and Germany) all of which are mostly characterised by a favourable political environment. Additionally, there are favourable tax systems, particularly in the domestic (US) market. For instance, the US lowered its corporate income tax rates from 35% to 21% in 2018 (Auerbach, 2018). This has helped the CMG restaurants located in the US to realise a higher profit margin compared to those located outside the US. Economically, CMG may have to contend with a potential decline in business due to lowering disposable income as a result of declining per capita income of US consumers. For instance, a research by Miller (2022) established that the US per capita income declined from $63,416 in 2021 to $55,000 in 2022. This may inform a lower purchasing power for consumers. Additionally, CMG may miss its source of cheap labour as Miller (2022) projects that the US unemployment rate will have decreased from 3.9% in 2021 to 3.5% by 2023. Socially, the merging social trends in the US restaurant industry are favourable to the implementation of CMG’s chipotlanes. For example, Miller (2022) also established that following the pandemic, 3% of consumers seem to prefer eating out at a restaurant. The similarity of culture in the west minimises the cultural risks that would impede CMG’s implementation of the chipotlanes concept in this region. However, the trend of veganism is rising in Canada, where consumers of plant-based meals have increased by 1.4 million, which may compel CMG to adjust its menu in this country (Beynon-MacKinnon, 2019, p.26). But while the internal and external environments in which CMG operates in play a key role in effective implementation and success of chipotlanes, there are other numerous factors that present potential for resistance to this change.  </w:t>
      </w:r>
    </w:p>
    <w:p>
      <w:pPr>
        <w:tabs>
          <w:tab w:val="left" w:pos="7545"/>
        </w:tabs>
        <w:spacing w:after="0" w:line="480" w:lineRule="auto"/>
        <w:rPr>
          <w:b/>
        </w:rPr>
      </w:pPr>
      <w:r>
        <w:rPr>
          <w:rFonts w:hint="eastAsia" w:eastAsia="宋体"/>
          <w:b/>
          <w:lang w:val="en-US" w:eastAsia="zh-CN"/>
        </w:rPr>
        <w:t xml:space="preserve">3.3 </w:t>
      </w:r>
      <w:r>
        <w:rPr>
          <w:b/>
        </w:rPr>
        <w:t>Resistance to chipotlanes change and CMG’s change management</w:t>
      </w:r>
    </w:p>
    <w:p>
      <w:pPr>
        <w:spacing w:after="0" w:line="480" w:lineRule="auto"/>
        <w:ind w:firstLine="360"/>
        <w:jc w:val="both"/>
      </w:pPr>
      <w:r>
        <w:t xml:space="preserve">According Sirkin, Keenan, and Jackson (2005, p.99), managing change is tough, mostly because there’s no agreement on the most influential factors as far as change in general is concerned. As a result of this lack of agreement, among other challenges, there is always resistance to change, making it a subject of interest for many scholars (Grama and Todericiu, 2016; Shimoni, 2017). Basing his argument on Bourdieu’s habitus-oriented approach, Shimoni (2017, p.257) claims that resistance is mainly a social practice that while built into the system is produced by social agents’ habitus. These agents can be individuals or groups, or both. Just like many other businesses, CMG has also faced substantial resistance to change in an attempt to introduce chipotlanes in its existing chipotles. However, according to Grama and Todericiu (2016), resistance to change is important as it challenges the organisation into reviewing the change itself and the process of implementing it. </w:t>
      </w:r>
    </w:p>
    <w:p>
      <w:pPr>
        <w:spacing w:after="0" w:line="480" w:lineRule="auto"/>
        <w:jc w:val="both"/>
      </w:pPr>
      <w:r>
        <w:tab/>
      </w:r>
      <w:r>
        <w:t>In case of CMG, most of the resistance to the chipotlanes change have come from both employees and consumers. According to Simons (2021), when CMG first introduced the concept of chipotlanes, many consumers had not had such an experience before and were having a hard time adapting. Many of them still preferred walking over to the counter and ordering their meal of choice, whether they wanted to eat at the restaurant or take away. This was the very practice that CMG was trying to discourage by introducing the chipotlanes. However, having already been accustomed to the traditional ordering system, most of the customers had to be incentivized to embrace the change. This explains why despite having been introduced in 2018, CMG had not been able to make any significant sales from this change until 2020 when it was clear that the pandemic was creating an irreversible disruption.</w:t>
      </w:r>
    </w:p>
    <w:p>
      <w:pPr>
        <w:spacing w:after="0" w:line="480" w:lineRule="auto"/>
        <w:jc w:val="both"/>
      </w:pPr>
      <w:r>
        <w:tab/>
      </w:r>
      <w:r>
        <w:t xml:space="preserve">Similarly, CMG employees presented some resistance to the chipotlanes change. This resistance came about because chipotlanes attracted additional work, requiring most of the available workforce to have to work overtime (Patton, 2022). The workload for the available workers increased during the pandemic with the implementation of social distancing measures and the lockdown that meant that new workers were difficult to hire (Escobar, 2023). As the available CMG workforce was battling with whether or not to accept the chipotlanes change, the demand for CMG’s products rose with the pandemic, compelling the workforce to reluctantly embrace the change. With time, the company understood the need for a larger workforce since the change had already gained traction. Examining this resistance, and based on the insights by Patton (2022), who calls for the implementation of change by working with human nature, as opposed to against it, it can be argued that CMG could be able to effectively overcome this resistance by engaging change management as response tool. </w:t>
      </w:r>
    </w:p>
    <w:p>
      <w:pPr>
        <w:spacing w:after="0" w:line="480" w:lineRule="auto"/>
        <w:jc w:val="both"/>
      </w:pPr>
      <w:r>
        <w:tab/>
      </w:r>
      <w:r>
        <w:t>As noted in the introduction, change management entails continually renewing the direction taken by the organisation, its structure, as well as capabilities when seeking to meet its customers’ ever-evolving needs (Todnem, 2005, p.369). And since every successful organisation needs to engage in this process at least once in its existence, the role of the change management process in the success of change initiatives has been widely studied (Cameron and Green, 2019; Creasey, 2007; Mento et al., 2002; Waddell and Sohal, 1998). Each of these studies have had something to illuminate about change and how it can be well managed. For instance, Creasey (2007, p.3) defines change management as the process, tools as well as techniques that are employed in managing the people-side of change with the objective of achieving the required business outcome. Waddell and Sohal (1998, p.543) had claimed that resistance to change is a critical factor that significantly influences the success of change effort. Mento et al. (2002, p.45) recognise such models as Kotter’s eight-step model for transforming organisations, for their exceptional role in articulating the change management process.</w:t>
      </w:r>
    </w:p>
    <w:p>
      <w:pPr>
        <w:spacing w:line="480" w:lineRule="auto"/>
        <w:jc w:val="both"/>
        <w:rPr>
          <w:lang w:val="en-US"/>
        </w:rPr>
      </w:pPr>
      <w:r>
        <w:tab/>
      </w:r>
      <w:r>
        <w:t xml:space="preserve">In line with these insights, CMG ought to seek strategies that it can use to overcome the substantial resistance to chitolans and how an effective change management can be implemented. One theory or approach that would be helpful in this case is the planned approach to change, or change management model, which was fronted by Kurt Lewin in 1946 (Bamford and Forrester, 2003). This theory suggests that previous behaviour, culture, structures, and even processes have to be discarded prior to successfully adopting change. Consequently, the model recommends that a successful change must involve three stages: unfreezing the present state, then moving to a new state or level, before finally refreezing this new level (Todnem, 2005, p.375). Considering the progress that CMG has made, it can be argued that the organisation has made considerable efforts to abide by this model in order to successfully implement chipotlanes. However, for the remaining chipotles the US and beyond, CMG will first need to prepare all stakeholders (employees, investors, customers, job seekers) for the upcoming organisational change through effective communication (unfreezing phase). CMG can then implement the change (chiptolanes) through a continuous flow of information and empowering stakeholders when necessary (changing phase). CMG will also need to empower both employees and customers to submit their opinions about this change and what can be done to motivate them to take part in, and drive it. Finally, in the refreezing, stage CMG can stabilise its chiptolanes after adoption and acceptance by all stakeholders. This is the case with the 500 chipotle restaurants where CMG has implemented chipotlanes. As a response to, and as a way to overcome resistance to this change, and the resulting human resources challenges, CMG announced in 2023 that it would be hiring as many as additional 15,000 workers (Kaplan, 2021). The new workforce would be deployed in all the locations that CMG has introduced a chipotlane. As a result of effective change management, CMG was able to launch 235 -250 restaurants by the end of 2022, and plans to open another 255-285 in 2023, where 80% are planned to have a chipotlane (Littman, 2022). CMG hopes that this change will help it generate about 15% more sales compared to traditional Chipotle restaurants (Littman, 2022). </w:t>
      </w:r>
    </w:p>
    <w:p>
      <w:pPr>
        <w:spacing w:after="0" w:line="480" w:lineRule="auto"/>
        <w:jc w:val="center"/>
        <w:rPr>
          <w:b/>
        </w:rPr>
      </w:pPr>
      <w:r>
        <w:rPr>
          <w:rFonts w:hint="eastAsia" w:eastAsia="宋体"/>
          <w:b/>
          <w:lang w:val="en-US" w:eastAsia="zh-CN"/>
        </w:rPr>
        <w:t xml:space="preserve">4.0 </w:t>
      </w:r>
      <w:r>
        <w:rPr>
          <w:b/>
        </w:rPr>
        <w:t>Conclusion and recommendations</w:t>
      </w:r>
    </w:p>
    <w:p>
      <w:pPr>
        <w:spacing w:after="0" w:line="480" w:lineRule="auto"/>
        <w:jc w:val="both"/>
      </w:pPr>
      <w:r>
        <w:t xml:space="preserve"> </w:t>
      </w:r>
      <w:r>
        <w:tab/>
      </w:r>
      <w:r>
        <w:t>This paper has examined CMG’s chipotlanes as a change that the brand has implemented through effective change management, and in line with Kurt Lewin’s change management model. This change has involved introducing high-margin drive-thru pickup lanes to enable the brand to serve its customers better and increase its revenue generation capacity. The paper has established that the pandemic, the need to improve service quality, as well as the desire to supplement its customary counter-service approach, have been the key drivers of this change. The pandemic especially, encouraged social distancing and compelled consumers to adopt chipotlanes as a change. However, adopting this change has been faced with substantial resistance from both customers and employees; customers preferring the traditional ordering method where they used to walk in the restaurant and order their meals, while employees’ resistance has come from the additional workload that resulted from the introduction of this change. Nevertheless, the paper has illustrated that CMG’s change management process has been effective as the change enabled it to launch its 100</w:t>
      </w:r>
      <w:r>
        <w:rPr>
          <w:vertAlign w:val="superscript"/>
        </w:rPr>
        <w:t>th</w:t>
      </w:r>
      <w:r>
        <w:t xml:space="preserve"> chipotlane in 2020, the same year when the brand opened 19 new restaurants, of which 11 featured a chipotlane. To overcome the employee’s resistance, and to support its growth in all markets, CMG hired an additional 10,000 in 2022 employees, a number that is expected to reach 15,000 in 2023. But since not all the chipotles have a chipotlane, this paper makes the following recommendation to help CMG successfully implement this change by 2025: </w:t>
      </w:r>
    </w:p>
    <w:p>
      <w:pPr>
        <w:pStyle w:val="11"/>
        <w:numPr>
          <w:ilvl w:val="0"/>
          <w:numId w:val="2"/>
        </w:numPr>
        <w:spacing w:after="0" w:line="480" w:lineRule="auto"/>
        <w:jc w:val="both"/>
      </w:pPr>
      <w:r>
        <w:t>Perform an impact assessment of chipotlanes in the locations they have been implemented to identify the most occurring challenges and how they can be overcome</w:t>
      </w:r>
    </w:p>
    <w:p>
      <w:pPr>
        <w:pStyle w:val="11"/>
        <w:numPr>
          <w:ilvl w:val="0"/>
          <w:numId w:val="2"/>
        </w:numPr>
        <w:spacing w:after="0" w:line="480" w:lineRule="auto"/>
        <w:jc w:val="both"/>
      </w:pPr>
      <w:r>
        <w:t>Fully involve employees and customers in the new locations as the key stakeholders, by communicating this change, rationalising for it, and seeking their feedback</w:t>
      </w:r>
    </w:p>
    <w:p>
      <w:pPr>
        <w:pStyle w:val="11"/>
        <w:numPr>
          <w:ilvl w:val="0"/>
          <w:numId w:val="2"/>
        </w:numPr>
        <w:spacing w:after="0" w:line="480" w:lineRule="auto"/>
        <w:jc w:val="both"/>
      </w:pPr>
      <w:r>
        <w:t>Devise a new plan for handling resistance should it emerge among staff and customers, such as additional training and remuneration for employees and offering discounts for customers</w:t>
      </w: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rFonts w:hint="eastAsia" w:eastAsia="宋体"/>
          <w:b/>
          <w:bCs/>
          <w:lang w:val="en-US" w:eastAsia="zh-CN"/>
        </w:rPr>
      </w:pPr>
    </w:p>
    <w:p>
      <w:pPr>
        <w:spacing w:after="0" w:line="480" w:lineRule="auto"/>
        <w:jc w:val="center"/>
        <w:rPr>
          <w:b/>
          <w:bCs/>
        </w:rPr>
      </w:pPr>
      <w:r>
        <w:rPr>
          <w:rFonts w:hint="eastAsia" w:eastAsia="宋体"/>
          <w:b/>
          <w:bCs/>
          <w:lang w:val="en-US" w:eastAsia="zh-CN"/>
        </w:rPr>
        <w:t xml:space="preserve">5.0 </w:t>
      </w:r>
      <w:r>
        <w:rPr>
          <w:b/>
          <w:bCs/>
        </w:rPr>
        <w:t>Reference List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Auerbach, A.J</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2018</w:t>
      </w:r>
      <w:r>
        <w:rPr>
          <w:rFonts w:hint="eastAsia"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Measuring the effects of corporate tax cuts. </w:t>
      </w:r>
      <w:r>
        <w:rPr>
          <w:rFonts w:hint="eastAsia" w:ascii="Times New Roman" w:hAnsi="Times New Roman" w:eastAsia="宋体" w:cs="Times New Roman"/>
          <w:i/>
          <w:iCs/>
          <w:sz w:val="24"/>
          <w:szCs w:val="24"/>
          <w:lang w:val="en-US" w:eastAsia="zh-CN"/>
        </w:rPr>
        <w:t>Journal of Economic Perspectives</w:t>
      </w:r>
      <w:r>
        <w:rPr>
          <w:rFonts w:hint="eastAsia" w:ascii="Times New Roman" w:hAnsi="Times New Roman" w:eastAsia="宋体" w:cs="Times New Roman"/>
          <w:sz w:val="24"/>
          <w:szCs w:val="24"/>
          <w:lang w:val="en-US" w:eastAsia="zh-CN"/>
        </w:rPr>
        <w:t>, 32(4), pp.97-120.</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Bamford, D.R. and Forrester, P.L.</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2003</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Managing planned and emergent change within an operations management environment. </w:t>
      </w:r>
      <w:r>
        <w:rPr>
          <w:rFonts w:hint="eastAsia" w:ascii="Times New Roman" w:hAnsi="Times New Roman" w:eastAsia="宋体" w:cs="Times New Roman"/>
          <w:i/>
          <w:iCs/>
          <w:sz w:val="24"/>
          <w:szCs w:val="24"/>
          <w:lang w:val="en-US" w:eastAsia="zh-CN"/>
        </w:rPr>
        <w:t>International journal of operations &amp; production management</w:t>
      </w:r>
      <w:r>
        <w:rPr>
          <w:rFonts w:hint="eastAsia" w:ascii="Times New Roman" w:hAnsi="Times New Roman" w:eastAsia="宋体" w:cs="Times New Roman"/>
          <w:sz w:val="24"/>
          <w:szCs w:val="24"/>
          <w:lang w:val="en-US" w:eastAsia="zh-CN"/>
        </w:rPr>
        <w:t>, 23(5), pp.546-564.</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Benzaghta, M.A.</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2021</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SWOT analysis applications: An integrative literature review. </w:t>
      </w:r>
      <w:r>
        <w:rPr>
          <w:rFonts w:hint="eastAsia" w:ascii="Times New Roman" w:hAnsi="Times New Roman" w:eastAsia="宋体" w:cs="Times New Roman"/>
          <w:i/>
          <w:iCs/>
          <w:sz w:val="24"/>
          <w:szCs w:val="24"/>
          <w:lang w:val="en-US" w:eastAsia="zh-CN"/>
        </w:rPr>
        <w:t>Journal of Global Business Insights</w:t>
      </w:r>
      <w:r>
        <w:rPr>
          <w:rFonts w:hint="eastAsia" w:ascii="Times New Roman" w:hAnsi="Times New Roman" w:eastAsia="宋体" w:cs="Times New Roman"/>
          <w:sz w:val="24"/>
          <w:szCs w:val="24"/>
          <w:lang w:val="en-US" w:eastAsia="zh-CN"/>
        </w:rPr>
        <w:t>, 6(1), pp.55-73.</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Beynon-MacKinnon, Z.</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2019</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i/>
          <w:iCs/>
          <w:sz w:val="24"/>
          <w:szCs w:val="24"/>
          <w:lang w:val="en-US" w:eastAsia="zh-CN"/>
        </w:rPr>
        <w:t>Not milk? Agribusiness and Canada's food guide</w:t>
      </w:r>
      <w:r>
        <w:rPr>
          <w:rFonts w:hint="eastAsia" w:ascii="Times New Roman" w:hAnsi="Times New Roman" w:eastAsia="宋体" w:cs="Times New Roman"/>
          <w:sz w:val="24"/>
          <w:szCs w:val="24"/>
          <w:lang w:val="en-US" w:eastAsia="zh-CN"/>
        </w:rPr>
        <w:t xml:space="preserve"> (Doctoral dissertation, University of British Columbia).</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Cameron, E. and Green, M.</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2019</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i/>
          <w:iCs/>
          <w:sz w:val="24"/>
          <w:szCs w:val="24"/>
          <w:lang w:val="en-US" w:eastAsia="zh-CN"/>
        </w:rPr>
        <w:t>Making sense of change management: A complete guide to the models, tools and techniques of organizational change.</w:t>
      </w:r>
      <w:r>
        <w:rPr>
          <w:rFonts w:hint="eastAsia" w:ascii="Times New Roman" w:hAnsi="Times New Roman" w:eastAsia="宋体" w:cs="Times New Roman"/>
          <w:sz w:val="24"/>
          <w:szCs w:val="24"/>
          <w:lang w:val="en-US" w:eastAsia="zh-CN"/>
        </w:rPr>
        <w:t xml:space="preserve"> Kogan Page Publishers.</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Carnall, C.A.</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2007</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i/>
          <w:iCs/>
          <w:sz w:val="24"/>
          <w:szCs w:val="24"/>
          <w:lang w:val="en-US" w:eastAsia="zh-CN"/>
        </w:rPr>
        <w:t>Managing change in organizations.</w:t>
      </w:r>
      <w:r>
        <w:rPr>
          <w:rFonts w:hint="eastAsia" w:ascii="Times New Roman" w:hAnsi="Times New Roman" w:eastAsia="宋体" w:cs="Times New Roman"/>
          <w:sz w:val="24"/>
          <w:szCs w:val="24"/>
          <w:lang w:val="en-US" w:eastAsia="zh-CN"/>
        </w:rPr>
        <w:t xml:space="preserve"> Pearson Education.</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Chen, K.J., Yeh, T.M., Pai, F.Y. and Chen, D.F.</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2018</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Integrating refined kano model and QFD for service quality improvement in healthy fast-food chain restaurants. </w:t>
      </w:r>
      <w:r>
        <w:rPr>
          <w:rFonts w:hint="eastAsia" w:ascii="Times New Roman" w:hAnsi="Times New Roman" w:eastAsia="宋体" w:cs="Times New Roman"/>
          <w:i/>
          <w:iCs/>
          <w:sz w:val="24"/>
          <w:szCs w:val="24"/>
          <w:lang w:val="en-US" w:eastAsia="zh-CN"/>
        </w:rPr>
        <w:t>International journal of environmental research and public health,</w:t>
      </w:r>
      <w:r>
        <w:rPr>
          <w:rFonts w:hint="eastAsia" w:ascii="Times New Roman" w:hAnsi="Times New Roman" w:eastAsia="宋体" w:cs="Times New Roman"/>
          <w:sz w:val="24"/>
          <w:szCs w:val="24"/>
          <w:lang w:val="en-US" w:eastAsia="zh-CN"/>
        </w:rPr>
        <w:t xml:space="preserve"> 15(7), p.1310.</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Choi, Y.R. and Shepherd, D.A.</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2004</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Entrepreneurs’ decisions to exploit opportunities. </w:t>
      </w:r>
      <w:r>
        <w:rPr>
          <w:rFonts w:hint="eastAsia" w:ascii="Times New Roman" w:hAnsi="Times New Roman" w:eastAsia="宋体" w:cs="Times New Roman"/>
          <w:i/>
          <w:iCs/>
          <w:sz w:val="24"/>
          <w:szCs w:val="24"/>
          <w:lang w:val="en-US" w:eastAsia="zh-CN"/>
        </w:rPr>
        <w:t>Journal of management,</w:t>
      </w:r>
      <w:r>
        <w:rPr>
          <w:rFonts w:hint="eastAsia" w:ascii="Times New Roman" w:hAnsi="Times New Roman" w:eastAsia="宋体" w:cs="Times New Roman"/>
          <w:sz w:val="24"/>
          <w:szCs w:val="24"/>
          <w:lang w:val="en-US" w:eastAsia="zh-CN"/>
        </w:rPr>
        <w:t xml:space="preserve"> 30(3), pp.377-395.</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Cision</w:t>
      </w:r>
      <w:r>
        <w:rPr>
          <w:rFonts w:hint="eastAsia"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2022</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 xml:space="preserve"> CHIPOTLE OPENS 500TH CHIPOTLANE® RESTAURANT.</w:t>
      </w:r>
      <w:r>
        <w:rPr>
          <w:rFonts w:hint="eastAsia" w:ascii="Times New Roman" w:hAnsi="Times New Roman" w:eastAsia="宋体" w:cs="Times New Roman"/>
          <w:sz w:val="24"/>
          <w:szCs w:val="24"/>
          <w:lang w:val="en-US" w:eastAsia="zh-CN"/>
        </w:rPr>
        <w:br w:type="textWrapping"/>
      </w:r>
      <w:r>
        <w:rPr>
          <w:rFonts w:hint="eastAsia" w:ascii="Times New Roman" w:hAnsi="Times New Roman" w:eastAsia="宋体" w:cs="Times New Roman"/>
          <w:sz w:val="24"/>
          <w:szCs w:val="24"/>
          <w:lang w:val="en-US" w:eastAsia="zh-CN"/>
        </w:rPr>
        <w:t xml:space="preserve">Available at: https://www.prnewswire.com/news-releases/chipotle-opens-500th-chipotlane-restaurant-301679728.html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15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CMG (2020) </w:t>
      </w:r>
      <w:r>
        <w:rPr>
          <w:rFonts w:hint="eastAsia" w:ascii="Times New Roman" w:hAnsi="Times New Roman" w:eastAsia="宋体" w:cs="Times New Roman"/>
          <w:i/>
          <w:iCs/>
          <w:sz w:val="24"/>
          <w:szCs w:val="24"/>
          <w:lang w:val="en-US" w:eastAsia="zh-CN"/>
        </w:rPr>
        <w:t xml:space="preserve">Chipotle Continues Accelerated Growth with 100th Chipotlane and 10,000 New Jobs. </w:t>
      </w:r>
      <w:r>
        <w:rPr>
          <w:rFonts w:hint="eastAsia" w:ascii="Times New Roman" w:hAnsi="Times New Roman" w:eastAsia="宋体" w:cs="Times New Roman"/>
          <w:sz w:val="24"/>
          <w:szCs w:val="24"/>
          <w:lang w:val="en-US" w:eastAsia="zh-CN"/>
        </w:rPr>
        <w:t xml:space="preserve">Available at: </w:t>
      </w:r>
      <w:r>
        <w:rPr>
          <w:rFonts w:hint="eastAsia" w:ascii="Times New Roman" w:hAnsi="Times New Roman" w:eastAsia="宋体" w:cs="Times New Roman"/>
          <w:sz w:val="24"/>
          <w:szCs w:val="24"/>
          <w:lang w:val="en-US" w:eastAsia="zh-CN"/>
        </w:rPr>
        <w:fldChar w:fldCharType="begin"/>
      </w:r>
      <w:r>
        <w:rPr>
          <w:rFonts w:hint="eastAsia" w:ascii="Times New Roman" w:hAnsi="Times New Roman" w:eastAsia="宋体" w:cs="Times New Roman"/>
          <w:sz w:val="24"/>
          <w:szCs w:val="24"/>
          <w:lang w:val="en-US" w:eastAsia="zh-CN"/>
        </w:rPr>
        <w:instrText xml:space="preserve"> HYPERLINK "https://newsroom.chipotle.com/2020-07-15-Chipotle-Continues-Accelerated-Growth-With-100th-Chipotlane-and-10-000-New-Jobs" </w:instrText>
      </w:r>
      <w:r>
        <w:rPr>
          <w:rFonts w:hint="eastAsia" w:ascii="Times New Roman" w:hAnsi="Times New Roman" w:eastAsia="宋体" w:cs="Times New Roman"/>
          <w:sz w:val="24"/>
          <w:szCs w:val="24"/>
          <w:lang w:val="en-US" w:eastAsia="zh-CN"/>
        </w:rPr>
        <w:fldChar w:fldCharType="separate"/>
      </w:r>
      <w:r>
        <w:rPr>
          <w:rStyle w:val="10"/>
          <w:rFonts w:hint="eastAsia" w:ascii="Times New Roman" w:hAnsi="Times New Roman" w:eastAsia="宋体" w:cs="Times New Roman"/>
          <w:sz w:val="24"/>
          <w:szCs w:val="24"/>
          <w:lang w:val="en-US" w:eastAsia="zh-CN"/>
        </w:rPr>
        <w:t>https://newsroom.chipotle.com/2020-07-15-Chipotle-Continues-Accelerated-Growth-With-100th-Chipotlane-and-10-000-New-Jobs</w:t>
      </w:r>
      <w:r>
        <w:rPr>
          <w:rFonts w:hint="eastAsia" w:ascii="Times New Roman" w:hAnsi="Times New Roman" w:eastAsia="宋体" w:cs="Times New Roman"/>
          <w:sz w:val="24"/>
          <w:szCs w:val="24"/>
          <w:lang w:val="en-US" w:eastAsia="zh-CN"/>
        </w:rPr>
        <w:fldChar w:fldCharType="end"/>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18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Creasey, T.(2007) Defining change management. </w:t>
      </w:r>
      <w:r>
        <w:rPr>
          <w:rFonts w:hint="eastAsia" w:ascii="Times New Roman" w:hAnsi="Times New Roman" w:eastAsia="宋体" w:cs="Times New Roman"/>
          <w:i/>
          <w:iCs/>
          <w:sz w:val="24"/>
          <w:szCs w:val="24"/>
          <w:lang w:val="en-US" w:eastAsia="zh-CN"/>
        </w:rPr>
        <w:t>Prosci and the Change Management Learning Center</w:t>
      </w:r>
      <w:r>
        <w:rPr>
          <w:rFonts w:hint="eastAsia" w:ascii="Times New Roman" w:hAnsi="Times New Roman" w:eastAsia="宋体" w:cs="Times New Roman"/>
          <w:sz w:val="24"/>
          <w:szCs w:val="24"/>
          <w:lang w:val="en-US" w:eastAsia="zh-CN"/>
        </w:rPr>
        <w:t>, pp.1-6.</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Escobar, S.(2023) </w:t>
      </w:r>
      <w:r>
        <w:rPr>
          <w:rFonts w:hint="eastAsia" w:ascii="Times New Roman" w:hAnsi="Times New Roman" w:eastAsia="宋体" w:cs="Times New Roman"/>
          <w:i/>
          <w:iCs/>
          <w:sz w:val="24"/>
          <w:szCs w:val="24"/>
          <w:lang w:val="en-US" w:eastAsia="zh-CN"/>
        </w:rPr>
        <w:t>Chipotle Is Hiring 15,000 Workers for ‘Burrito Season.’ Why Layoffs Aren’t Hitting the Service Sector.</w:t>
      </w:r>
      <w:r>
        <w:rPr>
          <w:rFonts w:hint="eastAsia" w:ascii="Times New Roman" w:hAnsi="Times New Roman" w:eastAsia="宋体" w:cs="Times New Roman"/>
          <w:sz w:val="24"/>
          <w:szCs w:val="24"/>
          <w:lang w:val="en-US" w:eastAsia="zh-CN"/>
        </w:rPr>
        <w:t xml:space="preserve">  Available at: https://www.barrons.com/ articles/chipotle-hiring-labor-shortage-51674745796</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18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Forbes (2023) </w:t>
      </w:r>
      <w:r>
        <w:rPr>
          <w:rFonts w:hint="eastAsia" w:ascii="Times New Roman" w:hAnsi="Times New Roman" w:eastAsia="宋体" w:cs="Times New Roman"/>
          <w:i/>
          <w:iCs/>
          <w:sz w:val="24"/>
          <w:szCs w:val="24"/>
          <w:lang w:val="en-US" w:eastAsia="zh-CN"/>
        </w:rPr>
        <w:t>Chipotle Mexican Grill Company Profile.</w:t>
      </w:r>
      <w:r>
        <w:rPr>
          <w:rFonts w:hint="eastAsia" w:ascii="Times New Roman" w:hAnsi="Times New Roman" w:eastAsia="宋体" w:cs="Times New Roman"/>
          <w:sz w:val="24"/>
          <w:szCs w:val="24"/>
          <w:lang w:val="en-US" w:eastAsia="zh-CN"/>
        </w:rPr>
        <w:t xml:space="preserve">  Available at: https://www. forbes. com /companies/chipotle-mexican-grill/?sh=66eb42104a7b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17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Grama, B. and Todericiu, R.(2016) Change, resistance to change and organizational cynicism. </w:t>
      </w:r>
      <w:r>
        <w:rPr>
          <w:rFonts w:hint="eastAsia" w:ascii="Times New Roman" w:hAnsi="Times New Roman" w:eastAsia="宋体" w:cs="Times New Roman"/>
          <w:i/>
          <w:iCs/>
          <w:sz w:val="24"/>
          <w:szCs w:val="24"/>
          <w:lang w:val="en-US" w:eastAsia="zh-CN"/>
        </w:rPr>
        <w:t>Studies in Business and Economics,</w:t>
      </w:r>
      <w:r>
        <w:rPr>
          <w:rFonts w:hint="eastAsia" w:ascii="Times New Roman" w:hAnsi="Times New Roman" w:eastAsia="宋体" w:cs="Times New Roman"/>
          <w:sz w:val="24"/>
          <w:szCs w:val="24"/>
          <w:lang w:val="en-US" w:eastAsia="zh-CN"/>
        </w:rPr>
        <w:t xml:space="preserve"> 11(3), pp.47-54.</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Gupta, S.(2023) </w:t>
      </w:r>
      <w:r>
        <w:rPr>
          <w:rFonts w:hint="eastAsia" w:ascii="Times New Roman" w:hAnsi="Times New Roman" w:eastAsia="宋体" w:cs="Times New Roman"/>
          <w:i/>
          <w:iCs/>
          <w:sz w:val="24"/>
          <w:szCs w:val="24"/>
          <w:lang w:val="en-US" w:eastAsia="zh-CN"/>
        </w:rPr>
        <w:t>Chipotle</w:t>
      </w:r>
      <w:r>
        <w:rPr>
          <w:rFonts w:hint="default" w:ascii="Times New Roman" w:hAnsi="Times New Roman" w:eastAsia="宋体" w:cs="Times New Roman"/>
          <w:i/>
          <w:iCs/>
          <w:sz w:val="24"/>
          <w:szCs w:val="24"/>
          <w:lang w:val="en-US" w:eastAsia="zh-CN"/>
        </w:rPr>
        <w:t>’</w:t>
      </w:r>
      <w:r>
        <w:rPr>
          <w:rFonts w:hint="eastAsia" w:ascii="Times New Roman" w:hAnsi="Times New Roman" w:eastAsia="宋体" w:cs="Times New Roman"/>
          <w:i/>
          <w:iCs/>
          <w:sz w:val="24"/>
          <w:szCs w:val="24"/>
          <w:lang w:val="en-US" w:eastAsia="zh-CN"/>
        </w:rPr>
        <w:t>s SWOT Analysis.</w:t>
      </w:r>
      <w:r>
        <w:rPr>
          <w:rFonts w:hint="eastAsia" w:ascii="Times New Roman" w:hAnsi="Times New Roman" w:eastAsia="宋体" w:cs="Times New Roman"/>
          <w:sz w:val="24"/>
          <w:szCs w:val="24"/>
          <w:lang w:val="en-US" w:eastAsia="zh-CN"/>
        </w:rPr>
        <w:t xml:space="preserve">  Available at: https://bstrategyhub.com/chipotles-swot-analysis/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18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Kaplan, T.(2021) </w:t>
      </w:r>
      <w:r>
        <w:rPr>
          <w:rFonts w:hint="eastAsia" w:ascii="Times New Roman" w:hAnsi="Times New Roman" w:eastAsia="宋体" w:cs="Times New Roman"/>
          <w:i/>
          <w:iCs/>
          <w:sz w:val="24"/>
          <w:szCs w:val="24"/>
          <w:lang w:val="en-US" w:eastAsia="zh-CN"/>
        </w:rPr>
        <w:t>Chipotle facing 'challenging labor environment,' prompts 'big action': CFO.</w:t>
      </w:r>
      <w:r>
        <w:rPr>
          <w:rFonts w:hint="eastAsia" w:ascii="Times New Roman" w:hAnsi="Times New Roman" w:eastAsia="宋体" w:cs="Times New Roman"/>
          <w:sz w:val="24"/>
          <w:szCs w:val="24"/>
          <w:lang w:val="en-US" w:eastAsia="zh-CN"/>
        </w:rPr>
        <w:t xml:space="preserve">  Available at: https://www.foxbusiness.com/business-leaders/chipotle-facing-challenging-labor-environment-prompts-big-action-cfo</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16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Kee, D.M.H.(2021) The impact of COVID-19 on the fast-food industry in Malaysia. </w:t>
      </w:r>
      <w:r>
        <w:rPr>
          <w:rFonts w:hint="eastAsia" w:ascii="Times New Roman" w:hAnsi="Times New Roman" w:eastAsia="宋体" w:cs="Times New Roman"/>
          <w:i/>
          <w:iCs/>
          <w:sz w:val="24"/>
          <w:szCs w:val="24"/>
          <w:lang w:val="en-US" w:eastAsia="zh-CN"/>
        </w:rPr>
        <w:t>Journal of the Community Development in Asia (JCDA)</w:t>
      </w:r>
      <w:r>
        <w:rPr>
          <w:rFonts w:hint="eastAsia" w:ascii="Times New Roman" w:hAnsi="Times New Roman" w:eastAsia="宋体" w:cs="Times New Roman"/>
          <w:sz w:val="24"/>
          <w:szCs w:val="24"/>
          <w:lang w:val="en-US" w:eastAsia="zh-CN"/>
        </w:rPr>
        <w:t>, 4(2), pp.44-57.</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Kumar, U. S., and Russ, H.(2020) </w:t>
      </w:r>
      <w:r>
        <w:rPr>
          <w:rFonts w:hint="eastAsia" w:ascii="Times New Roman" w:hAnsi="Times New Roman" w:eastAsia="宋体" w:cs="Times New Roman"/>
          <w:i/>
          <w:iCs/>
          <w:sz w:val="24"/>
          <w:szCs w:val="24"/>
          <w:lang w:val="en-US" w:eastAsia="zh-CN"/>
        </w:rPr>
        <w:t xml:space="preserve">Chipotle deliveries, online orders soar due to coronavirus, sending shares higher. </w:t>
      </w:r>
      <w:r>
        <w:rPr>
          <w:rFonts w:hint="eastAsia" w:ascii="Times New Roman" w:hAnsi="Times New Roman" w:eastAsia="宋体" w:cs="Times New Roman"/>
          <w:sz w:val="24"/>
          <w:szCs w:val="24"/>
          <w:lang w:val="en-US" w:eastAsia="zh-CN"/>
        </w:rPr>
        <w:t xml:space="preserve">Available at: https://www.reuters.com/article/us-chipotle-results-idUSKCN223348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25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Lewis, D.(2022) </w:t>
      </w:r>
      <w:r>
        <w:rPr>
          <w:rFonts w:hint="eastAsia" w:ascii="Times New Roman" w:hAnsi="Times New Roman" w:eastAsia="宋体" w:cs="Times New Roman"/>
          <w:i/>
          <w:iCs/>
          <w:sz w:val="24"/>
          <w:szCs w:val="24"/>
          <w:lang w:val="en-US" w:eastAsia="zh-CN"/>
        </w:rPr>
        <w:t>Chipotle Mexican Grill Q3 Preview: Double-Digit Earnings Growth in Store?</w:t>
      </w:r>
      <w:r>
        <w:rPr>
          <w:rFonts w:hint="eastAsia" w:ascii="Times New Roman" w:hAnsi="Times New Roman" w:eastAsia="宋体" w:cs="Times New Roman"/>
          <w:sz w:val="24"/>
          <w:szCs w:val="24"/>
          <w:lang w:val="en-US" w:eastAsia="zh-CN"/>
        </w:rPr>
        <w:t xml:space="preserve"> Available at: https://finance.yahoo.com/news/chipotle-mexican-grill-q3-preview-223610805.html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18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Littman, J.(2022) </w:t>
      </w:r>
      <w:r>
        <w:rPr>
          <w:rFonts w:hint="eastAsia" w:ascii="Times New Roman" w:hAnsi="Times New Roman" w:eastAsia="宋体" w:cs="Times New Roman"/>
          <w:i/>
          <w:iCs/>
          <w:sz w:val="24"/>
          <w:szCs w:val="24"/>
          <w:lang w:val="en-US" w:eastAsia="zh-CN"/>
        </w:rPr>
        <w:t>Why Chipotlanes are Chipotle’s future.</w:t>
      </w:r>
      <w:r>
        <w:rPr>
          <w:rFonts w:hint="eastAsia" w:ascii="Times New Roman" w:hAnsi="Times New Roman" w:eastAsia="宋体" w:cs="Times New Roman"/>
          <w:sz w:val="24"/>
          <w:szCs w:val="24"/>
          <w:lang w:val="en-US" w:eastAsia="zh-CN"/>
        </w:rPr>
        <w:t xml:space="preserve">  Available at: https://www.restaurantdive.com/news/chipotlanes-are-chipotles-future/637022/</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16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Ludwig, S.(2023) </w:t>
      </w:r>
      <w:r>
        <w:rPr>
          <w:rFonts w:hint="eastAsia" w:ascii="Times New Roman" w:hAnsi="Times New Roman" w:eastAsia="宋体" w:cs="Times New Roman"/>
          <w:i/>
          <w:iCs/>
          <w:sz w:val="24"/>
          <w:szCs w:val="24"/>
          <w:lang w:val="en-US" w:eastAsia="zh-CN"/>
        </w:rPr>
        <w:t xml:space="preserve">10 Hugely Successful Companies that Reinvented Their Business. </w:t>
      </w:r>
      <w:r>
        <w:rPr>
          <w:rFonts w:hint="eastAsia" w:ascii="Times New Roman" w:hAnsi="Times New Roman" w:eastAsia="宋体" w:cs="Times New Roman"/>
          <w:sz w:val="24"/>
          <w:szCs w:val="24"/>
          <w:lang w:val="en-US" w:eastAsia="zh-CN"/>
        </w:rPr>
        <w:br w:type="textWrapping"/>
      </w:r>
      <w:r>
        <w:rPr>
          <w:rFonts w:hint="eastAsia" w:ascii="Times New Roman" w:hAnsi="Times New Roman" w:eastAsia="宋体" w:cs="Times New Roman"/>
          <w:sz w:val="24"/>
          <w:szCs w:val="24"/>
          <w:lang w:val="en-US" w:eastAsia="zh-CN"/>
        </w:rPr>
        <w:t>Available at: https://www.uschamber.com/co/good-company/growth-studio/successful-companies-that-reinvented-their-business</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25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McCullough, K.(2022) </w:t>
      </w:r>
      <w:r>
        <w:rPr>
          <w:rFonts w:hint="eastAsia" w:ascii="Times New Roman" w:hAnsi="Times New Roman" w:eastAsia="宋体" w:cs="Times New Roman"/>
          <w:i/>
          <w:iCs/>
          <w:sz w:val="24"/>
          <w:szCs w:val="24"/>
          <w:lang w:val="en-US" w:eastAsia="zh-CN"/>
        </w:rPr>
        <w:t>Why Change In the Workplace is Good! A Guide For Companies.</w:t>
      </w:r>
      <w:r>
        <w:rPr>
          <w:rFonts w:hint="eastAsia" w:ascii="Times New Roman" w:hAnsi="Times New Roman" w:eastAsia="宋体" w:cs="Times New Roman"/>
          <w:sz w:val="24"/>
          <w:szCs w:val="24"/>
          <w:lang w:val="en-US" w:eastAsia="zh-CN"/>
        </w:rPr>
        <w:t xml:space="preserve">  Available at: https://www.karenmccullough.com/change-in-the-workplace-a-guide-for-companies/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16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Mento, A., Jones, R. and Dirndorfer, W.(2002) A change management process: Grounded in both theory and practice. </w:t>
      </w:r>
      <w:r>
        <w:rPr>
          <w:rFonts w:hint="eastAsia" w:ascii="Times New Roman" w:hAnsi="Times New Roman" w:eastAsia="宋体" w:cs="Times New Roman"/>
          <w:i/>
          <w:iCs/>
          <w:sz w:val="24"/>
          <w:szCs w:val="24"/>
          <w:lang w:val="en-US" w:eastAsia="zh-CN"/>
        </w:rPr>
        <w:t>Journal of change management</w:t>
      </w:r>
      <w:r>
        <w:rPr>
          <w:rFonts w:hint="eastAsia" w:ascii="Times New Roman" w:hAnsi="Times New Roman" w:eastAsia="宋体" w:cs="Times New Roman"/>
          <w:sz w:val="24"/>
          <w:szCs w:val="24"/>
          <w:lang w:val="en-US" w:eastAsia="zh-CN"/>
        </w:rPr>
        <w:t>, 3(1), pp.45-59.</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Mueller, P.(2007) Exploiting entrepreneurial opportunities: The impact of entrepreneurship on growth. </w:t>
      </w:r>
      <w:r>
        <w:rPr>
          <w:rFonts w:hint="eastAsia" w:ascii="Times New Roman" w:hAnsi="Times New Roman" w:eastAsia="宋体" w:cs="Times New Roman"/>
          <w:i/>
          <w:iCs/>
          <w:sz w:val="24"/>
          <w:szCs w:val="24"/>
          <w:lang w:val="en-US" w:eastAsia="zh-CN"/>
        </w:rPr>
        <w:t>Small Business Economics</w:t>
      </w:r>
      <w:r>
        <w:rPr>
          <w:rFonts w:hint="eastAsia" w:ascii="Times New Roman" w:hAnsi="Times New Roman" w:eastAsia="宋体" w:cs="Times New Roman"/>
          <w:sz w:val="24"/>
          <w:szCs w:val="24"/>
          <w:lang w:val="en-US" w:eastAsia="zh-CN"/>
        </w:rPr>
        <w:t>, 28, pp.355-362.</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Oakland, J.S. and Tanner, S.(2007) Successful change management. </w:t>
      </w:r>
      <w:r>
        <w:rPr>
          <w:rFonts w:hint="eastAsia" w:ascii="Times New Roman" w:hAnsi="Times New Roman" w:eastAsia="宋体" w:cs="Times New Roman"/>
          <w:i/>
          <w:iCs/>
          <w:sz w:val="24"/>
          <w:szCs w:val="24"/>
          <w:lang w:val="en-US" w:eastAsia="zh-CN"/>
        </w:rPr>
        <w:t>Total quality management &amp; business excellence,</w:t>
      </w:r>
      <w:r>
        <w:rPr>
          <w:rFonts w:hint="eastAsia" w:ascii="Times New Roman" w:hAnsi="Times New Roman" w:eastAsia="宋体" w:cs="Times New Roman"/>
          <w:sz w:val="24"/>
          <w:szCs w:val="24"/>
          <w:lang w:val="en-US" w:eastAsia="zh-CN"/>
        </w:rPr>
        <w:t xml:space="preserve"> 18(1-2), pp.1-19.</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Pan, W., Chen, L. and Zhan, W.(2019) PESTEL analysis of construction productivity enhancement strategies: A case study of three economies. </w:t>
      </w:r>
      <w:r>
        <w:rPr>
          <w:rFonts w:hint="eastAsia" w:ascii="Times New Roman" w:hAnsi="Times New Roman" w:eastAsia="宋体" w:cs="Times New Roman"/>
          <w:i/>
          <w:iCs/>
          <w:sz w:val="24"/>
          <w:szCs w:val="24"/>
          <w:lang w:val="en-US" w:eastAsia="zh-CN"/>
        </w:rPr>
        <w:t>Journal of Management in Engineering,</w:t>
      </w:r>
      <w:r>
        <w:rPr>
          <w:rFonts w:hint="eastAsia" w:ascii="Times New Roman" w:hAnsi="Times New Roman" w:eastAsia="宋体" w:cs="Times New Roman"/>
          <w:sz w:val="24"/>
          <w:szCs w:val="24"/>
          <w:lang w:val="en-US" w:eastAsia="zh-CN"/>
        </w:rPr>
        <w:t xml:space="preserve"> 35(1), p.05018013.</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Patton, L.(2022) </w:t>
      </w:r>
      <w:r>
        <w:rPr>
          <w:rFonts w:hint="eastAsia" w:ascii="Times New Roman" w:hAnsi="Times New Roman" w:eastAsia="宋体" w:cs="Times New Roman"/>
          <w:i/>
          <w:iCs/>
          <w:sz w:val="24"/>
          <w:szCs w:val="24"/>
          <w:lang w:val="en-US" w:eastAsia="zh-CN"/>
        </w:rPr>
        <w:t xml:space="preserve">Restaurant Staff Shortages Are Easing in Shift for US Labor Market. </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br w:type="textWrapping"/>
      </w:r>
      <w:r>
        <w:rPr>
          <w:rFonts w:hint="eastAsia" w:ascii="Times New Roman" w:hAnsi="Times New Roman" w:eastAsia="宋体" w:cs="Times New Roman"/>
          <w:sz w:val="24"/>
          <w:szCs w:val="24"/>
          <w:lang w:val="en-US" w:eastAsia="zh-CN"/>
        </w:rPr>
        <w:t xml:space="preserve">Available at: https://www.bloomberg.com/news/articles/2022-09-20/tight-labor-market-eases-for-chipotle-cmg-del-taco-jack-others#xj4y7vzkg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ascii="Times New Roman" w:hAnsi="Times New Roman" w:eastAsia="宋体" w:cs="Times New Roman"/>
          <w:sz w:val="24"/>
          <w:szCs w:val="24"/>
          <w:lang w:val="en-US" w:eastAsia="zh-CN"/>
        </w:rPr>
        <w:t>26</w:t>
      </w:r>
      <w:r>
        <w:rPr>
          <w:rFonts w:hint="eastAsia" w:eastAsia="宋体" w:cs="Times New Roman"/>
          <w:sz w:val="24"/>
          <w:szCs w:val="24"/>
          <w:lang w:val="en-US" w:eastAsia="zh-CN"/>
        </w:rPr>
        <w:t xml:space="preserve">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Shimoni, B.(2017) What is resistance to change? A habitus-oriented approach. </w:t>
      </w:r>
      <w:r>
        <w:rPr>
          <w:rFonts w:hint="eastAsia" w:ascii="Times New Roman" w:hAnsi="Times New Roman" w:eastAsia="宋体" w:cs="Times New Roman"/>
          <w:i/>
          <w:iCs/>
          <w:sz w:val="24"/>
          <w:szCs w:val="24"/>
          <w:lang w:val="en-US" w:eastAsia="zh-CN"/>
        </w:rPr>
        <w:t>Academy of Management Perspectives,</w:t>
      </w:r>
      <w:r>
        <w:rPr>
          <w:rFonts w:hint="eastAsia" w:ascii="Times New Roman" w:hAnsi="Times New Roman" w:eastAsia="宋体" w:cs="Times New Roman"/>
          <w:sz w:val="24"/>
          <w:szCs w:val="24"/>
          <w:lang w:val="en-US" w:eastAsia="zh-CN"/>
        </w:rPr>
        <w:t xml:space="preserve"> 31(4), pp.257-270.</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Simons, J.(2021) </w:t>
      </w:r>
      <w:r>
        <w:rPr>
          <w:rFonts w:hint="eastAsia" w:ascii="Times New Roman" w:hAnsi="Times New Roman" w:eastAsia="宋体" w:cs="Times New Roman"/>
          <w:i/>
          <w:iCs/>
          <w:sz w:val="24"/>
          <w:szCs w:val="24"/>
          <w:lang w:val="en-US" w:eastAsia="zh-CN"/>
        </w:rPr>
        <w:t xml:space="preserve">Chipotle’s CEO on Fighting the Tide of Quitting Workers: It’s About More Than Higher Pay and Better Benefits. </w:t>
      </w:r>
      <w:r>
        <w:rPr>
          <w:rFonts w:hint="eastAsia" w:ascii="Times New Roman" w:hAnsi="Times New Roman" w:eastAsia="宋体" w:cs="Times New Roman"/>
          <w:sz w:val="24"/>
          <w:szCs w:val="24"/>
          <w:lang w:val="en-US" w:eastAsia="zh-CN"/>
        </w:rPr>
        <w:t xml:space="preserve">Available at: https://time.com/6127415/brian-niccol-chipotle-ceo-interview/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ascii="Times New Roman" w:hAnsi="Times New Roman" w:eastAsia="宋体" w:cs="Times New Roman"/>
          <w:sz w:val="24"/>
          <w:szCs w:val="24"/>
          <w:lang w:val="en-US" w:eastAsia="zh-CN"/>
        </w:rPr>
        <w:t>25</w:t>
      </w:r>
      <w:r>
        <w:rPr>
          <w:rFonts w:hint="eastAsia" w:eastAsia="宋体" w:cs="Times New Roman"/>
          <w:sz w:val="24"/>
          <w:szCs w:val="24"/>
          <w:lang w:val="en-US" w:eastAsia="zh-CN"/>
        </w:rPr>
        <w:t xml:space="preserve">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Sirkin, H.L., Keenan, P. and Jackson, A.(2005) The hard side of change management. </w:t>
      </w:r>
      <w:r>
        <w:rPr>
          <w:rFonts w:hint="eastAsia" w:ascii="Times New Roman" w:hAnsi="Times New Roman" w:eastAsia="宋体" w:cs="Times New Roman"/>
          <w:i/>
          <w:iCs/>
          <w:sz w:val="24"/>
          <w:szCs w:val="24"/>
          <w:lang w:val="en-US" w:eastAsia="zh-CN"/>
        </w:rPr>
        <w:t>Harvard business review</w:t>
      </w:r>
      <w:r>
        <w:rPr>
          <w:rFonts w:hint="eastAsia" w:ascii="Times New Roman" w:hAnsi="Times New Roman" w:eastAsia="宋体" w:cs="Times New Roman"/>
          <w:sz w:val="24"/>
          <w:szCs w:val="24"/>
          <w:lang w:val="en-US" w:eastAsia="zh-CN"/>
        </w:rPr>
        <w:t>, 83(10), p.108.</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Stobierski, T.(2020) </w:t>
      </w:r>
      <w:r>
        <w:rPr>
          <w:rFonts w:hint="eastAsia" w:ascii="Times New Roman" w:hAnsi="Times New Roman" w:eastAsia="宋体" w:cs="Times New Roman"/>
          <w:i/>
          <w:iCs/>
          <w:sz w:val="24"/>
          <w:szCs w:val="24"/>
          <w:lang w:val="en-US" w:eastAsia="zh-CN"/>
        </w:rPr>
        <w:t xml:space="preserve">Organisational Change Management: What It Is &amp; Why It’s Important. </w:t>
      </w:r>
      <w:r>
        <w:rPr>
          <w:rFonts w:hint="eastAsia" w:ascii="Times New Roman" w:hAnsi="Times New Roman" w:eastAsia="宋体" w:cs="Times New Roman"/>
          <w:sz w:val="24"/>
          <w:szCs w:val="24"/>
          <w:lang w:val="en-US" w:eastAsia="zh-CN"/>
        </w:rPr>
        <w:t xml:space="preserve"> Available at: https://online.hbs.edu/blog/post/organizational-change-management </w:t>
      </w:r>
      <w:r>
        <w:rPr>
          <w:rFonts w:hint="eastAsia" w:eastAsia="宋体" w:cs="Times New Roman"/>
          <w:sz w:val="24"/>
          <w:szCs w:val="24"/>
          <w:lang w:val="en-US" w:eastAsia="zh-CN"/>
        </w:rPr>
        <w:t>(</w:t>
      </w:r>
      <w:r>
        <w:rPr>
          <w:rFonts w:hint="eastAsia" w:ascii="Times New Roman" w:hAnsi="Times New Roman" w:eastAsia="宋体" w:cs="Times New Roman"/>
          <w:sz w:val="24"/>
          <w:szCs w:val="24"/>
          <w:lang w:val="en-US" w:eastAsia="zh-CN"/>
        </w:rPr>
        <w:t>A</w:t>
      </w:r>
      <w:r>
        <w:rPr>
          <w:rFonts w:ascii="Times New Roman" w:hAnsi="Times New Roman" w:cs="Times New Roman"/>
          <w:sz w:val="24"/>
          <w:szCs w:val="24"/>
        </w:rPr>
        <w:t>ccessed:</w:t>
      </w:r>
      <w:r>
        <w:rPr>
          <w:rFonts w:hint="eastAsia" w:eastAsia="宋体" w:cs="Times New Roman"/>
          <w:sz w:val="24"/>
          <w:szCs w:val="24"/>
          <w:lang w:val="en-US" w:eastAsia="zh-CN"/>
        </w:rPr>
        <w:t>24 April  2023</w:t>
      </w:r>
      <w:r>
        <w:rPr>
          <w:rFonts w:hint="eastAsia" w:ascii="Times New Roman" w:hAnsi="Times New Roman" w:eastAsia="宋体" w:cs="Times New Roman"/>
          <w:sz w:val="24"/>
          <w:szCs w:val="24"/>
          <w:lang w:val="en-US" w:eastAsia="zh-CN"/>
        </w:rPr>
        <w:t xml:space="preserve"> </w:t>
      </w:r>
      <w:r>
        <w:rPr>
          <w:rFonts w:hint="eastAsia" w:eastAsia="宋体" w:cs="Times New Roman"/>
          <w:sz w:val="24"/>
          <w:szCs w:val="24"/>
          <w:lang w:val="en-US" w:eastAsia="zh-CN"/>
        </w:rPr>
        <w:t>).</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Todnem, R.B.(2005) Organisational change management: A critical review. </w:t>
      </w:r>
      <w:r>
        <w:rPr>
          <w:rFonts w:hint="eastAsia" w:ascii="Times New Roman" w:hAnsi="Times New Roman" w:eastAsia="宋体" w:cs="Times New Roman"/>
          <w:i/>
          <w:iCs/>
          <w:sz w:val="24"/>
          <w:szCs w:val="24"/>
          <w:lang w:val="en-US" w:eastAsia="zh-CN"/>
        </w:rPr>
        <w:t>Journal of change management,</w:t>
      </w:r>
      <w:r>
        <w:rPr>
          <w:rFonts w:hint="eastAsia" w:ascii="Times New Roman" w:hAnsi="Times New Roman" w:eastAsia="宋体" w:cs="Times New Roman"/>
          <w:sz w:val="24"/>
          <w:szCs w:val="24"/>
          <w:lang w:val="en-US" w:eastAsia="zh-CN"/>
        </w:rPr>
        <w:t xml:space="preserve"> 5(4), pp.369-380.</w:t>
      </w:r>
    </w:p>
    <w:p>
      <w:pPr>
        <w:keepNext w:val="0"/>
        <w:keepLines w:val="0"/>
        <w:pageBreakBefore w:val="0"/>
        <w:widowControl/>
        <w:kinsoku/>
        <w:wordWrap w:val="0"/>
        <w:overflowPunct/>
        <w:topLinePunct w:val="0"/>
        <w:autoSpaceDE/>
        <w:autoSpaceDN/>
        <w:bidi w:val="0"/>
        <w:adjustRightInd/>
        <w:snapToGrid/>
        <w:spacing w:line="480" w:lineRule="auto"/>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Waddell, D. and Sohal, A.S.(1998) Resistance: a constructive tool for change management. </w:t>
      </w:r>
      <w:r>
        <w:rPr>
          <w:rFonts w:hint="eastAsia" w:ascii="Times New Roman" w:hAnsi="Times New Roman" w:eastAsia="宋体" w:cs="Times New Roman"/>
          <w:i/>
          <w:iCs/>
          <w:sz w:val="24"/>
          <w:szCs w:val="24"/>
          <w:lang w:val="en-US" w:eastAsia="zh-CN"/>
        </w:rPr>
        <w:t>Management decision</w:t>
      </w:r>
      <w:r>
        <w:rPr>
          <w:rFonts w:hint="eastAsia" w:ascii="Times New Roman" w:hAnsi="Times New Roman" w:eastAsia="宋体" w:cs="Times New Roman"/>
          <w:sz w:val="24"/>
          <w:szCs w:val="24"/>
          <w:lang w:val="en-US" w:eastAsia="zh-CN"/>
        </w:rPr>
        <w:t>, 36(8), pp.543-548.</w:t>
      </w:r>
    </w:p>
    <w:p>
      <w:pPr>
        <w:spacing w:after="0" w:line="480" w:lineRule="auto"/>
        <w:ind w:left="720" w:hanging="720"/>
      </w:pPr>
      <w:r>
        <w:rPr>
          <w:rFonts w:eastAsia="Times New Roman"/>
          <w:color w:val="auto"/>
          <w:lang w:val="en-US"/>
        </w:rPr>
        <w:t>.</w:t>
      </w:r>
    </w:p>
    <w:sectPr>
      <w:headerReference r:id="rId5" w:type="default"/>
      <w:pgSz w:w="12240" w:h="15840"/>
      <w:pgMar w:top="1440" w:right="1440" w:bottom="1440" w:left="1440" w:header="720" w:footer="720" w:gutter="0"/>
      <w:pgNumType w:start="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3893201"/>
      <w:docPartObj>
        <w:docPartGallery w:val="autotext"/>
      </w:docPartObj>
    </w:sdtPr>
    <w:sdtContent>
      <w:p>
        <w:pPr>
          <w:pStyle w:val="5"/>
          <w:jc w:val="right"/>
        </w:pPr>
        <w:r>
          <w:fldChar w:fldCharType="begin"/>
        </w:r>
        <w:r>
          <w:instrText xml:space="preserve"> PAGE   \* MERGEFORMAT </w:instrText>
        </w:r>
        <w:r>
          <w:fldChar w:fldCharType="separate"/>
        </w:r>
        <w:r>
          <w:t>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9C1F13"/>
    <w:multiLevelType w:val="multilevel"/>
    <w:tmpl w:val="339C1F13"/>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09525D2"/>
    <w:multiLevelType w:val="multilevel"/>
    <w:tmpl w:val="509525D2"/>
    <w:lvl w:ilvl="0" w:tentative="0">
      <w:start w:val="3"/>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MyMThjZTllOGM3Y2RkYjE5MDliM2E4MzNkOGM1MWUifQ=="/>
  </w:docVars>
  <w:rsids>
    <w:rsidRoot w:val="00B17B71"/>
    <w:rsid w:val="00001C5A"/>
    <w:rsid w:val="000079C0"/>
    <w:rsid w:val="00010FCD"/>
    <w:rsid w:val="00026DF6"/>
    <w:rsid w:val="00036D28"/>
    <w:rsid w:val="000465A9"/>
    <w:rsid w:val="0006328E"/>
    <w:rsid w:val="00067EAC"/>
    <w:rsid w:val="000754A6"/>
    <w:rsid w:val="00077A3D"/>
    <w:rsid w:val="00091BC1"/>
    <w:rsid w:val="0009692A"/>
    <w:rsid w:val="000B0A8E"/>
    <w:rsid w:val="000B42DB"/>
    <w:rsid w:val="000B453F"/>
    <w:rsid w:val="000B7818"/>
    <w:rsid w:val="000C05DC"/>
    <w:rsid w:val="000D0AC9"/>
    <w:rsid w:val="000D3B1C"/>
    <w:rsid w:val="000F4E33"/>
    <w:rsid w:val="000F4E36"/>
    <w:rsid w:val="00106273"/>
    <w:rsid w:val="00116975"/>
    <w:rsid w:val="001245FA"/>
    <w:rsid w:val="001447BD"/>
    <w:rsid w:val="00146F02"/>
    <w:rsid w:val="0015268F"/>
    <w:rsid w:val="001526D4"/>
    <w:rsid w:val="00160ACF"/>
    <w:rsid w:val="00161325"/>
    <w:rsid w:val="001679BD"/>
    <w:rsid w:val="00170182"/>
    <w:rsid w:val="00175B3E"/>
    <w:rsid w:val="00190080"/>
    <w:rsid w:val="00193602"/>
    <w:rsid w:val="001A7482"/>
    <w:rsid w:val="001A7855"/>
    <w:rsid w:val="001B471F"/>
    <w:rsid w:val="001C426A"/>
    <w:rsid w:val="001D0A87"/>
    <w:rsid w:val="001D1686"/>
    <w:rsid w:val="001E3AD9"/>
    <w:rsid w:val="001E7D62"/>
    <w:rsid w:val="00205226"/>
    <w:rsid w:val="00214951"/>
    <w:rsid w:val="00217EF6"/>
    <w:rsid w:val="00221271"/>
    <w:rsid w:val="002240DE"/>
    <w:rsid w:val="00236349"/>
    <w:rsid w:val="0024402E"/>
    <w:rsid w:val="00244D61"/>
    <w:rsid w:val="00246B14"/>
    <w:rsid w:val="00247505"/>
    <w:rsid w:val="00252DAF"/>
    <w:rsid w:val="002554B6"/>
    <w:rsid w:val="00256590"/>
    <w:rsid w:val="002654FA"/>
    <w:rsid w:val="00267D80"/>
    <w:rsid w:val="00285F86"/>
    <w:rsid w:val="002907E9"/>
    <w:rsid w:val="002A4FD2"/>
    <w:rsid w:val="002C707F"/>
    <w:rsid w:val="002D41C9"/>
    <w:rsid w:val="002D48D9"/>
    <w:rsid w:val="002E468F"/>
    <w:rsid w:val="002E71B6"/>
    <w:rsid w:val="002E7744"/>
    <w:rsid w:val="00300F1B"/>
    <w:rsid w:val="003037FB"/>
    <w:rsid w:val="00306C3D"/>
    <w:rsid w:val="00310145"/>
    <w:rsid w:val="00320FCF"/>
    <w:rsid w:val="00326546"/>
    <w:rsid w:val="0033062E"/>
    <w:rsid w:val="0033193E"/>
    <w:rsid w:val="00336760"/>
    <w:rsid w:val="0035794F"/>
    <w:rsid w:val="00362A84"/>
    <w:rsid w:val="0036351E"/>
    <w:rsid w:val="003721C6"/>
    <w:rsid w:val="003751E0"/>
    <w:rsid w:val="00395F05"/>
    <w:rsid w:val="00396DC2"/>
    <w:rsid w:val="00397964"/>
    <w:rsid w:val="00397FE9"/>
    <w:rsid w:val="003A09EB"/>
    <w:rsid w:val="003A2552"/>
    <w:rsid w:val="003B2668"/>
    <w:rsid w:val="003B3A25"/>
    <w:rsid w:val="003B5ACD"/>
    <w:rsid w:val="003C6492"/>
    <w:rsid w:val="003C7DD4"/>
    <w:rsid w:val="003D7BF4"/>
    <w:rsid w:val="003E3329"/>
    <w:rsid w:val="003F0C20"/>
    <w:rsid w:val="00401CDD"/>
    <w:rsid w:val="00402F05"/>
    <w:rsid w:val="00413439"/>
    <w:rsid w:val="004339AE"/>
    <w:rsid w:val="0043412D"/>
    <w:rsid w:val="00454DF2"/>
    <w:rsid w:val="00466AED"/>
    <w:rsid w:val="004775A6"/>
    <w:rsid w:val="004822A7"/>
    <w:rsid w:val="00490E76"/>
    <w:rsid w:val="004912E9"/>
    <w:rsid w:val="00495EFA"/>
    <w:rsid w:val="00496EB9"/>
    <w:rsid w:val="004A13A2"/>
    <w:rsid w:val="004B6D5B"/>
    <w:rsid w:val="004C0041"/>
    <w:rsid w:val="004D09D7"/>
    <w:rsid w:val="004D6B3B"/>
    <w:rsid w:val="004E0932"/>
    <w:rsid w:val="004F539F"/>
    <w:rsid w:val="004F6322"/>
    <w:rsid w:val="005101D0"/>
    <w:rsid w:val="00512F65"/>
    <w:rsid w:val="0052272E"/>
    <w:rsid w:val="00530478"/>
    <w:rsid w:val="00550BBD"/>
    <w:rsid w:val="00560791"/>
    <w:rsid w:val="0056291F"/>
    <w:rsid w:val="0056568D"/>
    <w:rsid w:val="00580CE3"/>
    <w:rsid w:val="005825A2"/>
    <w:rsid w:val="005918D3"/>
    <w:rsid w:val="005962DB"/>
    <w:rsid w:val="005B3739"/>
    <w:rsid w:val="005B686A"/>
    <w:rsid w:val="005C22FE"/>
    <w:rsid w:val="005C6423"/>
    <w:rsid w:val="005D0DA2"/>
    <w:rsid w:val="005D5346"/>
    <w:rsid w:val="005F3BC7"/>
    <w:rsid w:val="005F4684"/>
    <w:rsid w:val="005F5FB2"/>
    <w:rsid w:val="00606CF0"/>
    <w:rsid w:val="00633C19"/>
    <w:rsid w:val="006432AC"/>
    <w:rsid w:val="00650274"/>
    <w:rsid w:val="00651D6C"/>
    <w:rsid w:val="0065295F"/>
    <w:rsid w:val="00652D7B"/>
    <w:rsid w:val="0065481E"/>
    <w:rsid w:val="006764A0"/>
    <w:rsid w:val="006808AC"/>
    <w:rsid w:val="006838D9"/>
    <w:rsid w:val="00691C6F"/>
    <w:rsid w:val="006A0590"/>
    <w:rsid w:val="006A7A2F"/>
    <w:rsid w:val="006B5458"/>
    <w:rsid w:val="006C02EC"/>
    <w:rsid w:val="006D035A"/>
    <w:rsid w:val="006D59A9"/>
    <w:rsid w:val="006D7E82"/>
    <w:rsid w:val="006E1386"/>
    <w:rsid w:val="007134E3"/>
    <w:rsid w:val="0072558B"/>
    <w:rsid w:val="0074145C"/>
    <w:rsid w:val="00741667"/>
    <w:rsid w:val="00745B1C"/>
    <w:rsid w:val="00747767"/>
    <w:rsid w:val="00753A81"/>
    <w:rsid w:val="00761F51"/>
    <w:rsid w:val="00762DA8"/>
    <w:rsid w:val="00767B49"/>
    <w:rsid w:val="0077308C"/>
    <w:rsid w:val="00774F4A"/>
    <w:rsid w:val="00783DB2"/>
    <w:rsid w:val="00791232"/>
    <w:rsid w:val="0079523B"/>
    <w:rsid w:val="007A43C9"/>
    <w:rsid w:val="007A77D0"/>
    <w:rsid w:val="007A7CBD"/>
    <w:rsid w:val="007C3215"/>
    <w:rsid w:val="007D071A"/>
    <w:rsid w:val="007D1758"/>
    <w:rsid w:val="007D216A"/>
    <w:rsid w:val="007D5314"/>
    <w:rsid w:val="007D56DF"/>
    <w:rsid w:val="007E304E"/>
    <w:rsid w:val="007F640E"/>
    <w:rsid w:val="008047AE"/>
    <w:rsid w:val="008061C1"/>
    <w:rsid w:val="0080734A"/>
    <w:rsid w:val="00816BB3"/>
    <w:rsid w:val="00825FFB"/>
    <w:rsid w:val="008278DB"/>
    <w:rsid w:val="008320B0"/>
    <w:rsid w:val="00836457"/>
    <w:rsid w:val="00854457"/>
    <w:rsid w:val="00861417"/>
    <w:rsid w:val="00866608"/>
    <w:rsid w:val="00866CB5"/>
    <w:rsid w:val="00881732"/>
    <w:rsid w:val="00895471"/>
    <w:rsid w:val="008973DA"/>
    <w:rsid w:val="008A0945"/>
    <w:rsid w:val="008A46A3"/>
    <w:rsid w:val="008A695F"/>
    <w:rsid w:val="008B7EE8"/>
    <w:rsid w:val="008C2029"/>
    <w:rsid w:val="008D21B0"/>
    <w:rsid w:val="008D301A"/>
    <w:rsid w:val="008E58BC"/>
    <w:rsid w:val="009035ED"/>
    <w:rsid w:val="00906573"/>
    <w:rsid w:val="00906A9A"/>
    <w:rsid w:val="0091299E"/>
    <w:rsid w:val="00921ECE"/>
    <w:rsid w:val="009260CB"/>
    <w:rsid w:val="00926827"/>
    <w:rsid w:val="009349EE"/>
    <w:rsid w:val="00944A89"/>
    <w:rsid w:val="0095364E"/>
    <w:rsid w:val="009537AA"/>
    <w:rsid w:val="00953FC1"/>
    <w:rsid w:val="00954EC3"/>
    <w:rsid w:val="0095512D"/>
    <w:rsid w:val="00970942"/>
    <w:rsid w:val="009720C2"/>
    <w:rsid w:val="009976B5"/>
    <w:rsid w:val="00997DE9"/>
    <w:rsid w:val="009A2894"/>
    <w:rsid w:val="009A7172"/>
    <w:rsid w:val="009B3C84"/>
    <w:rsid w:val="009D012A"/>
    <w:rsid w:val="009D02CE"/>
    <w:rsid w:val="009D1BF2"/>
    <w:rsid w:val="009E1507"/>
    <w:rsid w:val="00A06508"/>
    <w:rsid w:val="00A07443"/>
    <w:rsid w:val="00A07B64"/>
    <w:rsid w:val="00A12423"/>
    <w:rsid w:val="00A12643"/>
    <w:rsid w:val="00A13D07"/>
    <w:rsid w:val="00A32348"/>
    <w:rsid w:val="00A339BE"/>
    <w:rsid w:val="00A4191C"/>
    <w:rsid w:val="00A55A3D"/>
    <w:rsid w:val="00A62B1E"/>
    <w:rsid w:val="00A80B66"/>
    <w:rsid w:val="00A821BC"/>
    <w:rsid w:val="00A93BEA"/>
    <w:rsid w:val="00A9535A"/>
    <w:rsid w:val="00AB192B"/>
    <w:rsid w:val="00AB4069"/>
    <w:rsid w:val="00AC4847"/>
    <w:rsid w:val="00AC630B"/>
    <w:rsid w:val="00AD373B"/>
    <w:rsid w:val="00AE2C90"/>
    <w:rsid w:val="00AE673D"/>
    <w:rsid w:val="00AE76C3"/>
    <w:rsid w:val="00AF2D21"/>
    <w:rsid w:val="00AF395D"/>
    <w:rsid w:val="00AF57C0"/>
    <w:rsid w:val="00AF64C8"/>
    <w:rsid w:val="00B04DFA"/>
    <w:rsid w:val="00B17B71"/>
    <w:rsid w:val="00B20B7B"/>
    <w:rsid w:val="00B231D4"/>
    <w:rsid w:val="00B23D25"/>
    <w:rsid w:val="00B24306"/>
    <w:rsid w:val="00B3025F"/>
    <w:rsid w:val="00B30DA2"/>
    <w:rsid w:val="00B30EA0"/>
    <w:rsid w:val="00B329E4"/>
    <w:rsid w:val="00B60CEF"/>
    <w:rsid w:val="00B65F5E"/>
    <w:rsid w:val="00B666F7"/>
    <w:rsid w:val="00B71275"/>
    <w:rsid w:val="00B819A1"/>
    <w:rsid w:val="00B85C13"/>
    <w:rsid w:val="00B92257"/>
    <w:rsid w:val="00B937E9"/>
    <w:rsid w:val="00B957CB"/>
    <w:rsid w:val="00BA0E7B"/>
    <w:rsid w:val="00BA17C8"/>
    <w:rsid w:val="00BA5291"/>
    <w:rsid w:val="00BB4D42"/>
    <w:rsid w:val="00BC1EEE"/>
    <w:rsid w:val="00BD1586"/>
    <w:rsid w:val="00BD3090"/>
    <w:rsid w:val="00BD6CEB"/>
    <w:rsid w:val="00BE6167"/>
    <w:rsid w:val="00BE6349"/>
    <w:rsid w:val="00BE63A9"/>
    <w:rsid w:val="00BF113C"/>
    <w:rsid w:val="00C10192"/>
    <w:rsid w:val="00C30803"/>
    <w:rsid w:val="00C30942"/>
    <w:rsid w:val="00C4040D"/>
    <w:rsid w:val="00C4518A"/>
    <w:rsid w:val="00C47755"/>
    <w:rsid w:val="00C661C7"/>
    <w:rsid w:val="00C81AA2"/>
    <w:rsid w:val="00CA533F"/>
    <w:rsid w:val="00CB3414"/>
    <w:rsid w:val="00CB3C17"/>
    <w:rsid w:val="00CB6068"/>
    <w:rsid w:val="00CC1C32"/>
    <w:rsid w:val="00CC4CE8"/>
    <w:rsid w:val="00CD5BD1"/>
    <w:rsid w:val="00CF2C93"/>
    <w:rsid w:val="00CF48A5"/>
    <w:rsid w:val="00CF6F1D"/>
    <w:rsid w:val="00CF738C"/>
    <w:rsid w:val="00D03D3E"/>
    <w:rsid w:val="00D06075"/>
    <w:rsid w:val="00D11720"/>
    <w:rsid w:val="00D144D3"/>
    <w:rsid w:val="00D17235"/>
    <w:rsid w:val="00D2328C"/>
    <w:rsid w:val="00D373EA"/>
    <w:rsid w:val="00D41792"/>
    <w:rsid w:val="00D44F62"/>
    <w:rsid w:val="00D50619"/>
    <w:rsid w:val="00D50863"/>
    <w:rsid w:val="00D51927"/>
    <w:rsid w:val="00D5349D"/>
    <w:rsid w:val="00D61A29"/>
    <w:rsid w:val="00D65D91"/>
    <w:rsid w:val="00D67263"/>
    <w:rsid w:val="00D73E66"/>
    <w:rsid w:val="00D771DE"/>
    <w:rsid w:val="00D80D87"/>
    <w:rsid w:val="00D95C5C"/>
    <w:rsid w:val="00D96425"/>
    <w:rsid w:val="00DA0910"/>
    <w:rsid w:val="00DA11B3"/>
    <w:rsid w:val="00DA39A5"/>
    <w:rsid w:val="00DB411C"/>
    <w:rsid w:val="00DB5DA7"/>
    <w:rsid w:val="00DD0B45"/>
    <w:rsid w:val="00DD2D0C"/>
    <w:rsid w:val="00DD7640"/>
    <w:rsid w:val="00DE2BA1"/>
    <w:rsid w:val="00DE3C8E"/>
    <w:rsid w:val="00DE4D83"/>
    <w:rsid w:val="00DF1A37"/>
    <w:rsid w:val="00E10BD6"/>
    <w:rsid w:val="00E11269"/>
    <w:rsid w:val="00E12275"/>
    <w:rsid w:val="00E13A03"/>
    <w:rsid w:val="00E14F56"/>
    <w:rsid w:val="00E150C6"/>
    <w:rsid w:val="00E1606B"/>
    <w:rsid w:val="00E205AA"/>
    <w:rsid w:val="00E23934"/>
    <w:rsid w:val="00E25BC8"/>
    <w:rsid w:val="00E264B5"/>
    <w:rsid w:val="00E325F1"/>
    <w:rsid w:val="00E33087"/>
    <w:rsid w:val="00E35540"/>
    <w:rsid w:val="00E47CC3"/>
    <w:rsid w:val="00E528D1"/>
    <w:rsid w:val="00E52A02"/>
    <w:rsid w:val="00E63FE3"/>
    <w:rsid w:val="00E64F4B"/>
    <w:rsid w:val="00E663CA"/>
    <w:rsid w:val="00E66920"/>
    <w:rsid w:val="00E67924"/>
    <w:rsid w:val="00E81F12"/>
    <w:rsid w:val="00E826BD"/>
    <w:rsid w:val="00E86057"/>
    <w:rsid w:val="00E91E78"/>
    <w:rsid w:val="00EA1D28"/>
    <w:rsid w:val="00EA68AC"/>
    <w:rsid w:val="00EC042B"/>
    <w:rsid w:val="00EC6954"/>
    <w:rsid w:val="00ED185C"/>
    <w:rsid w:val="00ED23CD"/>
    <w:rsid w:val="00EE7E4F"/>
    <w:rsid w:val="00EF0803"/>
    <w:rsid w:val="00EF0A95"/>
    <w:rsid w:val="00EF6636"/>
    <w:rsid w:val="00F2343A"/>
    <w:rsid w:val="00F25494"/>
    <w:rsid w:val="00F2550B"/>
    <w:rsid w:val="00F42833"/>
    <w:rsid w:val="00F43D2C"/>
    <w:rsid w:val="00F45CAD"/>
    <w:rsid w:val="00F46380"/>
    <w:rsid w:val="00F5327E"/>
    <w:rsid w:val="00F56235"/>
    <w:rsid w:val="00F70CAE"/>
    <w:rsid w:val="00F72115"/>
    <w:rsid w:val="00F774BC"/>
    <w:rsid w:val="00F77F07"/>
    <w:rsid w:val="00F803DC"/>
    <w:rsid w:val="00F8391C"/>
    <w:rsid w:val="00F91B32"/>
    <w:rsid w:val="00F9479D"/>
    <w:rsid w:val="00F97C04"/>
    <w:rsid w:val="00FA5067"/>
    <w:rsid w:val="00FA5107"/>
    <w:rsid w:val="00FB7489"/>
    <w:rsid w:val="00FC515C"/>
    <w:rsid w:val="00FC6686"/>
    <w:rsid w:val="00FC796B"/>
    <w:rsid w:val="00FE4BEF"/>
    <w:rsid w:val="00FE705B"/>
    <w:rsid w:val="00FF3EF7"/>
    <w:rsid w:val="00FF5F5A"/>
    <w:rsid w:val="0D860C1D"/>
    <w:rsid w:val="25A26779"/>
    <w:rsid w:val="290B0D38"/>
    <w:rsid w:val="40AF56D5"/>
    <w:rsid w:val="4B9A40E7"/>
    <w:rsid w:val="79973D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cs="Times New Roman" w:eastAsiaTheme="minorHAnsi"/>
      <w:color w:val="0D0D0D" w:themeColor="text1" w:themeTint="F2"/>
      <w:sz w:val="24"/>
      <w:szCs w:val="24"/>
      <w:lang w:val="en-GB" w:eastAsia="en-US" w:bidi="ar-SA"/>
      <w14:textFill>
        <w14:solidFill>
          <w14:schemeClr w14:val="tx1">
            <w14:lumMod w14:val="95000"/>
            <w14:lumOff w14:val="5000"/>
          </w14:schemeClr>
        </w14:solidFill>
      </w14:textFill>
    </w:rPr>
  </w:style>
  <w:style w:type="paragraph" w:styleId="2">
    <w:name w:val="heading 1"/>
    <w:basedOn w:val="1"/>
    <w:next w:val="1"/>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4">
    <w:name w:val="footer"/>
    <w:basedOn w:val="1"/>
    <w:link w:val="13"/>
    <w:unhideWhenUsed/>
    <w:uiPriority w:val="99"/>
    <w:pPr>
      <w:tabs>
        <w:tab w:val="center" w:pos="4680"/>
        <w:tab w:val="right" w:pos="9360"/>
      </w:tabs>
      <w:spacing w:after="0" w:line="240" w:lineRule="auto"/>
    </w:pPr>
  </w:style>
  <w:style w:type="paragraph" w:styleId="5">
    <w:name w:val="header"/>
    <w:basedOn w:val="1"/>
    <w:link w:val="12"/>
    <w:unhideWhenUsed/>
    <w:qFormat/>
    <w:uiPriority w:val="99"/>
    <w:pPr>
      <w:tabs>
        <w:tab w:val="center" w:pos="4680"/>
        <w:tab w:val="right" w:pos="9360"/>
      </w:tabs>
      <w:spacing w:after="0" w:line="240" w:lineRule="auto"/>
    </w:pPr>
  </w:style>
  <w:style w:type="paragraph" w:styleId="6">
    <w:name w:val="toc 1"/>
    <w:basedOn w:val="1"/>
    <w:next w:val="1"/>
    <w:unhideWhenUsed/>
    <w:qFormat/>
    <w:uiPriority w:val="39"/>
    <w:pPr>
      <w:spacing w:after="100"/>
    </w:pPr>
  </w:style>
  <w:style w:type="paragraph" w:styleId="7">
    <w:name w:val="toc 2"/>
    <w:basedOn w:val="1"/>
    <w:next w:val="1"/>
    <w:unhideWhenUsed/>
    <w:qFormat/>
    <w:uiPriority w:val="39"/>
    <w:pPr>
      <w:spacing w:after="100"/>
      <w:ind w:left="240"/>
    </w:pPr>
  </w:style>
  <w:style w:type="character" w:styleId="10">
    <w:name w:val="Hyperlink"/>
    <w:basedOn w:val="9"/>
    <w:unhideWhenUsed/>
    <w:qFormat/>
    <w:uiPriority w:val="99"/>
    <w:rPr>
      <w:color w:val="0563C1" w:themeColor="hyperlink"/>
      <w:u w:val="single"/>
      <w14:textFill>
        <w14:solidFill>
          <w14:schemeClr w14:val="hlink"/>
        </w14:solidFill>
      </w14:textFill>
    </w:rPr>
  </w:style>
  <w:style w:type="paragraph" w:styleId="11">
    <w:name w:val="List Paragraph"/>
    <w:basedOn w:val="1"/>
    <w:qFormat/>
    <w:uiPriority w:val="34"/>
    <w:pPr>
      <w:ind w:left="720"/>
      <w:contextualSpacing/>
    </w:pPr>
  </w:style>
  <w:style w:type="character" w:customStyle="1" w:styleId="12">
    <w:name w:val="Header Char"/>
    <w:basedOn w:val="9"/>
    <w:link w:val="5"/>
    <w:qFormat/>
    <w:uiPriority w:val="99"/>
    <w:rPr>
      <w:lang w:val="en-GB"/>
    </w:rPr>
  </w:style>
  <w:style w:type="character" w:customStyle="1" w:styleId="13">
    <w:name w:val="Footer Char"/>
    <w:basedOn w:val="9"/>
    <w:link w:val="4"/>
    <w:qFormat/>
    <w:uiPriority w:val="99"/>
    <w:rPr>
      <w:lang w:val="en-GB"/>
    </w:rPr>
  </w:style>
  <w:style w:type="paragraph" w:customStyle="1" w:styleId="14">
    <w:name w:val="Bibliography"/>
    <w:basedOn w:val="1"/>
    <w:next w:val="1"/>
    <w:unhideWhenUsed/>
    <w:qFormat/>
    <w:uiPriority w:val="37"/>
  </w:style>
  <w:style w:type="paragraph" w:customStyle="1" w:styleId="15">
    <w:name w:val="TOC Heading"/>
    <w:basedOn w:val="2"/>
    <w:next w:val="1"/>
    <w:unhideWhenUsed/>
    <w:qFormat/>
    <w:uiPriority w:val="39"/>
    <w:pPr>
      <w:spacing w:line="259" w:lineRule="auto"/>
      <w:outlineLvl w:val="9"/>
    </w:pPr>
    <w:rPr>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CDE249-5DC2-4AD7-B144-1EC386A1A288}">
  <ds:schemaRefs/>
</ds:datastoreItem>
</file>

<file path=docProps/app.xml><?xml version="1.0" encoding="utf-8"?>
<Properties xmlns="http://schemas.openxmlformats.org/officeDocument/2006/extended-properties" xmlns:vt="http://schemas.openxmlformats.org/officeDocument/2006/docPropsVTypes">
  <Template>Normal</Template>
  <Pages>19</Pages>
  <Words>4308</Words>
  <Characters>24824</Characters>
  <Lines>204</Lines>
  <Paragraphs>57</Paragraphs>
  <TotalTime>5</TotalTime>
  <ScaleCrop>false</ScaleCrop>
  <LinksUpToDate>false</LinksUpToDate>
  <CharactersWithSpaces>29103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2023-04-08T07:53:00Z</dcterms:created>
  <dc:creator>lenovo</dc:creator>
  <cp:lastModifiedBy>WPS_1604321163</cp:lastModifiedBy>
  <dcterms:modified xsi:type="dcterms:W3CDTF">2023-05-02T19:44:17Z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93F3AFA03904441C88C433EB48B5F3A9_12</vt:lpwstr>
  </property>
</Properties>
</file>