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line="360" w:lineRule="auto"/>
        <w:rPr>
          <w:sz w:val="22"/>
          <w:szCs w:val="22"/>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1</wp:posOffset>
            </wp:positionH>
            <wp:positionV relativeFrom="paragraph">
              <wp:posOffset>292100</wp:posOffset>
            </wp:positionV>
            <wp:extent cx="1809750" cy="723900"/>
            <wp:effectExtent b="0" l="0" r="0" t="0"/>
            <wp:wrapSquare wrapText="bothSides" distB="0" distT="0" distL="114300" distR="114300"/>
            <wp:docPr descr="Discover University of Wales Trinity Saint David" id="2" name="image1.png"/>
            <a:graphic>
              <a:graphicData uri="http://schemas.openxmlformats.org/drawingml/2006/picture">
                <pic:pic>
                  <pic:nvPicPr>
                    <pic:cNvPr descr="Discover University of Wales Trinity Saint David" id="0" name="image1.png"/>
                    <pic:cNvPicPr preferRelativeResize="0"/>
                  </pic:nvPicPr>
                  <pic:blipFill>
                    <a:blip r:embed="rId7"/>
                    <a:srcRect b="0" l="0" r="0" t="0"/>
                    <a:stretch>
                      <a:fillRect/>
                    </a:stretch>
                  </pic:blipFill>
                  <pic:spPr>
                    <a:xfrm>
                      <a:off x="0" y="0"/>
                      <a:ext cx="1809750" cy="723900"/>
                    </a:xfrm>
                    <a:prstGeom prst="rect"/>
                    <a:ln/>
                  </pic:spPr>
                </pic:pic>
              </a:graphicData>
            </a:graphic>
          </wp:anchor>
        </w:drawing>
      </w:r>
    </w:p>
    <w:p w:rsidR="00000000" w:rsidDel="00000000" w:rsidP="00000000" w:rsidRDefault="00000000" w:rsidRPr="00000000" w14:paraId="00000002">
      <w:pPr>
        <w:spacing w:line="360" w:lineRule="auto"/>
        <w:rPr>
          <w:sz w:val="22"/>
          <w:szCs w:val="22"/>
        </w:rPr>
      </w:pPr>
      <w:r w:rsidDel="00000000" w:rsidR="00000000" w:rsidRPr="00000000">
        <w:rPr>
          <w:rtl w:val="0"/>
        </w:rPr>
      </w:r>
    </w:p>
    <w:p w:rsidR="00000000" w:rsidDel="00000000" w:rsidP="00000000" w:rsidRDefault="00000000" w:rsidRPr="00000000" w14:paraId="00000003">
      <w:pPr>
        <w:spacing w:line="360" w:lineRule="auto"/>
        <w:rPr>
          <w:sz w:val="22"/>
          <w:szCs w:val="22"/>
        </w:rPr>
      </w:pPr>
      <w:r w:rsidDel="00000000" w:rsidR="00000000" w:rsidRPr="00000000">
        <w:rPr>
          <w:rtl w:val="0"/>
        </w:rPr>
      </w:r>
    </w:p>
    <w:p w:rsidR="00000000" w:rsidDel="00000000" w:rsidP="00000000" w:rsidRDefault="00000000" w:rsidRPr="00000000" w14:paraId="00000004">
      <w:pPr>
        <w:spacing w:line="360" w:lineRule="auto"/>
        <w:rPr>
          <w:sz w:val="22"/>
          <w:szCs w:val="22"/>
        </w:rPr>
      </w:pPr>
      <w:r w:rsidDel="00000000" w:rsidR="00000000" w:rsidRPr="00000000">
        <w:rPr>
          <w:rtl w:val="0"/>
        </w:rPr>
      </w:r>
    </w:p>
    <w:p w:rsidR="00000000" w:rsidDel="00000000" w:rsidP="00000000" w:rsidRDefault="00000000" w:rsidRPr="00000000" w14:paraId="00000005">
      <w:pPr>
        <w:tabs>
          <w:tab w:val="left" w:leader="none" w:pos="6540"/>
        </w:tabs>
        <w:spacing w:line="360" w:lineRule="auto"/>
        <w:rPr>
          <w:sz w:val="22"/>
          <w:szCs w:val="22"/>
        </w:rPr>
      </w:pPr>
      <w:r w:rsidDel="00000000" w:rsidR="00000000" w:rsidRPr="00000000">
        <w:rPr>
          <w:rtl w:val="0"/>
        </w:rPr>
      </w:r>
    </w:p>
    <w:p w:rsidR="00000000" w:rsidDel="00000000" w:rsidP="00000000" w:rsidRDefault="00000000" w:rsidRPr="00000000" w14:paraId="00000006">
      <w:pPr>
        <w:tabs>
          <w:tab w:val="left" w:leader="none" w:pos="6540"/>
        </w:tabs>
        <w:spacing w:line="360" w:lineRule="auto"/>
        <w:rPr>
          <w:rFonts w:ascii="Roboto" w:cs="Roboto" w:eastAsia="Roboto" w:hAnsi="Roboto"/>
          <w:b w:val="1"/>
          <w:bCs w:val="1"/>
          <w:color w:val="ffffff"/>
          <w:sz w:val="46"/>
          <w:szCs w:val="46"/>
        </w:rPr>
      </w:pPr>
      <w:r w:rsidDel="00000000" w:rsidR="00000000" w:rsidRPr="00000000">
        <w:rPr>
          <w:rFonts w:ascii="Arial" w:cs="Arial" w:eastAsia="Arial" w:hAnsi="Arial"/>
          <w:b w:val="1"/>
          <w:bCs w:val="1"/>
          <w:sz w:val="28"/>
          <w:szCs w:val="28"/>
          <w:rtl w:val="0"/>
        </w:rPr>
        <w:t xml:space="preserve">Module Name Introduction to independent research skills </w:t>
      </w:r>
      <w:r w:rsidDel="00000000" w:rsidR="00000000" w:rsidRPr="00000000">
        <w:rPr>
          <w:rtl w:val="0"/>
        </w:rPr>
      </w:r>
    </w:p>
    <w:p w:rsidR="00000000" w:rsidDel="00000000" w:rsidP="00000000" w:rsidRDefault="00000000" w:rsidRPr="00000000" w14:paraId="00000007">
      <w:pPr>
        <w:tabs>
          <w:tab w:val="left" w:leader="none" w:pos="6540"/>
        </w:tabs>
        <w:spacing w:line="360" w:lineRule="auto"/>
        <w:rPr>
          <w:rFonts w:ascii="Arial" w:cs="Arial" w:eastAsia="Arial" w:hAnsi="Arial"/>
          <w:b w:val="1"/>
          <w:bCs w:val="1"/>
          <w:sz w:val="28"/>
          <w:szCs w:val="28"/>
        </w:rPr>
      </w:pPr>
      <w:r w:rsidDel="00000000" w:rsidR="00000000" w:rsidRPr="00000000">
        <w:rPr>
          <w:rFonts w:ascii="Arial" w:cs="Arial" w:eastAsia="Arial" w:hAnsi="Arial"/>
          <w:b w:val="1"/>
          <w:bCs w:val="1"/>
          <w:sz w:val="28"/>
          <w:szCs w:val="28"/>
          <w:rtl w:val="0"/>
        </w:rPr>
        <w:t xml:space="preserve">Module code BMHP5019</w:t>
      </w:r>
      <w:r w:rsidDel="00000000" w:rsidR="00000000" w:rsidRPr="00000000">
        <w:rPr>
          <w:rFonts w:ascii="Roboto" w:cs="Roboto" w:eastAsia="Roboto" w:hAnsi="Roboto"/>
          <w:b w:val="1"/>
          <w:bCs w:val="1"/>
          <w:color w:val="ffffff"/>
          <w:sz w:val="46"/>
          <w:szCs w:val="46"/>
          <w:rtl w:val="0"/>
        </w:rPr>
        <w:t xml:space="preserve">BMHP5019_LON</w:t>
      </w:r>
      <w:r w:rsidDel="00000000" w:rsidR="00000000" w:rsidRPr="00000000">
        <w:rPr>
          <w:rtl w:val="0"/>
        </w:rPr>
      </w:r>
    </w:p>
    <w:p w:rsidR="00000000" w:rsidDel="00000000" w:rsidP="00000000" w:rsidRDefault="00000000" w:rsidRPr="00000000" w14:paraId="00000008">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Student name</w:t>
      </w:r>
      <w:r w:rsidDel="00000000" w:rsidR="00000000" w:rsidRPr="00000000">
        <w:rPr>
          <w:rFonts w:ascii="Arial" w:cs="Arial" w:eastAsia="Arial" w:hAnsi="Arial"/>
          <w:sz w:val="28"/>
          <w:szCs w:val="28"/>
          <w:rtl w:val="0"/>
        </w:rPr>
        <w:t xml:space="preserve">: Dayna Denny</w:t>
      </w:r>
    </w:p>
    <w:p w:rsidR="00000000" w:rsidDel="00000000" w:rsidP="00000000" w:rsidRDefault="00000000" w:rsidRPr="00000000" w14:paraId="00000009">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Student ID</w:t>
      </w:r>
      <w:r w:rsidDel="00000000" w:rsidR="00000000" w:rsidRPr="00000000">
        <w:rPr>
          <w:rFonts w:ascii="Arial" w:cs="Arial" w:eastAsia="Arial" w:hAnsi="Arial"/>
          <w:sz w:val="28"/>
          <w:szCs w:val="28"/>
          <w:rtl w:val="0"/>
        </w:rPr>
        <w:t xml:space="preserve">: 2408900</w:t>
      </w:r>
    </w:p>
    <w:p w:rsidR="00000000" w:rsidDel="00000000" w:rsidP="00000000" w:rsidRDefault="00000000" w:rsidRPr="00000000" w14:paraId="0000000A">
      <w:pPr>
        <w:tabs>
          <w:tab w:val="left" w:leader="none" w:pos="6540"/>
        </w:tabs>
        <w:spacing w:line="360" w:lineRule="auto"/>
        <w:rPr>
          <w:rFonts w:ascii="Arial" w:cs="Arial" w:eastAsia="Arial" w:hAnsi="Arial"/>
          <w:sz w:val="28"/>
          <w:szCs w:val="28"/>
        </w:rPr>
      </w:pPr>
      <w:r w:rsidDel="00000000" w:rsidR="00000000" w:rsidRPr="00000000">
        <w:rPr>
          <w:rFonts w:ascii="Arial" w:cs="Arial" w:eastAsia="Arial" w:hAnsi="Arial"/>
          <w:b w:val="1"/>
          <w:bCs w:val="1"/>
          <w:sz w:val="28"/>
          <w:szCs w:val="28"/>
          <w:rtl w:val="0"/>
        </w:rPr>
        <w:t xml:space="preserve">Lecturer’s name</w:t>
      </w:r>
      <w:r w:rsidDel="00000000" w:rsidR="00000000" w:rsidRPr="00000000">
        <w:rPr>
          <w:rFonts w:ascii="Arial" w:cs="Arial" w:eastAsia="Arial" w:hAnsi="Arial"/>
          <w:sz w:val="28"/>
          <w:szCs w:val="28"/>
          <w:rtl w:val="0"/>
        </w:rPr>
        <w:t xml:space="preserve">:</w:t>
      </w:r>
      <w:r w:rsidDel="00000000" w:rsidR="00000000" w:rsidRPr="00000000">
        <w:rPr>
          <w:rFonts w:ascii="Roboto" w:cs="Roboto" w:eastAsia="Roboto" w:hAnsi="Roboto"/>
          <w:b w:val="1"/>
          <w:bCs w:val="1"/>
          <w:color w:val="1d2125"/>
          <w:sz w:val="28"/>
          <w:szCs w:val="28"/>
          <w:rtl w:val="0"/>
        </w:rPr>
        <w:t xml:space="preserve">Eleni Koutsogeorgou-Andreou </w:t>
      </w:r>
      <w:r w:rsidDel="00000000" w:rsidR="00000000" w:rsidRPr="00000000">
        <w:rPr>
          <w:rtl w:val="0"/>
        </w:rPr>
      </w:r>
    </w:p>
    <w:p w:rsidR="00000000" w:rsidDel="00000000" w:rsidP="00000000" w:rsidRDefault="00000000" w:rsidRPr="00000000" w14:paraId="0000000B">
      <w:pPr>
        <w:tabs>
          <w:tab w:val="left" w:leader="none" w:pos="6540"/>
        </w:tabs>
        <w:spacing w:line="360" w:lineRule="auto"/>
        <w:rPr>
          <w:sz w:val="22"/>
          <w:szCs w:val="22"/>
        </w:rPr>
      </w:pPr>
      <w:r w:rsidDel="00000000" w:rsidR="00000000" w:rsidRPr="00000000">
        <w:rPr>
          <w:rtl w:val="0"/>
        </w:rPr>
      </w:r>
    </w:p>
    <w:p w:rsidR="00000000" w:rsidDel="00000000" w:rsidP="00000000" w:rsidRDefault="00000000" w:rsidRPr="00000000" w14:paraId="0000000C">
      <w:pPr>
        <w:pStyle w:val="Heading1"/>
        <w:rPr/>
      </w:pPr>
      <w:r w:rsidDel="00000000" w:rsidR="00000000" w:rsidRPr="00000000">
        <w:rPr>
          <w:rtl w:val="0"/>
        </w:rPr>
      </w:r>
    </w:p>
    <w:p w:rsidR="00000000" w:rsidDel="00000000" w:rsidP="00000000" w:rsidRDefault="00000000" w:rsidRPr="00000000" w14:paraId="0000000D">
      <w:pPr>
        <w:spacing w:line="360" w:lineRule="auto"/>
        <w:rPr>
          <w:sz w:val="22"/>
          <w:szCs w:val="22"/>
        </w:rPr>
      </w:pPr>
      <w:r w:rsidDel="00000000" w:rsidR="00000000" w:rsidRPr="00000000">
        <w:rPr>
          <w:rtl w:val="0"/>
        </w:rPr>
      </w:r>
    </w:p>
    <w:p w:rsidR="00000000" w:rsidDel="00000000" w:rsidP="00000000" w:rsidRDefault="00000000" w:rsidRPr="00000000" w14:paraId="0000000E">
      <w:pPr>
        <w:spacing w:line="360" w:lineRule="auto"/>
        <w:rPr>
          <w:sz w:val="22"/>
          <w:szCs w:val="22"/>
        </w:rPr>
      </w:pPr>
      <w:r w:rsidDel="00000000" w:rsidR="00000000" w:rsidRPr="00000000">
        <w:rPr>
          <w:rtl w:val="0"/>
        </w:rPr>
      </w:r>
    </w:p>
    <w:p w:rsidR="00000000" w:rsidDel="00000000" w:rsidP="00000000" w:rsidRDefault="00000000" w:rsidRPr="00000000" w14:paraId="0000000F">
      <w:pPr>
        <w:spacing w:line="360" w:lineRule="auto"/>
        <w:rPr>
          <w:sz w:val="22"/>
          <w:szCs w:val="22"/>
        </w:rPr>
      </w:pPr>
      <w:r w:rsidDel="00000000" w:rsidR="00000000" w:rsidRPr="00000000">
        <w:rPr>
          <w:rtl w:val="0"/>
        </w:rPr>
      </w:r>
    </w:p>
    <w:p w:rsidR="00000000" w:rsidDel="00000000" w:rsidP="00000000" w:rsidRDefault="00000000" w:rsidRPr="00000000" w14:paraId="00000010">
      <w:pPr>
        <w:spacing w:line="360" w:lineRule="auto"/>
        <w:rPr>
          <w:sz w:val="22"/>
          <w:szCs w:val="22"/>
        </w:rPr>
      </w:pPr>
      <w:r w:rsidDel="00000000" w:rsidR="00000000" w:rsidRPr="00000000">
        <w:br w:type="page"/>
      </w:r>
      <w:r w:rsidDel="00000000" w:rsidR="00000000" w:rsidRPr="00000000">
        <w:rPr>
          <w:rtl w:val="0"/>
        </w:rPr>
      </w:r>
    </w:p>
    <w:p w:rsidR="00000000" w:rsidDel="00000000" w:rsidP="00000000" w:rsidRDefault="00000000" w:rsidRPr="00000000" w14:paraId="0000001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3">
      <w:pPr>
        <w:pStyle w:val="Heading1"/>
        <w:rPr>
          <w:sz w:val="22"/>
          <w:szCs w:val="22"/>
        </w:rPr>
      </w:pPr>
      <w:r w:rsidDel="00000000" w:rsidR="00000000" w:rsidRPr="00000000">
        <w:rPr>
          <w:sz w:val="22"/>
          <w:szCs w:val="22"/>
          <w:rtl w:val="0"/>
        </w:rPr>
        <w:t xml:space="preserve">Introduction</w:t>
      </w:r>
    </w:p>
    <w:p w:rsidR="00000000" w:rsidDel="00000000" w:rsidP="00000000" w:rsidRDefault="00000000" w:rsidRPr="00000000" w14:paraId="00000014">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Digital technologies have become integral to the delivery of education, healthcare and social care services across the United Kingdom. Access to the internet, digital devices and online services is increasingly necessary for children to participate in education, communicate with professionals, access healthcare information and engage in everyday social activities. However, not all children benefit equally from these technological developments. Disabled children are at greater risk of digital exclusion due to financial, physical, cognitive and social barriers, creating inequalities that may adversely affect their health, education and wellbeing.</w:t>
      </w:r>
    </w:p>
    <w:p w:rsidR="00000000" w:rsidDel="00000000" w:rsidP="00000000" w:rsidRDefault="00000000" w:rsidRPr="00000000" w14:paraId="00000015">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Digital exclusion refers to the inability or limited ability to access and effectively use digital technologies because of barriers such as affordability, accessibility, digital skills or internet connectivity. According to the UK government's Digital Inclusion Strategy, digital inclusion extends beyond owning a device and includes having the motivation, confidence and skills to use digital technologies safely and effectively. Conversely, digital exclusion is recognised as a significant social determinant of health because it can restrict access to essential services, reduce educational opportunities and increase social isolation.</w:t>
      </w:r>
    </w:p>
    <w:p w:rsidR="00000000" w:rsidDel="00000000" w:rsidP="00000000" w:rsidRDefault="00000000" w:rsidRPr="00000000" w14:paraId="00000016">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Within this report, disability is understood in accordance with the Equality Act 2010, which defines a disabled person as someone with a physical or mental impairment that has a substantial and long-term adverse effect on their ability to carry out normal day-to-day activities. Disabled children represent a diverse population with varying physical, sensory, cognitive and communication needs. Consequently, barriers to digital inclusion differ depending on individual circumstances and the accessibility of available technologies.</w:t>
      </w:r>
    </w:p>
    <w:p w:rsidR="00000000" w:rsidDel="00000000" w:rsidP="00000000" w:rsidRDefault="00000000" w:rsidRPr="00000000" w14:paraId="00000017">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COVID-19 pandemic highlighted existing digital inequalities throughout the UK. During periods of remote education and increased reliance on digital healthcare, many disabled children experienced reduced access to online learning platforms, telehealth appointments and digital support services. Families frequently encountered challenges relating to the affordability of internet access, availability of suitable devices and accessibility of digital platforms. These barriers demonstrated that digital exclusion is not solely a technological issue but also a social inequality that disproportionately affects vulnerable groups.</w:t>
      </w:r>
    </w:p>
    <w:p w:rsidR="00000000" w:rsidDel="00000000" w:rsidP="00000000" w:rsidRDefault="00000000" w:rsidRPr="00000000" w14:paraId="00000018">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rationale for this scoping review is based on the growing recognition that digital exclusion has important implications for health, education and social care practice. Professionals increasingly rely on digital communication and online service delivery; however, these approaches may unintentionally widen inequalities when the needs of disabled children are not adequately considered. Understanding the existing evidence is therefore essential to inform inclusive policy development, improve service accessibility and support equitable outcomes for disabled children and their families.</w:t>
      </w:r>
    </w:p>
    <w:p w:rsidR="00000000" w:rsidDel="00000000" w:rsidP="00000000" w:rsidRDefault="00000000" w:rsidRPr="00000000" w14:paraId="00000019">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A scoping review was selected because it enables the systematic mapping of existing evidence within an emerging field while identifying key concepts, research gaps and implications for practice. Unlike a traditional systematic review, a scoping review is particularly appropriate where evidence is heterogeneous and includes different research methodologies. The review follows the Preferred Reporting Items for Systematic Reviews and Meta-Analyses Extension for Scoping Reviews (PRISMA-ScR) guidance to enhance transparency and reproducibility.</w:t>
      </w:r>
    </w:p>
    <w:p w:rsidR="00000000" w:rsidDel="00000000" w:rsidP="00000000" w:rsidRDefault="00000000" w:rsidRPr="00000000" w14:paraId="0000001A">
      <w:pPr>
        <w:tabs>
          <w:tab w:val="left" w:leader="none" w:pos="6540"/>
        </w:tabs>
        <w:spacing w:after="240" w:before="240"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What evidence exists regarding digital exclusion experienced by disabled children in the UK, and what are the implications for health, education and social care practice?</w:t>
      </w:r>
    </w:p>
    <w:p w:rsidR="00000000" w:rsidDel="00000000" w:rsidP="00000000" w:rsidRDefault="00000000" w:rsidRPr="00000000" w14:paraId="0000001B">
      <w:pPr>
        <w:pStyle w:val="Heading3"/>
        <w:tabs>
          <w:tab w:val="left" w:leader="none" w:pos="6540"/>
        </w:tabs>
        <w:spacing w:after="80" w:before="280" w:line="360" w:lineRule="auto"/>
        <w:rPr>
          <w:sz w:val="22"/>
          <w:szCs w:val="22"/>
        </w:rPr>
      </w:pPr>
      <w:bookmarkStart w:colFirst="0" w:colLast="0" w:name="_heading=h.4ul3yf3wa8hy" w:id="0"/>
      <w:bookmarkEnd w:id="0"/>
      <w:r w:rsidDel="00000000" w:rsidR="00000000" w:rsidRPr="00000000">
        <w:rPr>
          <w:sz w:val="22"/>
          <w:szCs w:val="22"/>
          <w:rtl w:val="0"/>
        </w:rPr>
        <w:t xml:space="preserve">Review Objectives</w:t>
      </w:r>
    </w:p>
    <w:p w:rsidR="00000000" w:rsidDel="00000000" w:rsidP="00000000" w:rsidRDefault="00000000" w:rsidRPr="00000000" w14:paraId="0000001C">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objectives of this scoping review are to:</w:t>
      </w:r>
    </w:p>
    <w:p w:rsidR="00000000" w:rsidDel="00000000" w:rsidP="00000000" w:rsidRDefault="00000000" w:rsidRPr="00000000" w14:paraId="0000001D">
      <w:pPr>
        <w:numPr>
          <w:ilvl w:val="0"/>
          <w:numId w:val="1"/>
        </w:numPr>
        <w:tabs>
          <w:tab w:val="left" w:leader="none" w:pos="6540"/>
        </w:tabs>
        <w:spacing w:after="0" w:afterAutospacing="0" w:before="24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identify peer-reviewed research relating to digital exclusion among disabled children in the United Kingdom;</w:t>
      </w:r>
    </w:p>
    <w:p w:rsidR="00000000" w:rsidDel="00000000" w:rsidP="00000000" w:rsidRDefault="00000000" w:rsidRPr="00000000" w14:paraId="0000001E">
      <w:pPr>
        <w:numPr>
          <w:ilvl w:val="0"/>
          <w:numId w:val="1"/>
        </w:numPr>
        <w:tabs>
          <w:tab w:val="left" w:leader="none" w:pos="6540"/>
        </w:tabs>
        <w:spacing w:after="0" w:afterAutospacing="0" w:before="0" w:beforeAutospacing="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examine the principal barriers contributing to digital exclusion;</w:t>
      </w:r>
    </w:p>
    <w:p w:rsidR="00000000" w:rsidDel="00000000" w:rsidP="00000000" w:rsidRDefault="00000000" w:rsidRPr="00000000" w14:paraId="0000001F">
      <w:pPr>
        <w:numPr>
          <w:ilvl w:val="0"/>
          <w:numId w:val="1"/>
        </w:numPr>
        <w:tabs>
          <w:tab w:val="left" w:leader="none" w:pos="6540"/>
        </w:tabs>
        <w:spacing w:after="0" w:afterAutospacing="0" w:before="0" w:beforeAutospacing="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explore the impact of digital exclusion on health, education and social care outcomes;</w:t>
      </w:r>
    </w:p>
    <w:p w:rsidR="00000000" w:rsidDel="00000000" w:rsidP="00000000" w:rsidRDefault="00000000" w:rsidRPr="00000000" w14:paraId="00000020">
      <w:pPr>
        <w:numPr>
          <w:ilvl w:val="0"/>
          <w:numId w:val="1"/>
        </w:numPr>
        <w:tabs>
          <w:tab w:val="left" w:leader="none" w:pos="6540"/>
        </w:tabs>
        <w:spacing w:after="0" w:afterAutospacing="0" w:before="0" w:beforeAutospacing="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identify strategies and interventions recommended to improve digital inclusion; and</w:t>
      </w:r>
    </w:p>
    <w:p w:rsidR="00000000" w:rsidDel="00000000" w:rsidP="00000000" w:rsidRDefault="00000000" w:rsidRPr="00000000" w14:paraId="00000021">
      <w:pPr>
        <w:numPr>
          <w:ilvl w:val="0"/>
          <w:numId w:val="1"/>
        </w:numPr>
        <w:tabs>
          <w:tab w:val="left" w:leader="none" w:pos="6540"/>
        </w:tabs>
        <w:spacing w:after="240" w:before="0" w:beforeAutospacing="0" w:line="360" w:lineRule="auto"/>
        <w:ind w:left="720" w:hanging="360"/>
        <w:rPr>
          <w:rFonts w:ascii="Arial" w:cs="Arial" w:eastAsia="Arial" w:hAnsi="Arial"/>
          <w:sz w:val="22"/>
          <w:szCs w:val="22"/>
        </w:rPr>
      </w:pPr>
      <w:r w:rsidDel="00000000" w:rsidR="00000000" w:rsidRPr="00000000">
        <w:rPr>
          <w:rFonts w:ascii="Arial" w:cs="Arial" w:eastAsia="Arial" w:hAnsi="Arial"/>
          <w:sz w:val="22"/>
          <w:szCs w:val="22"/>
          <w:rtl w:val="0"/>
        </w:rPr>
        <w:t xml:space="preserve">highlight gaps within the current evidence base to inform future research, policy and professional practice.</w:t>
      </w:r>
    </w:p>
    <w:p w:rsidR="00000000" w:rsidDel="00000000" w:rsidP="00000000" w:rsidRDefault="00000000" w:rsidRPr="00000000" w14:paraId="00000022">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Digital technology has become increasingly embedded within everyday life and the delivery of public services in the UK. Internet access is now important for education, communication, healthcare, social care and participation in society. However, digital inclusion involves more than simply having an internet connection. Ofcom defines digital exclusion as a lack of internet access and/or low levels of digital skills or confidence, while more recent research highlights affordability, device access, accessibility and the ability to use online services effectively as additional dimensions of digital disadvantage (Ofcom, 2022; Ofcom, 2025).</w:t>
      </w:r>
    </w:p>
    <w:p w:rsidR="00000000" w:rsidDel="00000000" w:rsidP="00000000" w:rsidRDefault="00000000" w:rsidRPr="00000000" w14:paraId="00000023">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scale of the issue remains significant. Ofcom reported in 2025 that approximately </w:t>
      </w:r>
      <w:r w:rsidDel="00000000" w:rsidR="00000000" w:rsidRPr="00000000">
        <w:rPr>
          <w:rFonts w:ascii="Arial" w:cs="Arial" w:eastAsia="Arial" w:hAnsi="Arial"/>
          <w:b w:val="1"/>
          <w:bCs w:val="1"/>
          <w:sz w:val="22"/>
          <w:szCs w:val="22"/>
          <w:rtl w:val="0"/>
        </w:rPr>
        <w:t xml:space="preserve">2.8 million people, equivalent to 5% of the UK population, did not have internet access at all</w:t>
      </w:r>
      <w:r w:rsidDel="00000000" w:rsidR="00000000" w:rsidRPr="00000000">
        <w:rPr>
          <w:rFonts w:ascii="Arial" w:cs="Arial" w:eastAsia="Arial" w:hAnsi="Arial"/>
          <w:sz w:val="22"/>
          <w:szCs w:val="22"/>
          <w:rtl w:val="0"/>
        </w:rPr>
        <w:t xml:space="preserve">, while 8% of internet users reported lacking confidence online. Ofcom's research also identified disabled people among groups experiencing particular difficulties when engaging with digital communications and services. Although these figures are not specific to disabled children, they demonstrate the wider structural context in which children and families experience digital inequality. Earlier Ofcom research found that approximately 4% of school-age children relied solely on mobile internet access during the pandemic, illustrating that access to a connection does not necessarily mean access to appropriate or adequate digital resources.</w:t>
      </w:r>
    </w:p>
    <w:p w:rsidR="00000000" w:rsidDel="00000000" w:rsidP="00000000" w:rsidRDefault="00000000" w:rsidRPr="00000000" w14:paraId="00000024">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For disabled children, digital exclusion may be intensified by the need for accessible devices, adapted software, communication technologies, reliable connectivity or adult assistance. Consequently, digital exclusion should be understood as a multidimensional social inequality rather than simply a lack of broadband. Where online education, healthcare appointments or information are increasingly available through digital channels, children who cannot access these services effectively may experience reduced opportunities to participate.</w:t>
      </w:r>
    </w:p>
    <w:p w:rsidR="00000000" w:rsidDel="00000000" w:rsidP="00000000" w:rsidRDefault="00000000" w:rsidRPr="00000000" w14:paraId="00000025">
      <w:pPr>
        <w:pStyle w:val="Heading3"/>
        <w:tabs>
          <w:tab w:val="left" w:leader="none" w:pos="6540"/>
        </w:tabs>
        <w:spacing w:after="80" w:before="280" w:line="360" w:lineRule="auto"/>
        <w:rPr>
          <w:sz w:val="22"/>
          <w:szCs w:val="22"/>
        </w:rPr>
      </w:pPr>
      <w:bookmarkStart w:colFirst="0" w:colLast="0" w:name="_heading=h.nzv0cae295il" w:id="1"/>
      <w:bookmarkEnd w:id="1"/>
      <w:r w:rsidDel="00000000" w:rsidR="00000000" w:rsidRPr="00000000">
        <w:rPr>
          <w:sz w:val="22"/>
          <w:szCs w:val="22"/>
          <w:rtl w:val="0"/>
        </w:rPr>
        <w:t xml:space="preserve">Legislation and the rights of disabled children</w:t>
      </w:r>
    </w:p>
    <w:p w:rsidR="00000000" w:rsidDel="00000000" w:rsidP="00000000" w:rsidRDefault="00000000" w:rsidRPr="00000000" w14:paraId="00000026">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b w:val="1"/>
          <w:bCs w:val="1"/>
          <w:sz w:val="22"/>
          <w:szCs w:val="22"/>
          <w:rtl w:val="0"/>
        </w:rPr>
        <w:t xml:space="preserve">Equality Act 2010</w:t>
      </w:r>
      <w:r w:rsidDel="00000000" w:rsidR="00000000" w:rsidRPr="00000000">
        <w:rPr>
          <w:rFonts w:ascii="Arial" w:cs="Arial" w:eastAsia="Arial" w:hAnsi="Arial"/>
          <w:sz w:val="22"/>
          <w:szCs w:val="22"/>
          <w:rtl w:val="0"/>
        </w:rPr>
        <w:t xml:space="preserve"> provides an important legal framework for addressing discrimination against disabled people. The Act places duties relating to reasonable adjustments and requires relevant organisations to avoid placing disabled people at a substantial disadvantage. In the context of digital services, this has implications for the accessibility of websites, online learning environments, communication systems and digital healthcare services. Digital transformation should therefore not create additional barriers for disabled children. Service providers need to consider accessibility as part of service design rather than treating it as an additional requirement after a service has been developed.</w:t>
      </w:r>
    </w:p>
    <w:p w:rsidR="00000000" w:rsidDel="00000000" w:rsidP="00000000" w:rsidRDefault="00000000" w:rsidRPr="00000000" w14:paraId="00000027">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b w:val="1"/>
          <w:bCs w:val="1"/>
          <w:sz w:val="22"/>
          <w:szCs w:val="22"/>
          <w:rtl w:val="0"/>
        </w:rPr>
        <w:t xml:space="preserve">Children Act 1989</w:t>
      </w:r>
      <w:r w:rsidDel="00000000" w:rsidR="00000000" w:rsidRPr="00000000">
        <w:rPr>
          <w:rFonts w:ascii="Arial" w:cs="Arial" w:eastAsia="Arial" w:hAnsi="Arial"/>
          <w:sz w:val="22"/>
          <w:szCs w:val="22"/>
          <w:rtl w:val="0"/>
        </w:rPr>
        <w:t xml:space="preserve"> provides another important foundation for children's welfare. It establishes responsibilities concerning the welfare and protection of children, including specific provisions relating to children who are disabled. For example, where a local authority provides accommodation for a disabled child, it must, where reasonably practicable, ensure that the accommodation is suitable for the child's particular needs. Although the legislation predates widespread digital technology, its emphasis on children's welfare and individual needs provides a relevant framework for considering whether contemporary services adequately support disabled children's participation.</w:t>
      </w:r>
    </w:p>
    <w:p w:rsidR="00000000" w:rsidDel="00000000" w:rsidP="00000000" w:rsidRDefault="00000000" w:rsidRPr="00000000" w14:paraId="00000028">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b w:val="1"/>
          <w:bCs w:val="1"/>
          <w:sz w:val="22"/>
          <w:szCs w:val="22"/>
          <w:rtl w:val="0"/>
        </w:rPr>
        <w:t xml:space="preserve">Care Act 2014</w:t>
      </w:r>
      <w:r w:rsidDel="00000000" w:rsidR="00000000" w:rsidRPr="00000000">
        <w:rPr>
          <w:rFonts w:ascii="Arial" w:cs="Arial" w:eastAsia="Arial" w:hAnsi="Arial"/>
          <w:sz w:val="22"/>
          <w:szCs w:val="22"/>
          <w:rtl w:val="0"/>
        </w:rPr>
        <w:t xml:space="preserve"> primarily concerns adults and therefore should not be presented as the principal statutory framework for children's social care. Nevertheless, its emphasis on wellbeing, prevention, information and advice, integration and participation is relevant to the wider development of joined-up health and social care services. The Act requires local authorities to promote individual wellbeing and to consider participation, relationships, education and social and economic wellbeing. For disabled young people transitioning towards adulthood, these principles are particularly relevant to ensuring that digital exclusion does not become another barrier to independence and participation.</w:t>
      </w:r>
    </w:p>
    <w:p w:rsidR="00000000" w:rsidDel="00000000" w:rsidP="00000000" w:rsidRDefault="00000000" w:rsidRPr="00000000" w14:paraId="00000029">
      <w:pPr>
        <w:pStyle w:val="Heading3"/>
        <w:tabs>
          <w:tab w:val="left" w:leader="none" w:pos="6540"/>
        </w:tabs>
        <w:spacing w:after="80" w:before="280" w:line="360" w:lineRule="auto"/>
        <w:rPr>
          <w:sz w:val="22"/>
          <w:szCs w:val="22"/>
        </w:rPr>
      </w:pPr>
      <w:bookmarkStart w:colFirst="0" w:colLast="0" w:name="_heading=h.cj2gyql7951c" w:id="2"/>
      <w:bookmarkEnd w:id="2"/>
      <w:r w:rsidDel="00000000" w:rsidR="00000000" w:rsidRPr="00000000">
        <w:rPr>
          <w:sz w:val="22"/>
          <w:szCs w:val="22"/>
          <w:rtl w:val="0"/>
        </w:rPr>
        <w:t xml:space="preserve">SEND policy and education</w:t>
      </w:r>
    </w:p>
    <w:p w:rsidR="00000000" w:rsidDel="00000000" w:rsidP="00000000" w:rsidRDefault="00000000" w:rsidRPr="00000000" w14:paraId="0000002A">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w:t>
      </w:r>
      <w:r w:rsidDel="00000000" w:rsidR="00000000" w:rsidRPr="00000000">
        <w:rPr>
          <w:rFonts w:ascii="Arial" w:cs="Arial" w:eastAsia="Arial" w:hAnsi="Arial"/>
          <w:b w:val="1"/>
          <w:bCs w:val="1"/>
          <w:sz w:val="22"/>
          <w:szCs w:val="22"/>
          <w:rtl w:val="0"/>
        </w:rPr>
        <w:t xml:space="preserve">Special Educational Needs and Disability (SEND) Code of Practice: 0 to 25 years</w:t>
      </w:r>
      <w:r w:rsidDel="00000000" w:rsidR="00000000" w:rsidRPr="00000000">
        <w:rPr>
          <w:rFonts w:ascii="Arial" w:cs="Arial" w:eastAsia="Arial" w:hAnsi="Arial"/>
          <w:sz w:val="22"/>
          <w:szCs w:val="22"/>
          <w:rtl w:val="0"/>
        </w:rPr>
        <w:t xml:space="preserve"> provides statutory guidance for organisations working with children and young people with special educational needs and disabilities in England. It applies to local authorities, schools, early years providers and relevant health bodies. The Code promotes coordinated working between education, health and social care and emphasises participation by children, young people and their parents or carers. Within an increasingly digital education system, this means that schools and other education providers should consider whether digital learning platforms, communication and educational resources are accessible to individual children with SEND.</w:t>
      </w:r>
    </w:p>
    <w:p w:rsidR="00000000" w:rsidDel="00000000" w:rsidP="00000000" w:rsidRDefault="00000000" w:rsidRPr="00000000" w14:paraId="0000002B">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This is particularly important because providing a digital platform does not automatically create equal access. A child may have an internet connection but still be excluded if a platform is incompatible with assistive technology, difficult to navigate, lacks appropriate communication support or requires equipment that the family cannot afford. Digital inclusion should therefore be incorporated into wider SEND planning and reasonable-adjustment processes.</w:t>
      </w:r>
    </w:p>
    <w:p w:rsidR="00000000" w:rsidDel="00000000" w:rsidP="00000000" w:rsidRDefault="00000000" w:rsidRPr="00000000" w14:paraId="0000002C">
      <w:pPr>
        <w:pStyle w:val="Heading3"/>
        <w:tabs>
          <w:tab w:val="left" w:leader="none" w:pos="6540"/>
        </w:tabs>
        <w:spacing w:after="80" w:before="280" w:line="360" w:lineRule="auto"/>
        <w:rPr>
          <w:sz w:val="22"/>
          <w:szCs w:val="22"/>
        </w:rPr>
      </w:pPr>
      <w:bookmarkStart w:colFirst="0" w:colLast="0" w:name="_heading=h.v2jvpsuinwq3" w:id="3"/>
      <w:bookmarkEnd w:id="3"/>
      <w:r w:rsidDel="00000000" w:rsidR="00000000" w:rsidRPr="00000000">
        <w:rPr>
          <w:sz w:val="22"/>
          <w:szCs w:val="22"/>
          <w:rtl w:val="0"/>
        </w:rPr>
        <w:t xml:space="preserve">NHS digital policy and health inequalities</w:t>
      </w:r>
    </w:p>
    <w:p w:rsidR="00000000" w:rsidDel="00000000" w:rsidP="00000000" w:rsidRDefault="00000000" w:rsidRPr="00000000" w14:paraId="0000002D">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Digital transformation is also central to NHS policy. The </w:t>
      </w:r>
      <w:r w:rsidDel="00000000" w:rsidR="00000000" w:rsidRPr="00000000">
        <w:rPr>
          <w:rFonts w:ascii="Arial" w:cs="Arial" w:eastAsia="Arial" w:hAnsi="Arial"/>
          <w:b w:val="1"/>
          <w:bCs w:val="1"/>
          <w:sz w:val="22"/>
          <w:szCs w:val="22"/>
          <w:rtl w:val="0"/>
        </w:rPr>
        <w:t xml:space="preserve">NHS Long Term Plan</w:t>
      </w:r>
      <w:r w:rsidDel="00000000" w:rsidR="00000000" w:rsidRPr="00000000">
        <w:rPr>
          <w:rFonts w:ascii="Arial" w:cs="Arial" w:eastAsia="Arial" w:hAnsi="Arial"/>
          <w:sz w:val="22"/>
          <w:szCs w:val="22"/>
          <w:rtl w:val="0"/>
        </w:rPr>
        <w:t xml:space="preserve"> identified digitally enabled care as an important part of transforming healthcare while recognising that groups already experiencing health inequalities can also be disproportionately vulnerable to digital exclusion. It emphasised that digital channels should not become the only route into healthcare and that usability and accessibility should be considered when developing digital services. NHS England subsequently identified mitigating digital exclusion as one of its priorities for reducing healthcare inequalities.</w:t>
      </w:r>
    </w:p>
    <w:p w:rsidR="00000000" w:rsidDel="00000000" w:rsidP="00000000" w:rsidRDefault="00000000" w:rsidRPr="00000000" w14:paraId="0000002E">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More recent NHS guidance provides practical support for this approach. The </w:t>
      </w:r>
      <w:r w:rsidDel="00000000" w:rsidR="00000000" w:rsidRPr="00000000">
        <w:rPr>
          <w:rFonts w:ascii="Arial" w:cs="Arial" w:eastAsia="Arial" w:hAnsi="Arial"/>
          <w:b w:val="1"/>
          <w:bCs w:val="1"/>
          <w:sz w:val="22"/>
          <w:szCs w:val="22"/>
          <w:rtl w:val="0"/>
        </w:rPr>
        <w:t xml:space="preserve">Inclusive Digital Healthcare Framework</w:t>
      </w:r>
      <w:r w:rsidDel="00000000" w:rsidR="00000000" w:rsidRPr="00000000">
        <w:rPr>
          <w:rFonts w:ascii="Arial" w:cs="Arial" w:eastAsia="Arial" w:hAnsi="Arial"/>
          <w:sz w:val="22"/>
          <w:szCs w:val="22"/>
          <w:rtl w:val="0"/>
        </w:rPr>
        <w:t xml:space="preserve"> identifies access to suitable devices and connectivity as fundamental requirements for digital participation and recommends partnerships between NHS organisations, local authorities and voluntary and community organisations to support people who lack devices or connectivity. The Digital Exclusion Risk Atlas similarly enables NHS systems to identify geographical patterns of digital exclusion and use these data to inform planning and service design.</w:t>
      </w:r>
    </w:p>
    <w:p w:rsidR="00000000" w:rsidDel="00000000" w:rsidP="00000000" w:rsidRDefault="00000000" w:rsidRPr="00000000" w14:paraId="0000002F">
      <w:pPr>
        <w:pStyle w:val="Heading3"/>
        <w:tabs>
          <w:tab w:val="left" w:leader="none" w:pos="6540"/>
        </w:tabs>
        <w:spacing w:after="80" w:before="280" w:line="360" w:lineRule="auto"/>
        <w:rPr>
          <w:sz w:val="22"/>
          <w:szCs w:val="22"/>
        </w:rPr>
      </w:pPr>
      <w:bookmarkStart w:colFirst="0" w:colLast="0" w:name="_heading=h.qk18099dnnad" w:id="4"/>
      <w:bookmarkEnd w:id="4"/>
      <w:r w:rsidDel="00000000" w:rsidR="00000000" w:rsidRPr="00000000">
        <w:rPr>
          <w:sz w:val="22"/>
          <w:szCs w:val="22"/>
          <w:rtl w:val="0"/>
        </w:rPr>
        <w:t xml:space="preserve">Digital inclusion policy and professional practice</w:t>
      </w:r>
    </w:p>
    <w:p w:rsidR="00000000" w:rsidDel="00000000" w:rsidP="00000000" w:rsidRDefault="00000000" w:rsidRPr="00000000" w14:paraId="00000030">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The UK Government's </w:t>
      </w:r>
      <w:r w:rsidDel="00000000" w:rsidR="00000000" w:rsidRPr="00000000">
        <w:rPr>
          <w:rFonts w:ascii="Arial" w:cs="Arial" w:eastAsia="Arial" w:hAnsi="Arial"/>
          <w:b w:val="1"/>
          <w:bCs w:val="1"/>
          <w:sz w:val="22"/>
          <w:szCs w:val="22"/>
          <w:rtl w:val="0"/>
        </w:rPr>
        <w:t xml:space="preserve">Digital Inclusion Action Plan: First Steps</w:t>
      </w:r>
      <w:r w:rsidDel="00000000" w:rsidR="00000000" w:rsidRPr="00000000">
        <w:rPr>
          <w:rFonts w:ascii="Arial" w:cs="Arial" w:eastAsia="Arial" w:hAnsi="Arial"/>
          <w:sz w:val="22"/>
          <w:szCs w:val="22"/>
          <w:rtl w:val="0"/>
        </w:rPr>
        <w:t xml:space="preserve">, published in 2025, recognises that digital exclusion takes multiple forms and sets out actions intended to increase digital participation. These include supporting local initiatives, improving essential digital skills and increasing access to devices. This policy direction is significant for disabled children because effective digital inclusion requires coordinated action rather than expecting families to overcome barriers independently.</w:t>
      </w:r>
    </w:p>
    <w:p w:rsidR="00000000" w:rsidDel="00000000" w:rsidP="00000000" w:rsidRDefault="00000000" w:rsidRPr="00000000" w14:paraId="00000031">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Health, social care and education professionals therefore have an important role in identifying digital exclusion as part of holistic assessment. Professionals should ask families whether they have appropriate devices, reliable connectivity, sufficient digital skills and accessible ways of communicating with services. Where barriers are identified, practitioners can work collaboratively with families and other agencies to provide alternative methods of communication, appropriate adjustments, equipment, training or referrals to local support.</w:t>
      </w:r>
    </w:p>
    <w:p w:rsidR="00000000" w:rsidDel="00000000" w:rsidP="00000000" w:rsidRDefault="00000000" w:rsidRPr="00000000" w14:paraId="00000032">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Overall, the UK policy and legislative context establishes a strong principle of equality, participation and accessible services. However, the existence of legislation and policy does not necessarily guarantee digital inclusion in practice. The gap between formal rights and families' lived experiences provides an important rationale for examining the peer-reviewed evidence on disabled children's digital exclusion. The following methodology therefore maps the available research and identifies the barriers, impacts and potential solutions relevant to UK health, social care and education practice.</w:t>
      </w:r>
    </w:p>
    <w:p w:rsidR="00000000" w:rsidDel="00000000" w:rsidP="00000000" w:rsidRDefault="00000000" w:rsidRPr="00000000" w14:paraId="00000033">
      <w:pPr>
        <w:pStyle w:val="Heading3"/>
        <w:tabs>
          <w:tab w:val="left" w:leader="none" w:pos="6540"/>
        </w:tabs>
        <w:spacing w:after="80" w:before="280" w:line="360" w:lineRule="auto"/>
        <w:rPr>
          <w:sz w:val="22"/>
          <w:szCs w:val="22"/>
        </w:rPr>
      </w:pPr>
      <w:bookmarkStart w:colFirst="0" w:colLast="0" w:name="_heading=h.mr158l6iqm5l" w:id="5"/>
      <w:bookmarkEnd w:id="5"/>
      <w:r w:rsidDel="00000000" w:rsidR="00000000" w:rsidRPr="00000000">
        <w:rPr>
          <w:sz w:val="22"/>
          <w:szCs w:val="22"/>
          <w:rtl w:val="0"/>
        </w:rPr>
        <w:t xml:space="preserve">Role of health, social care and education professionals in reducing digital inequalities</w:t>
      </w:r>
    </w:p>
    <w:p w:rsidR="00000000" w:rsidDel="00000000" w:rsidP="00000000" w:rsidRDefault="00000000" w:rsidRPr="00000000" w14:paraId="00000034">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Health, social care and education professionals have an important role in identifying and reducing digital inequalities experienced by disabled children and their families. As public services increasingly use digital platforms for communication, appointments, education and access to information, professionals should recognise digital access as an important component of equitable service provision. Digital exclusion should therefore be considered alongside other social determinants of health and wellbeing rather than being viewed solely as an issue of individual digital skills.</w:t>
      </w:r>
    </w:p>
    <w:p w:rsidR="00000000" w:rsidDel="00000000" w:rsidP="00000000" w:rsidRDefault="00000000" w:rsidRPr="00000000" w14:paraId="00000035">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Health professionals</w:t>
      </w:r>
      <w:r w:rsidDel="00000000" w:rsidR="00000000" w:rsidRPr="00000000">
        <w:rPr>
          <w:rFonts w:ascii="Arial" w:cs="Arial" w:eastAsia="Arial" w:hAnsi="Arial"/>
          <w:sz w:val="22"/>
          <w:szCs w:val="22"/>
          <w:rtl w:val="0"/>
        </w:rPr>
        <w:t xml:space="preserve"> can help identify digital exclusion during routine interactions with children and families. This may involve asking whether families have access to an appropriate device, reliable internet connection and accessible digital services. NHS England identifies disabled people as a group at increased risk of digital exclusion and recommends that digital healthcare should remain complementary to non-digital routes of access. Its framework identifies five areas for action: access to devices and connectivity, accessibility, skills and capability, beliefs and trust, and leadership and partnerships. This is particularly relevant for disabled children because physical, sensory, communication or cognitive needs may require adapted technology or additional support.</w:t>
      </w:r>
    </w:p>
    <w:p w:rsidR="00000000" w:rsidDel="00000000" w:rsidP="00000000" w:rsidRDefault="00000000" w:rsidRPr="00000000" w14:paraId="00000036">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Professionals should also ensure that digital healthcare does not become the </w:t>
      </w:r>
      <w:r w:rsidDel="00000000" w:rsidR="00000000" w:rsidRPr="00000000">
        <w:rPr>
          <w:rFonts w:ascii="Arial" w:cs="Arial" w:eastAsia="Arial" w:hAnsi="Arial"/>
          <w:b w:val="1"/>
          <w:bCs w:val="1"/>
          <w:sz w:val="22"/>
          <w:szCs w:val="22"/>
          <w:rtl w:val="0"/>
        </w:rPr>
        <w:t xml:space="preserve">only method of accessing services</w:t>
      </w:r>
      <w:r w:rsidDel="00000000" w:rsidR="00000000" w:rsidRPr="00000000">
        <w:rPr>
          <w:rFonts w:ascii="Arial" w:cs="Arial" w:eastAsia="Arial" w:hAnsi="Arial"/>
          <w:sz w:val="22"/>
          <w:szCs w:val="22"/>
          <w:rtl w:val="0"/>
        </w:rPr>
        <w:t xml:space="preserve">. For example, where a family cannot use an online appointment system, telephone or face-to-face alternatives should remain available. NHS England specifically recommends maintaining non-digital healthcare alongside digital approaches to prevent digital transformation from widening health inequalities.</w:t>
      </w:r>
    </w:p>
    <w:p w:rsidR="00000000" w:rsidDel="00000000" w:rsidP="00000000" w:rsidRDefault="00000000" w:rsidRPr="00000000" w14:paraId="00000037">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Social care professionals</w:t>
      </w:r>
      <w:r w:rsidDel="00000000" w:rsidR="00000000" w:rsidRPr="00000000">
        <w:rPr>
          <w:rFonts w:ascii="Arial" w:cs="Arial" w:eastAsia="Arial" w:hAnsi="Arial"/>
          <w:sz w:val="22"/>
          <w:szCs w:val="22"/>
          <w:rtl w:val="0"/>
        </w:rPr>
        <w:t xml:space="preserve"> can identify digital exclusion through assessments and ongoing work with children and families. Social workers can explore whether lack of devices, connectivity, digital skills or accessibility is affecting a child's participation in education, healthcare, relationships or community activities. Where appropriate, professionals can work with local authorities, voluntary organisations and community services to identify sources of digital support. Partnership working is particularly important because digital exclusion is influenced by wider socioeconomic circumstances and cannot always be addressed by one service alone. NHS England similarly emphasises collaboration between health services, local government, voluntary and community organisations when addressing digital exclusion.</w:t>
      </w:r>
    </w:p>
    <w:p w:rsidR="00000000" w:rsidDel="00000000" w:rsidP="00000000" w:rsidRDefault="00000000" w:rsidRPr="00000000" w14:paraId="00000038">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b w:val="1"/>
          <w:bCs w:val="1"/>
          <w:sz w:val="22"/>
          <w:szCs w:val="22"/>
          <w:rtl w:val="0"/>
        </w:rPr>
        <w:t xml:space="preserve">Education professionals</w:t>
      </w:r>
      <w:r w:rsidDel="00000000" w:rsidR="00000000" w:rsidRPr="00000000">
        <w:rPr>
          <w:rFonts w:ascii="Arial" w:cs="Arial" w:eastAsia="Arial" w:hAnsi="Arial"/>
          <w:sz w:val="22"/>
          <w:szCs w:val="22"/>
          <w:rtl w:val="0"/>
        </w:rPr>
        <w:t xml:space="preserve"> also have a significant responsibility because digital technology is increasingly incorporated into teaching, homework, communication with parents and access to educational resources. Schools should consider whether disabled pupils can access online learning platforms and whether reasonable adjustments are required. This includes considering accessibility, assistive technology, alternative formats and appropriate communication methods. The SEND framework places emphasis on coordinated working between education, health and social care and on involving children, young people and their families in decisions about support. Guidance for health professionals similarly highlights the importance of coordinated support for children and young people with SEND and their families.</w:t>
      </w:r>
    </w:p>
    <w:p w:rsidR="00000000" w:rsidDel="00000000" w:rsidP="00000000" w:rsidRDefault="00000000" w:rsidRPr="00000000" w14:paraId="00000039">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Importantly, professionals should avoid assuming that digital exclusion results from a family's lack of motivation or ability. A family may possess a smartphone but lack sufficient data, have an unreliable connection, be unable to afford a laptop, or require accessibility features that standard devices do not provide. NHS England therefore recommends considering both access to suitable devices and connectivity and the accessibility and ease of use of digital technologies.</w:t>
      </w:r>
    </w:p>
    <w:p w:rsidR="00000000" w:rsidDel="00000000" w:rsidP="00000000" w:rsidRDefault="00000000" w:rsidRPr="00000000" w14:paraId="0000003A">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Professionals can also contribute to </w:t>
      </w:r>
      <w:r w:rsidDel="00000000" w:rsidR="00000000" w:rsidRPr="00000000">
        <w:rPr>
          <w:rFonts w:ascii="Arial" w:cs="Arial" w:eastAsia="Arial" w:hAnsi="Arial"/>
          <w:b w:val="1"/>
          <w:bCs w:val="1"/>
          <w:sz w:val="22"/>
          <w:szCs w:val="22"/>
          <w:rtl w:val="0"/>
        </w:rPr>
        <w:t xml:space="preserve">digital inclusion through advocacy and co-production</w:t>
      </w:r>
      <w:r w:rsidDel="00000000" w:rsidR="00000000" w:rsidRPr="00000000">
        <w:rPr>
          <w:rFonts w:ascii="Arial" w:cs="Arial" w:eastAsia="Arial" w:hAnsi="Arial"/>
          <w:sz w:val="22"/>
          <w:szCs w:val="22"/>
          <w:rtl w:val="0"/>
        </w:rPr>
        <w:t xml:space="preserve">. Disabled children and their parents or carers should be involved in the design and evaluation of digital services so that barriers can be identified before services are implemented. Recording people's preferred methods of communication can also help services provide appropriate alternatives and avoid excluding families who cannot use digital channels.</w:t>
      </w:r>
    </w:p>
    <w:p w:rsidR="00000000" w:rsidDel="00000000" w:rsidP="00000000" w:rsidRDefault="00000000" w:rsidRPr="00000000" w14:paraId="0000003B">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Overall, reducing digital inequalities requires a </w:t>
      </w:r>
      <w:r w:rsidDel="00000000" w:rsidR="00000000" w:rsidRPr="00000000">
        <w:rPr>
          <w:rFonts w:ascii="Arial" w:cs="Arial" w:eastAsia="Arial" w:hAnsi="Arial"/>
          <w:b w:val="1"/>
          <w:bCs w:val="1"/>
          <w:sz w:val="22"/>
          <w:szCs w:val="22"/>
          <w:rtl w:val="0"/>
        </w:rPr>
        <w:t xml:space="preserve">multi-disciplinary approach</w:t>
      </w:r>
      <w:r w:rsidDel="00000000" w:rsidR="00000000" w:rsidRPr="00000000">
        <w:rPr>
          <w:rFonts w:ascii="Arial" w:cs="Arial" w:eastAsia="Arial" w:hAnsi="Arial"/>
          <w:sz w:val="22"/>
          <w:szCs w:val="22"/>
          <w:rtl w:val="0"/>
        </w:rPr>
        <w:t xml:space="preserve">. Health professionals can identify barriers to digital healthcare, social care professionals can assess wider social and family circumstances, and education professionals can address accessibility within learning environments. Effective collaboration between these professions can help ensure that digital transformation improves access rather than creating new inequalities. For disabled children in particular, digital inclusion should be viewed as part of inclusive, person-centred practice and as an important element of reducing wider health, educational and social inequalities.</w:t>
      </w:r>
    </w:p>
    <w:p w:rsidR="00000000" w:rsidDel="00000000" w:rsidP="00000000" w:rsidRDefault="00000000" w:rsidRPr="00000000" w14:paraId="0000003C">
      <w:pPr>
        <w:tabs>
          <w:tab w:val="left" w:leader="none" w:pos="6540"/>
        </w:tabs>
        <w:spacing w:line="360" w:lineRule="auto"/>
        <w:rPr>
          <w:rFonts w:ascii="Arial" w:cs="Arial" w:eastAsia="Arial" w:hAnsi="Arial"/>
          <w:b w:val="1"/>
          <w:bCs w:val="1"/>
          <w:sz w:val="22"/>
          <w:szCs w:val="22"/>
        </w:rPr>
      </w:pPr>
      <w:r w:rsidDel="00000000" w:rsidR="00000000" w:rsidRPr="00000000">
        <w:rPr>
          <w:rFonts w:ascii="Arial" w:cs="Arial" w:eastAsia="Arial" w:hAnsi="Arial"/>
          <w:b w:val="1"/>
          <w:bCs w:val="1"/>
          <w:sz w:val="22"/>
          <w:szCs w:val="22"/>
          <w:rtl w:val="0"/>
        </w:rPr>
        <w:t xml:space="preserve">References</w:t>
      </w:r>
    </w:p>
    <w:p w:rsidR="00000000" w:rsidDel="00000000" w:rsidP="00000000" w:rsidRDefault="00000000" w:rsidRPr="00000000" w14:paraId="0000003D">
      <w:pPr>
        <w:tabs>
          <w:tab w:val="left" w:leader="none" w:pos="6540"/>
        </w:tabs>
        <w:spacing w:line="360" w:lineRule="auto"/>
        <w:rPr>
          <w:rFonts w:ascii="Arial" w:cs="Arial" w:eastAsia="Arial" w:hAnsi="Arial"/>
          <w:sz w:val="22"/>
          <w:szCs w:val="22"/>
        </w:rPr>
      </w:pPr>
      <w:r w:rsidDel="00000000" w:rsidR="00000000" w:rsidRPr="00000000">
        <w:rPr>
          <w:rtl w:val="0"/>
        </w:rPr>
      </w:r>
    </w:p>
    <w:p w:rsidR="00000000" w:rsidDel="00000000" w:rsidP="00000000" w:rsidRDefault="00000000" w:rsidRPr="00000000" w14:paraId="0000003E">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Department for Education and Department of Health and Social Care (2015) </w:t>
      </w:r>
      <w:r w:rsidDel="00000000" w:rsidR="00000000" w:rsidRPr="00000000">
        <w:rPr>
          <w:rFonts w:ascii="Arial" w:cs="Arial" w:eastAsia="Arial" w:hAnsi="Arial"/>
          <w:i w:val="1"/>
          <w:iCs w:val="1"/>
          <w:sz w:val="22"/>
          <w:szCs w:val="22"/>
          <w:rtl w:val="0"/>
        </w:rPr>
        <w:t xml:space="preserve">Special educational needs and disability code of practice: 0 to 25 years</w:t>
      </w:r>
      <w:r w:rsidDel="00000000" w:rsidR="00000000" w:rsidRPr="00000000">
        <w:rPr>
          <w:rFonts w:ascii="Arial" w:cs="Arial" w:eastAsia="Arial" w:hAnsi="Arial"/>
          <w:sz w:val="22"/>
          <w:szCs w:val="22"/>
          <w:rtl w:val="0"/>
        </w:rPr>
        <w:t xml:space="preserve">. London: Department for Education. Available at:</w:t>
      </w:r>
      <w:hyperlink r:id="rId8">
        <w:r w:rsidDel="00000000" w:rsidR="00000000" w:rsidRPr="00000000">
          <w:rPr>
            <w:rFonts w:ascii="Arial" w:cs="Arial" w:eastAsia="Arial" w:hAnsi="Arial"/>
            <w:sz w:val="22"/>
            <w:szCs w:val="22"/>
            <w:rtl w:val="0"/>
          </w:rPr>
          <w:t xml:space="preserve"> </w:t>
        </w:r>
      </w:hyperlink>
      <w:hyperlink r:id="rId9">
        <w:r w:rsidDel="00000000" w:rsidR="00000000" w:rsidRPr="00000000">
          <w:rPr>
            <w:rFonts w:ascii="Arial" w:cs="Arial" w:eastAsia="Arial" w:hAnsi="Arial"/>
            <w:color w:val="1155cc"/>
            <w:sz w:val="22"/>
            <w:szCs w:val="22"/>
            <w:u w:val="single"/>
            <w:rtl w:val="0"/>
          </w:rPr>
          <w:t xml:space="preserve">GOV.UK – SEND Code of Practice</w:t>
        </w:r>
      </w:hyperlink>
      <w:r w:rsidDel="00000000" w:rsidR="00000000" w:rsidRPr="00000000">
        <w:rPr>
          <w:rFonts w:ascii="Arial" w:cs="Arial" w:eastAsia="Arial" w:hAnsi="Arial"/>
          <w:sz w:val="22"/>
          <w:szCs w:val="22"/>
          <w:rtl w:val="0"/>
        </w:rPr>
        <w:t xml:space="preserve"> (Accessed: 13 August 2026).</w:t>
      </w:r>
    </w:p>
    <w:p w:rsidR="00000000" w:rsidDel="00000000" w:rsidP="00000000" w:rsidRDefault="00000000" w:rsidRPr="00000000" w14:paraId="0000003F">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Department for Science, Innovation and Technology (2025) </w:t>
      </w:r>
      <w:r w:rsidDel="00000000" w:rsidR="00000000" w:rsidRPr="00000000">
        <w:rPr>
          <w:rFonts w:ascii="Arial" w:cs="Arial" w:eastAsia="Arial" w:hAnsi="Arial"/>
          <w:i w:val="1"/>
          <w:iCs w:val="1"/>
          <w:sz w:val="22"/>
          <w:szCs w:val="22"/>
          <w:rtl w:val="0"/>
        </w:rPr>
        <w:t xml:space="preserve">Digital Inclusion Action Plan: First Steps</w:t>
      </w:r>
      <w:r w:rsidDel="00000000" w:rsidR="00000000" w:rsidRPr="00000000">
        <w:rPr>
          <w:rFonts w:ascii="Arial" w:cs="Arial" w:eastAsia="Arial" w:hAnsi="Arial"/>
          <w:sz w:val="22"/>
          <w:szCs w:val="22"/>
          <w:rtl w:val="0"/>
        </w:rPr>
        <w:t xml:space="preserve">. London: Department for Science, Innovation and Technology. Available at:</w:t>
      </w:r>
      <w:hyperlink r:id="rId10">
        <w:r w:rsidDel="00000000" w:rsidR="00000000" w:rsidRPr="00000000">
          <w:rPr>
            <w:rFonts w:ascii="Arial" w:cs="Arial" w:eastAsia="Arial" w:hAnsi="Arial"/>
            <w:sz w:val="22"/>
            <w:szCs w:val="22"/>
            <w:rtl w:val="0"/>
          </w:rPr>
          <w:t xml:space="preserve"> </w:t>
        </w:r>
      </w:hyperlink>
      <w:hyperlink r:id="rId11">
        <w:r w:rsidDel="00000000" w:rsidR="00000000" w:rsidRPr="00000000">
          <w:rPr>
            <w:rFonts w:ascii="Arial" w:cs="Arial" w:eastAsia="Arial" w:hAnsi="Arial"/>
            <w:color w:val="1155cc"/>
            <w:sz w:val="22"/>
            <w:szCs w:val="22"/>
            <w:u w:val="single"/>
            <w:rtl w:val="0"/>
          </w:rPr>
          <w:t xml:space="preserve">GOV.UK – Digital Inclusion Action Plan</w:t>
        </w:r>
      </w:hyperlink>
      <w:r w:rsidDel="00000000" w:rsidR="00000000" w:rsidRPr="00000000">
        <w:rPr>
          <w:rFonts w:ascii="Arial" w:cs="Arial" w:eastAsia="Arial" w:hAnsi="Arial"/>
          <w:sz w:val="22"/>
          <w:szCs w:val="22"/>
          <w:rtl w:val="0"/>
        </w:rPr>
        <w:t xml:space="preserve"> (Accessed: 13 August 2026).</w:t>
      </w:r>
    </w:p>
    <w:p w:rsidR="00000000" w:rsidDel="00000000" w:rsidP="00000000" w:rsidRDefault="00000000" w:rsidRPr="00000000" w14:paraId="00000040">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NHS England (2023) </w:t>
      </w:r>
      <w:r w:rsidDel="00000000" w:rsidR="00000000" w:rsidRPr="00000000">
        <w:rPr>
          <w:rFonts w:ascii="Arial" w:cs="Arial" w:eastAsia="Arial" w:hAnsi="Arial"/>
          <w:i w:val="1"/>
          <w:iCs w:val="1"/>
          <w:sz w:val="22"/>
          <w:szCs w:val="22"/>
          <w:rtl w:val="0"/>
        </w:rPr>
        <w:t xml:space="preserve">Inclusive digital healthcare: a framework for NHS action on digital inclusion</w:t>
      </w:r>
      <w:r w:rsidDel="00000000" w:rsidR="00000000" w:rsidRPr="00000000">
        <w:rPr>
          <w:rFonts w:ascii="Arial" w:cs="Arial" w:eastAsia="Arial" w:hAnsi="Arial"/>
          <w:sz w:val="22"/>
          <w:szCs w:val="22"/>
          <w:rtl w:val="0"/>
        </w:rPr>
        <w:t xml:space="preserve">. London: NHS England. Available at:</w:t>
      </w:r>
      <w:hyperlink r:id="rId12">
        <w:r w:rsidDel="00000000" w:rsidR="00000000" w:rsidRPr="00000000">
          <w:rPr>
            <w:rFonts w:ascii="Arial" w:cs="Arial" w:eastAsia="Arial" w:hAnsi="Arial"/>
            <w:sz w:val="22"/>
            <w:szCs w:val="22"/>
            <w:rtl w:val="0"/>
          </w:rPr>
          <w:t xml:space="preserve"> </w:t>
        </w:r>
      </w:hyperlink>
      <w:hyperlink r:id="rId13">
        <w:r w:rsidDel="00000000" w:rsidR="00000000" w:rsidRPr="00000000">
          <w:rPr>
            <w:rFonts w:ascii="Arial" w:cs="Arial" w:eastAsia="Arial" w:hAnsi="Arial"/>
            <w:color w:val="1155cc"/>
            <w:sz w:val="22"/>
            <w:szCs w:val="22"/>
            <w:u w:val="single"/>
            <w:rtl w:val="0"/>
          </w:rPr>
          <w:t xml:space="preserve">NHS England – Inclusive digital healthcare</w:t>
        </w:r>
      </w:hyperlink>
      <w:r w:rsidDel="00000000" w:rsidR="00000000" w:rsidRPr="00000000">
        <w:rPr>
          <w:rFonts w:ascii="Arial" w:cs="Arial" w:eastAsia="Arial" w:hAnsi="Arial"/>
          <w:sz w:val="22"/>
          <w:szCs w:val="22"/>
          <w:rtl w:val="0"/>
        </w:rPr>
        <w:t xml:space="preserve"> (Accessed: 13 August 2026).</w:t>
      </w:r>
    </w:p>
    <w:p w:rsidR="00000000" w:rsidDel="00000000" w:rsidP="00000000" w:rsidRDefault="00000000" w:rsidRPr="00000000" w14:paraId="00000041">
      <w:pPr>
        <w:tabs>
          <w:tab w:val="left" w:leader="none" w:pos="6540"/>
        </w:tabs>
        <w:spacing w:after="240" w:before="240" w:line="36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Ofcom (2025) </w:t>
      </w:r>
      <w:r w:rsidDel="00000000" w:rsidR="00000000" w:rsidRPr="00000000">
        <w:rPr>
          <w:rFonts w:ascii="Arial" w:cs="Arial" w:eastAsia="Arial" w:hAnsi="Arial"/>
          <w:i w:val="1"/>
          <w:iCs w:val="1"/>
          <w:sz w:val="22"/>
          <w:szCs w:val="22"/>
          <w:rtl w:val="0"/>
        </w:rPr>
        <w:t xml:space="preserve">Exploring how people in the UK are affected by digital disadvantage</w:t>
      </w:r>
      <w:r w:rsidDel="00000000" w:rsidR="00000000" w:rsidRPr="00000000">
        <w:rPr>
          <w:rFonts w:ascii="Arial" w:cs="Arial" w:eastAsia="Arial" w:hAnsi="Arial"/>
          <w:sz w:val="22"/>
          <w:szCs w:val="22"/>
          <w:rtl w:val="0"/>
        </w:rPr>
        <w:t xml:space="preserve">. London: Ofcom. Available at:</w:t>
      </w:r>
      <w:hyperlink r:id="rId14">
        <w:r w:rsidDel="00000000" w:rsidR="00000000" w:rsidRPr="00000000">
          <w:rPr>
            <w:rFonts w:ascii="Arial" w:cs="Arial" w:eastAsia="Arial" w:hAnsi="Arial"/>
            <w:sz w:val="22"/>
            <w:szCs w:val="22"/>
            <w:rtl w:val="0"/>
          </w:rPr>
          <w:t xml:space="preserve"> </w:t>
        </w:r>
      </w:hyperlink>
      <w:hyperlink r:id="rId15">
        <w:r w:rsidDel="00000000" w:rsidR="00000000" w:rsidRPr="00000000">
          <w:rPr>
            <w:rFonts w:ascii="Arial" w:cs="Arial" w:eastAsia="Arial" w:hAnsi="Arial"/>
            <w:color w:val="1155cc"/>
            <w:sz w:val="22"/>
            <w:szCs w:val="22"/>
            <w:u w:val="single"/>
            <w:rtl w:val="0"/>
          </w:rPr>
          <w:t xml:space="preserve">Ofcom – Digital disadvantage</w:t>
        </w:r>
      </w:hyperlink>
      <w:r w:rsidDel="00000000" w:rsidR="00000000" w:rsidRPr="00000000">
        <w:rPr>
          <w:rFonts w:ascii="Arial" w:cs="Arial" w:eastAsia="Arial" w:hAnsi="Arial"/>
          <w:sz w:val="22"/>
          <w:szCs w:val="22"/>
          <w:rtl w:val="0"/>
        </w:rPr>
        <w:t xml:space="preserve"> (Accessed: 13 August 2026).</w:t>
      </w:r>
    </w:p>
    <w:p w:rsidR="00000000" w:rsidDel="00000000" w:rsidP="00000000" w:rsidRDefault="00000000" w:rsidRPr="00000000" w14:paraId="00000042">
      <w:pPr>
        <w:tabs>
          <w:tab w:val="left" w:leader="none" w:pos="6540"/>
        </w:tabs>
        <w:spacing w:line="360" w:lineRule="auto"/>
        <w:rPr>
          <w:sz w:val="22"/>
          <w:szCs w:val="22"/>
        </w:rPr>
      </w:pPr>
      <w:r w:rsidDel="00000000" w:rsidR="00000000" w:rsidRPr="00000000">
        <w:rPr>
          <w:rtl w:val="0"/>
        </w:rPr>
      </w:r>
    </w:p>
    <w:sectPr>
      <w:footerReference r:id="rId16" w:type="default"/>
      <w:pgSz w:h="16838" w:w="11906" w:orient="portrait"/>
      <w:pgMar w:bottom="1440" w:top="1440" w:left="1440" w:right="144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Times New Roman"/>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043">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center"/>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pPr>
    <w:r w:rsidDel="00000000" w:rsidR="00000000" w:rsidRPr="00000000">
      <w:rPr>
        <w:rFonts w:ascii="Times New Roman" w:cs="Times New Roman" w:eastAsia="Times New Roman" w:hAnsi="Times New Roman"/>
        <w:b w:val="0"/>
        <w:bCs w:val="0"/>
        <w:i w:val="0"/>
        <w:iCs w:val="0"/>
        <w:smallCaps w:val="0"/>
        <w:strike w:val="0"/>
        <w:color w:val="000000"/>
        <w:sz w:val="22"/>
        <w:szCs w:val="22"/>
        <w:u w:val="none"/>
        <w:shd w:fill="auto" w:val="clear"/>
        <w:vertAlign w:val="baseline"/>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044">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bCs w:val="0"/>
        <w:i w:val="0"/>
        <w:iCs w:val="0"/>
        <w:smallCaps w:val="0"/>
        <w:strike w:val="0"/>
        <w:color w:val="000000"/>
        <w:sz w:val="24"/>
        <w:szCs w:val="24"/>
        <w:u w:val="none"/>
        <w:shd w:fill="auto" w:val="clear"/>
        <w:vertAlign w:val="baseline"/>
      </w:rPr>
    </w:pPr>
    <w:r w:rsidDel="00000000" w:rsidR="00000000" w:rsidRPr="00000000">
      <w:rPr>
        <w:rtl w:val="0"/>
      </w:rPr>
    </w:r>
  </w:p>
</w:ft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after="160" w:line="259"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spacing w:after="0" w:before="240" w:line="360" w:lineRule="auto"/>
    </w:pPr>
    <w:rPr>
      <w:rFonts w:ascii="Arial" w:cs="Arial" w:eastAsia="Arial" w:hAnsi="Arial"/>
      <w:b w:val="1"/>
      <w:bCs w:val="1"/>
      <w:sz w:val="32"/>
      <w:szCs w:val="32"/>
    </w:rPr>
  </w:style>
  <w:style w:type="paragraph" w:styleId="Heading2">
    <w:name w:val="heading 2"/>
    <w:basedOn w:val="Normal"/>
    <w:next w:val="Normal"/>
    <w:pPr>
      <w:keepNext w:val="1"/>
      <w:keepLines w:val="1"/>
      <w:spacing w:after="0" w:before="40" w:lineRule="auto"/>
    </w:pPr>
    <w:rPr>
      <w:rFonts w:ascii="Arial" w:cs="Arial" w:eastAsia="Arial" w:hAnsi="Arial"/>
      <w:b w:val="1"/>
      <w:bCs w:val="1"/>
      <w:i w:val="1"/>
      <w:iCs w:val="1"/>
      <w:color w:val="2f5496"/>
      <w:sz w:val="26"/>
      <w:szCs w:val="26"/>
    </w:rPr>
  </w:style>
  <w:style w:type="paragraph" w:styleId="Heading3">
    <w:name w:val="heading 3"/>
    <w:basedOn w:val="Normal"/>
    <w:next w:val="Normal"/>
    <w:pPr>
      <w:spacing w:line="240" w:lineRule="auto"/>
    </w:pPr>
    <w:rPr>
      <w:rFonts w:ascii="Arial" w:cs="Arial" w:eastAsia="Arial" w:hAnsi="Arial"/>
      <w:b w:val="1"/>
      <w:bCs w:val="1"/>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eading1Char" w:customStyle="1">
    <w:name w:val="Heading 1 Char"/>
    <w:basedOn w:val="DefaultParagraphFont"/>
    <w:link w:val="Heading1"/>
    <w:uiPriority w:val="9"/>
    <w:rsid w:val="00E620E7"/>
    <w:rPr>
      <w:rFonts w:ascii="Arial" w:hAnsi="Arial" w:eastAsiaTheme="majorEastAsia"/>
      <w:b w:val="1"/>
      <w:sz w:val="32"/>
    </w:rPr>
  </w:style>
  <w:style w:type="character" w:styleId="Heading2Char" w:customStyle="1">
    <w:name w:val="Heading 2 Char"/>
    <w:basedOn w:val="DefaultParagraphFont"/>
    <w:link w:val="Heading2"/>
    <w:uiPriority w:val="9"/>
    <w:rsid w:val="00A035FD"/>
    <w:rPr>
      <w:rFonts w:ascii="Arial" w:hAnsi="Arial" w:cstheme="majorBidi" w:eastAsiaTheme="majorEastAsia"/>
      <w:b w:val="1"/>
      <w:i w:val="1"/>
      <w:color w:val="2f5496" w:themeColor="accent1" w:themeShade="0000BF"/>
      <w:sz w:val="26"/>
      <w:szCs w:val="26"/>
    </w:rPr>
  </w:style>
  <w:style w:type="character" w:styleId="Heading3Char" w:customStyle="1">
    <w:name w:val="Heading 3 Char"/>
    <w:basedOn w:val="DefaultParagraphFont"/>
    <w:link w:val="Heading3"/>
    <w:uiPriority w:val="9"/>
    <w:rsid w:val="002C3965"/>
    <w:rPr>
      <w:rFonts w:ascii="Arial" w:cs="Times New Roman" w:eastAsia="Times New Roman" w:hAnsi="Arial"/>
      <w:b w:val="1"/>
      <w:bCs w:val="1"/>
      <w:szCs w:val="27"/>
      <w:lang w:eastAsia="en-GB"/>
    </w:rPr>
  </w:style>
  <w:style w:type="paragraph" w:styleId="Header">
    <w:name w:val="header"/>
    <w:basedOn w:val="Normal"/>
    <w:link w:val="HeaderChar"/>
    <w:uiPriority w:val="99"/>
    <w:unhideWhenUsed w:val="1"/>
    <w:rsid w:val="003E4ECF"/>
    <w:pPr>
      <w:tabs>
        <w:tab w:val="center" w:pos="4513"/>
        <w:tab w:val="right" w:pos="9026"/>
      </w:tabs>
      <w:spacing w:after="0" w:line="240" w:lineRule="auto"/>
    </w:pPr>
  </w:style>
  <w:style w:type="character" w:styleId="HeaderChar" w:customStyle="1">
    <w:name w:val="Header Char"/>
    <w:basedOn w:val="DefaultParagraphFont"/>
    <w:link w:val="Header"/>
    <w:uiPriority w:val="99"/>
    <w:rsid w:val="003E4ECF"/>
  </w:style>
  <w:style w:type="paragraph" w:styleId="Footer">
    <w:name w:val="footer"/>
    <w:basedOn w:val="Normal"/>
    <w:link w:val="FooterChar"/>
    <w:uiPriority w:val="99"/>
    <w:unhideWhenUsed w:val="1"/>
    <w:rsid w:val="003E4ECF"/>
    <w:pPr>
      <w:tabs>
        <w:tab w:val="center" w:pos="4513"/>
        <w:tab w:val="right" w:pos="9026"/>
      </w:tabs>
      <w:spacing w:after="0" w:line="240" w:lineRule="auto"/>
    </w:pPr>
  </w:style>
  <w:style w:type="character" w:styleId="FooterChar" w:customStyle="1">
    <w:name w:val="Footer Char"/>
    <w:basedOn w:val="DefaultParagraphFont"/>
    <w:link w:val="Footer"/>
    <w:uiPriority w:val="99"/>
    <w:rsid w:val="003E4ECF"/>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1" Type="http://schemas.openxmlformats.org/officeDocument/2006/relationships/hyperlink" Target="https://www.gov.uk/government/publications/digital-inclusion-action-plan-first-steps?utm_source=chatgpt.com" TargetMode="External"/><Relationship Id="rId10" Type="http://schemas.openxmlformats.org/officeDocument/2006/relationships/hyperlink" Target="https://www.gov.uk/government/publications/digital-inclusion-action-plan-first-steps?utm_source=chatgpt.com" TargetMode="External"/><Relationship Id="rId13" Type="http://schemas.openxmlformats.org/officeDocument/2006/relationships/hyperlink" Target="https://www.england.nhs.uk/publication/inclusive-digital-healthcare-a-framework-for-nhs-action-on-digital-inclusion/?utm_source=chatgpt.com" TargetMode="External"/><Relationship Id="rId12" Type="http://schemas.openxmlformats.org/officeDocument/2006/relationships/hyperlink" Target="https://www.england.nhs.uk/publication/inclusive-digital-healthcare-a-framework-for-nhs-action-on-digital-inclusion/?utm_source=chatgpt.com"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www.gov.uk/government/publications/send-code-of-practice-0-to-25?utm_source=chatgpt.com" TargetMode="External"/><Relationship Id="rId15" Type="http://schemas.openxmlformats.org/officeDocument/2006/relationships/hyperlink" Target="https://www.ofcom.org.uk/internet-based-services/technology/exploring-how-people-in-the-uk-are-affected-by-digital-disadvantage?language=en&amp;utm_source=chatgpt.com" TargetMode="External"/><Relationship Id="rId14" Type="http://schemas.openxmlformats.org/officeDocument/2006/relationships/hyperlink" Target="https://www.ofcom.org.uk/internet-based-services/technology/exploring-how-people-in-the-uk-are-affected-by-digital-disadvantage?language=en&amp;utm_source=chatgpt.com" TargetMode="External"/><Relationship Id="rId16" Type="http://schemas.openxmlformats.org/officeDocument/2006/relationships/footer" Target="foot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 Id="rId8" Type="http://schemas.openxmlformats.org/officeDocument/2006/relationships/hyperlink" Target="https://www.gov.uk/government/publications/send-code-of-practice-0-to-25?utm_source=chatgpt.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K8qn+7q1weVM+DG4D2/ok9wjyMg==">CgMxLjAyDmguNHVsM3lmM3dhOGh5Mg5oLm56djBjYWUyOTVpbDIOaC5jajJneXFsNzk1MWMyDmgudjJqdnBzdWlud3EzMg5oLnFrMTgwOTlkbm5hZDIOaC5tcjE1OGw2aXFtNWw4AHIhMVVQTHZrLVhMUk9vclJ1ZzVhLTBLLWxtWXdQUWVFX3cw</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2026-08-07T09:16:00Z</dcterms:created>
  <dc:creator>Eleni Koutsogeorgou</dc:creator>
</cp:coreProperties>
</file>