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E028C" w14:textId="77777777" w:rsidR="00962F68" w:rsidRPr="00215457" w:rsidRDefault="00664B6F">
      <w:pPr>
        <w:spacing w:after="160" w:line="259" w:lineRule="auto"/>
        <w:jc w:val="left"/>
        <w:rPr>
          <w:rFonts w:ascii="Calibri" w:eastAsia="Calibri" w:hAnsi="Calibri" w:cs="Calibri"/>
          <w:color w:val="0D0D0D" w:themeColor="text1" w:themeTint="F2"/>
          <w:sz w:val="22"/>
          <w:szCs w:val="22"/>
          <w:lang w:val="en-GB"/>
        </w:rPr>
      </w:pPr>
      <w:r w:rsidRPr="00215457">
        <w:rPr>
          <w:rFonts w:ascii="Calibri" w:eastAsia="Calibri" w:hAnsi="Calibri" w:cs="Calibri"/>
          <w:noProof/>
          <w:color w:val="0D0D0D" w:themeColor="text1" w:themeTint="F2"/>
          <w:sz w:val="22"/>
          <w:szCs w:val="22"/>
          <w:lang w:val="en-GB"/>
        </w:rPr>
        <w:drawing>
          <wp:inline distT="114300" distB="114300" distL="114300" distR="114300" wp14:anchorId="4FD9D596" wp14:editId="72E3B554">
            <wp:extent cx="5334000" cy="18954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l="1876" t="4108" r="2557" b="5021"/>
                    <a:stretch>
                      <a:fillRect/>
                    </a:stretch>
                  </pic:blipFill>
                  <pic:spPr>
                    <a:xfrm>
                      <a:off x="0" y="0"/>
                      <a:ext cx="5334000" cy="1895475"/>
                    </a:xfrm>
                    <a:prstGeom prst="rect">
                      <a:avLst/>
                    </a:prstGeom>
                    <a:ln/>
                  </pic:spPr>
                </pic:pic>
              </a:graphicData>
            </a:graphic>
          </wp:inline>
        </w:drawing>
      </w:r>
    </w:p>
    <w:p w14:paraId="48349D02" w14:textId="77777777" w:rsidR="00962F68" w:rsidRPr="00215457" w:rsidRDefault="00962F68">
      <w:pPr>
        <w:spacing w:after="160" w:line="259" w:lineRule="auto"/>
        <w:jc w:val="left"/>
        <w:rPr>
          <w:rFonts w:ascii="Calibri" w:eastAsia="Calibri" w:hAnsi="Calibri" w:cs="Calibri"/>
          <w:color w:val="0D0D0D" w:themeColor="text1" w:themeTint="F2"/>
          <w:sz w:val="22"/>
          <w:szCs w:val="22"/>
          <w:lang w:val="en-GB"/>
        </w:rPr>
      </w:pPr>
    </w:p>
    <w:p w14:paraId="25784200" w14:textId="77777777" w:rsidR="00962F68" w:rsidRPr="00215457" w:rsidRDefault="00962F68">
      <w:pPr>
        <w:spacing w:after="160" w:line="259" w:lineRule="auto"/>
        <w:jc w:val="left"/>
        <w:rPr>
          <w:rFonts w:ascii="Calibri" w:eastAsia="Calibri" w:hAnsi="Calibri" w:cs="Calibri"/>
          <w:color w:val="0D0D0D" w:themeColor="text1" w:themeTint="F2"/>
          <w:sz w:val="22"/>
          <w:szCs w:val="22"/>
          <w:lang w:val="en-GB"/>
        </w:rPr>
      </w:pPr>
    </w:p>
    <w:p w14:paraId="1188BF89" w14:textId="77777777" w:rsidR="00962F68" w:rsidRPr="00215457" w:rsidRDefault="00664B6F">
      <w:pPr>
        <w:spacing w:after="160" w:line="259" w:lineRule="auto"/>
        <w:jc w:val="left"/>
        <w:rPr>
          <w:b/>
          <w:color w:val="0D0D0D" w:themeColor="text1" w:themeTint="F2"/>
          <w:sz w:val="56"/>
          <w:szCs w:val="56"/>
          <w:lang w:val="en-GB"/>
        </w:rPr>
      </w:pPr>
      <w:r w:rsidRPr="00215457">
        <w:rPr>
          <w:b/>
          <w:color w:val="0D0D0D" w:themeColor="text1" w:themeTint="F2"/>
          <w:sz w:val="56"/>
          <w:szCs w:val="56"/>
          <w:lang w:val="en-GB"/>
        </w:rPr>
        <w:t xml:space="preserve">Master of Business Administration </w:t>
      </w:r>
    </w:p>
    <w:p w14:paraId="4628B3D3" w14:textId="77777777" w:rsidR="00962F68" w:rsidRPr="00215457" w:rsidRDefault="00664B6F">
      <w:pPr>
        <w:jc w:val="center"/>
        <w:rPr>
          <w:i/>
          <w:color w:val="0D0D0D" w:themeColor="text1" w:themeTint="F2"/>
          <w:sz w:val="22"/>
          <w:szCs w:val="22"/>
          <w:lang w:val="en-GB"/>
        </w:rPr>
      </w:pPr>
      <w:r w:rsidRPr="00215457">
        <w:rPr>
          <w:b/>
          <w:color w:val="0D0D0D" w:themeColor="text1" w:themeTint="F2"/>
          <w:sz w:val="32"/>
          <w:szCs w:val="32"/>
          <w:lang w:val="en-GB"/>
        </w:rPr>
        <w:t>ASSESSMENT COMPONENT 1 - INDIVIDUAL REPORT</w:t>
      </w:r>
    </w:p>
    <w:p w14:paraId="22878351" w14:textId="77777777" w:rsidR="00962F68" w:rsidRPr="00215457" w:rsidRDefault="00962F68">
      <w:pPr>
        <w:spacing w:after="160" w:line="600" w:lineRule="auto"/>
        <w:jc w:val="left"/>
        <w:rPr>
          <w:b/>
          <w:i/>
          <w:color w:val="0D0D0D" w:themeColor="text1" w:themeTint="F2"/>
          <w:sz w:val="22"/>
          <w:szCs w:val="22"/>
          <w:lang w:val="en-GB"/>
        </w:rPr>
      </w:pPr>
    </w:p>
    <w:p w14:paraId="43C56FDA" w14:textId="77777777" w:rsidR="00962F68" w:rsidRPr="00215457" w:rsidRDefault="00664B6F">
      <w:pPr>
        <w:spacing w:after="160" w:line="600" w:lineRule="auto"/>
        <w:jc w:val="left"/>
        <w:rPr>
          <w:i/>
          <w:color w:val="0D0D0D" w:themeColor="text1" w:themeTint="F2"/>
          <w:sz w:val="22"/>
          <w:szCs w:val="22"/>
          <w:lang w:val="en-GB"/>
        </w:rPr>
      </w:pPr>
      <w:r w:rsidRPr="00215457">
        <w:rPr>
          <w:b/>
          <w:i/>
          <w:color w:val="0D0D0D" w:themeColor="text1" w:themeTint="F2"/>
          <w:sz w:val="22"/>
          <w:szCs w:val="22"/>
          <w:lang w:val="en-GB"/>
        </w:rPr>
        <w:t xml:space="preserve">Student Name: </w:t>
      </w:r>
      <w:r w:rsidRPr="00215457">
        <w:rPr>
          <w:i/>
          <w:color w:val="0D0D0D" w:themeColor="text1" w:themeTint="F2"/>
          <w:sz w:val="22"/>
          <w:szCs w:val="22"/>
          <w:lang w:val="en-GB"/>
        </w:rPr>
        <w:t>BHARAT LILA KADACHHA</w:t>
      </w:r>
    </w:p>
    <w:p w14:paraId="0860C53B" w14:textId="77777777" w:rsidR="00962F68" w:rsidRPr="00215457" w:rsidRDefault="00664B6F">
      <w:pPr>
        <w:spacing w:after="160" w:line="600" w:lineRule="auto"/>
        <w:jc w:val="left"/>
        <w:rPr>
          <w:i/>
          <w:color w:val="0D0D0D" w:themeColor="text1" w:themeTint="F2"/>
          <w:sz w:val="22"/>
          <w:szCs w:val="22"/>
          <w:lang w:val="en-GB"/>
        </w:rPr>
      </w:pPr>
      <w:r w:rsidRPr="00215457">
        <w:rPr>
          <w:b/>
          <w:i/>
          <w:color w:val="0D0D0D" w:themeColor="text1" w:themeTint="F2"/>
          <w:sz w:val="22"/>
          <w:szCs w:val="22"/>
          <w:lang w:val="en-GB"/>
        </w:rPr>
        <w:t xml:space="preserve">Student Number: </w:t>
      </w:r>
      <w:r w:rsidRPr="00215457">
        <w:rPr>
          <w:i/>
          <w:color w:val="0D0D0D" w:themeColor="text1" w:themeTint="F2"/>
          <w:sz w:val="22"/>
          <w:szCs w:val="22"/>
          <w:lang w:val="en-GB"/>
        </w:rPr>
        <w:t>2427111</w:t>
      </w:r>
    </w:p>
    <w:p w14:paraId="037B2368" w14:textId="77777777" w:rsidR="00962F68" w:rsidRPr="00215457" w:rsidRDefault="00664B6F">
      <w:pPr>
        <w:spacing w:after="160" w:line="600" w:lineRule="auto"/>
        <w:jc w:val="left"/>
        <w:rPr>
          <w:i/>
          <w:color w:val="0D0D0D" w:themeColor="text1" w:themeTint="F2"/>
          <w:sz w:val="22"/>
          <w:szCs w:val="22"/>
          <w:lang w:val="en-GB"/>
        </w:rPr>
      </w:pPr>
      <w:r w:rsidRPr="00215457">
        <w:rPr>
          <w:b/>
          <w:i/>
          <w:color w:val="0D0D0D" w:themeColor="text1" w:themeTint="F2"/>
          <w:sz w:val="22"/>
          <w:szCs w:val="22"/>
          <w:lang w:val="en-GB"/>
        </w:rPr>
        <w:t>Course Name:</w:t>
      </w:r>
      <w:r w:rsidRPr="00215457">
        <w:rPr>
          <w:i/>
          <w:color w:val="0D0D0D" w:themeColor="text1" w:themeTint="F2"/>
          <w:sz w:val="22"/>
          <w:szCs w:val="22"/>
          <w:lang w:val="en-GB"/>
        </w:rPr>
        <w:t xml:space="preserve"> MBA International Business</w:t>
      </w:r>
    </w:p>
    <w:p w14:paraId="2609FE63" w14:textId="77777777" w:rsidR="00962F68" w:rsidRPr="00215457" w:rsidRDefault="00664B6F">
      <w:pPr>
        <w:spacing w:after="160" w:line="600" w:lineRule="auto"/>
        <w:jc w:val="left"/>
        <w:rPr>
          <w:i/>
          <w:color w:val="0D0D0D" w:themeColor="text1" w:themeTint="F2"/>
          <w:sz w:val="22"/>
          <w:szCs w:val="22"/>
          <w:lang w:val="en-GB"/>
        </w:rPr>
      </w:pPr>
      <w:r w:rsidRPr="00215457">
        <w:rPr>
          <w:b/>
          <w:i/>
          <w:color w:val="0D0D0D" w:themeColor="text1" w:themeTint="F2"/>
          <w:sz w:val="22"/>
          <w:szCs w:val="22"/>
          <w:lang w:val="en-GB"/>
        </w:rPr>
        <w:t xml:space="preserve">Lecturer Name: </w:t>
      </w:r>
      <w:r w:rsidRPr="00215457">
        <w:rPr>
          <w:i/>
          <w:color w:val="0D0D0D" w:themeColor="text1" w:themeTint="F2"/>
          <w:sz w:val="22"/>
          <w:szCs w:val="22"/>
          <w:lang w:val="en-GB"/>
        </w:rPr>
        <w:t>Nishi Ramsurrun / Dr Gladius Kulothungan/ Dr Hoang Nguyen</w:t>
      </w:r>
    </w:p>
    <w:p w14:paraId="6870D8E1" w14:textId="77777777" w:rsidR="00962F68" w:rsidRPr="00215457" w:rsidRDefault="00664B6F">
      <w:pPr>
        <w:spacing w:after="160" w:line="600" w:lineRule="auto"/>
        <w:jc w:val="left"/>
        <w:rPr>
          <w:i/>
          <w:color w:val="0D0D0D" w:themeColor="text1" w:themeTint="F2"/>
          <w:sz w:val="22"/>
          <w:szCs w:val="22"/>
          <w:lang w:val="en-GB"/>
        </w:rPr>
      </w:pPr>
      <w:r w:rsidRPr="00215457">
        <w:rPr>
          <w:b/>
          <w:i/>
          <w:color w:val="0D0D0D" w:themeColor="text1" w:themeTint="F2"/>
          <w:sz w:val="22"/>
          <w:szCs w:val="22"/>
          <w:lang w:val="en-GB"/>
        </w:rPr>
        <w:t>Term</w:t>
      </w:r>
      <w:r w:rsidRPr="00215457">
        <w:rPr>
          <w:i/>
          <w:color w:val="0D0D0D" w:themeColor="text1" w:themeTint="F2"/>
          <w:sz w:val="22"/>
          <w:szCs w:val="22"/>
          <w:lang w:val="en-GB"/>
        </w:rPr>
        <w:t>: October 2024</w:t>
      </w:r>
    </w:p>
    <w:p w14:paraId="4C3D236D" w14:textId="77777777" w:rsidR="00962F68" w:rsidRPr="00215457" w:rsidRDefault="00664B6F">
      <w:pPr>
        <w:spacing w:after="160" w:line="600" w:lineRule="auto"/>
        <w:jc w:val="left"/>
        <w:rPr>
          <w:i/>
          <w:color w:val="0D0D0D" w:themeColor="text1" w:themeTint="F2"/>
          <w:sz w:val="22"/>
          <w:szCs w:val="22"/>
          <w:lang w:val="en-GB"/>
        </w:rPr>
      </w:pPr>
      <w:r w:rsidRPr="00215457">
        <w:rPr>
          <w:b/>
          <w:i/>
          <w:color w:val="0D0D0D" w:themeColor="text1" w:themeTint="F2"/>
          <w:sz w:val="22"/>
          <w:szCs w:val="22"/>
          <w:lang w:val="en-GB"/>
        </w:rPr>
        <w:t>Word count: 2500</w:t>
      </w:r>
    </w:p>
    <w:p w14:paraId="6084F7D2" w14:textId="77777777" w:rsidR="00962F68" w:rsidRPr="00215457" w:rsidRDefault="00664B6F">
      <w:pPr>
        <w:pStyle w:val="Title"/>
        <w:jc w:val="left"/>
        <w:rPr>
          <w:color w:val="0D0D0D" w:themeColor="text1" w:themeTint="F2"/>
          <w:sz w:val="24"/>
          <w:szCs w:val="24"/>
          <w:highlight w:val="white"/>
          <w:lang w:val="en-GB"/>
        </w:rPr>
      </w:pPr>
      <w:bookmarkStart w:id="0" w:name="_gjdgxs" w:colFirst="0" w:colLast="0"/>
      <w:bookmarkEnd w:id="0"/>
      <w:r w:rsidRPr="00215457">
        <w:rPr>
          <w:i/>
          <w:color w:val="0D0D0D" w:themeColor="text1" w:themeTint="F2"/>
          <w:sz w:val="22"/>
          <w:szCs w:val="22"/>
          <w:highlight w:val="white"/>
          <w:lang w:val="en-GB"/>
        </w:rPr>
        <w:t xml:space="preserve">Submission deadline: </w:t>
      </w:r>
      <w:r w:rsidRPr="00215457">
        <w:rPr>
          <w:b w:val="0"/>
          <w:i/>
          <w:color w:val="0D0D0D" w:themeColor="text1" w:themeTint="F2"/>
          <w:sz w:val="22"/>
          <w:szCs w:val="22"/>
          <w:highlight w:val="white"/>
          <w:lang w:val="en-GB"/>
        </w:rPr>
        <w:t>21st March 2025</w:t>
      </w:r>
    </w:p>
    <w:p w14:paraId="68240A5B" w14:textId="77777777" w:rsidR="00962F68" w:rsidRPr="00215457" w:rsidRDefault="00664B6F">
      <w:pPr>
        <w:rPr>
          <w:b/>
          <w:color w:val="0D0D0D" w:themeColor="text1" w:themeTint="F2"/>
          <w:lang w:val="en-GB"/>
        </w:rPr>
      </w:pPr>
      <w:r w:rsidRPr="00215457">
        <w:rPr>
          <w:color w:val="0D0D0D" w:themeColor="text1" w:themeTint="F2"/>
          <w:lang w:val="en-GB"/>
        </w:rPr>
        <w:br w:type="page"/>
      </w:r>
    </w:p>
    <w:p w14:paraId="49AE2172" w14:textId="77777777" w:rsidR="00962F68" w:rsidRPr="00215457" w:rsidRDefault="00664B6F">
      <w:pPr>
        <w:spacing w:after="200"/>
        <w:jc w:val="center"/>
        <w:rPr>
          <w:b/>
          <w:color w:val="0D0D0D" w:themeColor="text1" w:themeTint="F2"/>
          <w:lang w:val="en-GB"/>
        </w:rPr>
      </w:pPr>
      <w:r w:rsidRPr="00215457">
        <w:rPr>
          <w:b/>
          <w:color w:val="0D0D0D" w:themeColor="text1" w:themeTint="F2"/>
          <w:lang w:val="en-GB"/>
        </w:rPr>
        <w:lastRenderedPageBreak/>
        <w:t xml:space="preserve">Executive Summary </w:t>
      </w:r>
    </w:p>
    <w:p w14:paraId="3845EAD5" w14:textId="77777777" w:rsidR="00962F68" w:rsidRPr="00215457" w:rsidRDefault="00664B6F">
      <w:pPr>
        <w:rPr>
          <w:color w:val="0D0D0D" w:themeColor="text1" w:themeTint="F2"/>
          <w:lang w:val="en-GB"/>
        </w:rPr>
      </w:pPr>
      <w:r w:rsidRPr="00215457">
        <w:rPr>
          <w:color w:val="0D0D0D" w:themeColor="text1" w:themeTint="F2"/>
          <w:lang w:val="en-GB"/>
        </w:rPr>
        <w:t>Workers of all generations have varying views on the receptivity of international assignments. The receptivity model includes skills, knowledge, professional characteristics and personal skills which scale the career development. Generation X has been found to appreciate face-to-face communication techniques because they grew up in a more conventional era. Finally, technology is essential to the work environment of all generations.  </w:t>
      </w:r>
    </w:p>
    <w:p w14:paraId="6D4EADBD" w14:textId="77777777" w:rsidR="00962F68" w:rsidRPr="00215457" w:rsidRDefault="00664B6F">
      <w:pPr>
        <w:spacing w:after="200"/>
        <w:jc w:val="left"/>
        <w:rPr>
          <w:b/>
          <w:color w:val="0D0D0D" w:themeColor="text1" w:themeTint="F2"/>
          <w:lang w:val="en-GB"/>
        </w:rPr>
      </w:pPr>
      <w:r w:rsidRPr="00215457">
        <w:rPr>
          <w:color w:val="0D0D0D" w:themeColor="text1" w:themeTint="F2"/>
          <w:lang w:val="en-GB"/>
        </w:rPr>
        <w:br w:type="page"/>
      </w:r>
    </w:p>
    <w:p w14:paraId="31E2C2F4" w14:textId="77777777" w:rsidR="00215457" w:rsidRPr="00215457" w:rsidRDefault="00664B6F" w:rsidP="00215457">
      <w:pPr>
        <w:spacing w:after="200"/>
        <w:jc w:val="center"/>
        <w:rPr>
          <w:noProof/>
          <w:color w:val="0D0D0D" w:themeColor="text1" w:themeTint="F2"/>
        </w:rPr>
      </w:pPr>
      <w:r w:rsidRPr="00215457">
        <w:rPr>
          <w:b/>
          <w:color w:val="0D0D0D" w:themeColor="text1" w:themeTint="F2"/>
          <w:lang w:val="en-GB"/>
        </w:rPr>
        <w:lastRenderedPageBreak/>
        <w:t xml:space="preserve">Table of Contents </w:t>
      </w:r>
      <w:r w:rsidR="00215457" w:rsidRPr="00215457">
        <w:rPr>
          <w:b/>
          <w:color w:val="0D0D0D" w:themeColor="text1" w:themeTint="F2"/>
          <w:lang w:val="en-GB"/>
        </w:rPr>
        <w:fldChar w:fldCharType="begin"/>
      </w:r>
      <w:r w:rsidR="00215457" w:rsidRPr="00215457">
        <w:rPr>
          <w:b/>
          <w:color w:val="0D0D0D" w:themeColor="text1" w:themeTint="F2"/>
          <w:lang w:val="en-GB"/>
        </w:rPr>
        <w:instrText xml:space="preserve"> TOC \o "1-2" \h \z \u </w:instrText>
      </w:r>
      <w:r w:rsidR="00215457" w:rsidRPr="00215457">
        <w:rPr>
          <w:b/>
          <w:color w:val="0D0D0D" w:themeColor="text1" w:themeTint="F2"/>
          <w:lang w:val="en-GB"/>
        </w:rPr>
        <w:fldChar w:fldCharType="separate"/>
      </w:r>
    </w:p>
    <w:p w14:paraId="635DE8F9" w14:textId="0FFE9B96" w:rsidR="00215457" w:rsidRPr="00215457" w:rsidRDefault="00215457">
      <w:pPr>
        <w:pStyle w:val="TOC1"/>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87" w:history="1">
        <w:r w:rsidRPr="00215457">
          <w:rPr>
            <w:rStyle w:val="Hyperlink"/>
            <w:noProof/>
            <w:color w:val="0D0D0D" w:themeColor="text1" w:themeTint="F2"/>
            <w:lang w:val="en-GB"/>
          </w:rPr>
          <w:t>Introduction</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_Toc193301487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4</w:t>
        </w:r>
        <w:r w:rsidRPr="00215457">
          <w:rPr>
            <w:noProof/>
            <w:webHidden/>
            <w:color w:val="0D0D0D" w:themeColor="text1" w:themeTint="F2"/>
          </w:rPr>
          <w:fldChar w:fldCharType="end"/>
        </w:r>
      </w:hyperlink>
    </w:p>
    <w:p w14:paraId="24BF8C99" w14:textId="44E01ACE" w:rsidR="00215457" w:rsidRPr="00215457" w:rsidRDefault="00215457">
      <w:pPr>
        <w:pStyle w:val="TOC1"/>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88" w:history="1">
        <w:r w:rsidRPr="00215457">
          <w:rPr>
            <w:rStyle w:val="Hyperlink"/>
            <w:noProof/>
            <w:color w:val="0D0D0D" w:themeColor="text1" w:themeTint="F2"/>
            <w:lang w:val="en-GB"/>
          </w:rPr>
          <w:t>1. Factors important to Gen X, Gen Y and Gen Z in their Receptivity to International Assignments</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_Toc193301488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4</w:t>
        </w:r>
        <w:r w:rsidRPr="00215457">
          <w:rPr>
            <w:noProof/>
            <w:webHidden/>
            <w:color w:val="0D0D0D" w:themeColor="text1" w:themeTint="F2"/>
          </w:rPr>
          <w:fldChar w:fldCharType="end"/>
        </w:r>
      </w:hyperlink>
    </w:p>
    <w:p w14:paraId="638191E3" w14:textId="47EACEAD" w:rsidR="00215457" w:rsidRPr="00215457" w:rsidRDefault="00215457">
      <w:pPr>
        <w:pStyle w:val="TOC2"/>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89" w:history="1">
        <w:r w:rsidRPr="00215457">
          <w:rPr>
            <w:rStyle w:val="Hyperlink"/>
            <w:noProof/>
            <w:color w:val="0D0D0D" w:themeColor="text1" w:themeTint="F2"/>
            <w:lang w:val="en-GB"/>
          </w:rPr>
          <w:t>i) Concept of Tarique’s Receptivity Framework</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_Toc193301489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4</w:t>
        </w:r>
        <w:r w:rsidRPr="00215457">
          <w:rPr>
            <w:noProof/>
            <w:webHidden/>
            <w:color w:val="0D0D0D" w:themeColor="text1" w:themeTint="F2"/>
          </w:rPr>
          <w:fldChar w:fldCharType="end"/>
        </w:r>
      </w:hyperlink>
    </w:p>
    <w:p w14:paraId="7CC6962A" w14:textId="666D88DC" w:rsidR="00215457" w:rsidRPr="00215457" w:rsidRDefault="00215457">
      <w:pPr>
        <w:pStyle w:val="TOC2"/>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0" w:history="1">
        <w:r w:rsidRPr="00215457">
          <w:rPr>
            <w:rStyle w:val="Hyperlink"/>
            <w:noProof/>
            <w:color w:val="0D0D0D" w:themeColor="text1" w:themeTint="F2"/>
            <w:lang w:val="en-GB"/>
          </w:rPr>
          <w:t>ii) Main Arguments with Examples</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_Toc193301490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6</w:t>
        </w:r>
        <w:r w:rsidRPr="00215457">
          <w:rPr>
            <w:noProof/>
            <w:webHidden/>
            <w:color w:val="0D0D0D" w:themeColor="text1" w:themeTint="F2"/>
          </w:rPr>
          <w:fldChar w:fldCharType="end"/>
        </w:r>
      </w:hyperlink>
    </w:p>
    <w:p w14:paraId="697BCE41" w14:textId="3F0EDDED" w:rsidR="00215457" w:rsidRPr="00215457" w:rsidRDefault="00215457">
      <w:pPr>
        <w:pStyle w:val="TOC2"/>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1" w:history="1">
        <w:r w:rsidRPr="00215457">
          <w:rPr>
            <w:rStyle w:val="Hyperlink"/>
            <w:noProof/>
            <w:color w:val="0D0D0D" w:themeColor="text1" w:themeTint="F2"/>
            <w:lang w:val="en-GB"/>
          </w:rPr>
          <w:t>iii) Differences in Receptivity Across Generations of Workforce</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_Toc193301491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7</w:t>
        </w:r>
        <w:r w:rsidRPr="00215457">
          <w:rPr>
            <w:noProof/>
            <w:webHidden/>
            <w:color w:val="0D0D0D" w:themeColor="text1" w:themeTint="F2"/>
          </w:rPr>
          <w:fldChar w:fldCharType="end"/>
        </w:r>
      </w:hyperlink>
    </w:p>
    <w:p w14:paraId="4DA47D56" w14:textId="217021F3" w:rsidR="00215457" w:rsidRPr="00215457" w:rsidRDefault="00215457">
      <w:pPr>
        <w:pStyle w:val="TOC2"/>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2" w:history="1">
        <w:r w:rsidRPr="00215457">
          <w:rPr>
            <w:rStyle w:val="Hyperlink"/>
            <w:noProof/>
            <w:color w:val="0D0D0D" w:themeColor="text1" w:themeTint="F2"/>
            <w:lang w:val="en-GB"/>
          </w:rPr>
          <w:t>iv) Technological Adaptation</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_Toc193301492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8</w:t>
        </w:r>
        <w:r w:rsidRPr="00215457">
          <w:rPr>
            <w:noProof/>
            <w:webHidden/>
            <w:color w:val="0D0D0D" w:themeColor="text1" w:themeTint="F2"/>
          </w:rPr>
          <w:fldChar w:fldCharType="end"/>
        </w:r>
      </w:hyperlink>
    </w:p>
    <w:p w14:paraId="3A693165" w14:textId="0CB41B96" w:rsidR="00215457" w:rsidRPr="00215457" w:rsidRDefault="00215457">
      <w:pPr>
        <w:pStyle w:val="TOC2"/>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3" w:history="1">
        <w:r w:rsidRPr="00215457">
          <w:rPr>
            <w:rStyle w:val="Hyperlink"/>
            <w:noProof/>
            <w:color w:val="0D0D0D" w:themeColor="text1" w:themeTint="F2"/>
            <w:lang w:val="en-GB"/>
          </w:rPr>
          <w:t>v) Real-world HR strategies</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_Toc193301493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8</w:t>
        </w:r>
        <w:r w:rsidRPr="00215457">
          <w:rPr>
            <w:noProof/>
            <w:webHidden/>
            <w:color w:val="0D0D0D" w:themeColor="text1" w:themeTint="F2"/>
          </w:rPr>
          <w:fldChar w:fldCharType="end"/>
        </w:r>
      </w:hyperlink>
    </w:p>
    <w:p w14:paraId="7098D1C5" w14:textId="553DC15F" w:rsidR="00215457" w:rsidRPr="00215457" w:rsidRDefault="00215457">
      <w:pPr>
        <w:pStyle w:val="TOC1"/>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4" w:history="1">
        <w:r w:rsidRPr="00215457">
          <w:rPr>
            <w:rStyle w:val="Hyperlink"/>
            <w:noProof/>
            <w:color w:val="0D0D0D" w:themeColor="text1" w:themeTint="F2"/>
            <w:lang w:val="en-GB"/>
          </w:rPr>
          <w:t>2. Critical Discussion on How Factors such as Culture, Personality and Skills/Experience may Impact Generational Differences</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_Toc193301494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9</w:t>
        </w:r>
        <w:r w:rsidRPr="00215457">
          <w:rPr>
            <w:noProof/>
            <w:webHidden/>
            <w:color w:val="0D0D0D" w:themeColor="text1" w:themeTint="F2"/>
          </w:rPr>
          <w:fldChar w:fldCharType="end"/>
        </w:r>
      </w:hyperlink>
    </w:p>
    <w:p w14:paraId="31B469DA" w14:textId="2D7ACF4A" w:rsidR="00215457" w:rsidRPr="00215457" w:rsidRDefault="00215457">
      <w:pPr>
        <w:pStyle w:val="TOC2"/>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5" w:history="1">
        <w:r w:rsidRPr="00215457">
          <w:rPr>
            <w:rStyle w:val="Hyperlink"/>
            <w:noProof/>
            <w:color w:val="0D0D0D" w:themeColor="text1" w:themeTint="F2"/>
            <w:lang w:val="en-GB"/>
          </w:rPr>
          <w:t>i) Cultural Influences on International Career Receptivity</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_Toc193301495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9</w:t>
        </w:r>
        <w:r w:rsidRPr="00215457">
          <w:rPr>
            <w:noProof/>
            <w:webHidden/>
            <w:color w:val="0D0D0D" w:themeColor="text1" w:themeTint="F2"/>
          </w:rPr>
          <w:fldChar w:fldCharType="end"/>
        </w:r>
      </w:hyperlink>
    </w:p>
    <w:p w14:paraId="714DB0A0" w14:textId="32FEA6D9" w:rsidR="00215457" w:rsidRPr="00215457" w:rsidRDefault="00215457">
      <w:pPr>
        <w:pStyle w:val="TOC2"/>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6" w:history="1">
        <w:r w:rsidRPr="00215457">
          <w:rPr>
            <w:rStyle w:val="Hyperlink"/>
            <w:noProof/>
            <w:color w:val="0D0D0D" w:themeColor="text1" w:themeTint="F2"/>
            <w:lang w:val="en-GB"/>
          </w:rPr>
          <w:t>ii) Personality Traits or Experience and Global Career Receptivity</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_Toc193301496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12</w:t>
        </w:r>
        <w:r w:rsidRPr="00215457">
          <w:rPr>
            <w:noProof/>
            <w:webHidden/>
            <w:color w:val="0D0D0D" w:themeColor="text1" w:themeTint="F2"/>
          </w:rPr>
          <w:fldChar w:fldCharType="end"/>
        </w:r>
      </w:hyperlink>
    </w:p>
    <w:p w14:paraId="4C7DE18F" w14:textId="370A3CA3" w:rsidR="00215457" w:rsidRPr="00215457" w:rsidRDefault="00215457">
      <w:pPr>
        <w:pStyle w:val="TOC1"/>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7" w:history="1">
        <w:r w:rsidRPr="00215457">
          <w:rPr>
            <w:rStyle w:val="Hyperlink"/>
            <w:noProof/>
            <w:color w:val="0D0D0D" w:themeColor="text1" w:themeTint="F2"/>
            <w:lang w:val="en-GB"/>
          </w:rPr>
          <w:t>Conclusion</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_Toc193301497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13</w:t>
        </w:r>
        <w:r w:rsidRPr="00215457">
          <w:rPr>
            <w:noProof/>
            <w:webHidden/>
            <w:color w:val="0D0D0D" w:themeColor="text1" w:themeTint="F2"/>
          </w:rPr>
          <w:fldChar w:fldCharType="end"/>
        </w:r>
      </w:hyperlink>
    </w:p>
    <w:p w14:paraId="14431979" w14:textId="3E4B8648" w:rsidR="00215457" w:rsidRPr="00215457" w:rsidRDefault="00215457">
      <w:pPr>
        <w:pStyle w:val="TOC1"/>
        <w:tabs>
          <w:tab w:val="right" w:leader="dot" w:pos="9350"/>
        </w:tabs>
        <w:rPr>
          <w:rFonts w:asciiTheme="minorHAnsi" w:eastAsiaTheme="minorEastAsia" w:hAnsiTheme="minorHAnsi" w:cstheme="minorBidi"/>
          <w:noProof/>
          <w:color w:val="0D0D0D" w:themeColor="text1" w:themeTint="F2"/>
          <w:kern w:val="2"/>
          <w:lang w:val="en-GB"/>
          <w14:ligatures w14:val="standardContextual"/>
        </w:rPr>
      </w:pPr>
      <w:hyperlink w:anchor="_Toc193301498" w:history="1">
        <w:r w:rsidRPr="00215457">
          <w:rPr>
            <w:rStyle w:val="Hyperlink"/>
            <w:noProof/>
            <w:color w:val="0D0D0D" w:themeColor="text1" w:themeTint="F2"/>
            <w:lang w:val="en-GB"/>
          </w:rPr>
          <w:t>References</w:t>
        </w:r>
        <w:r w:rsidRPr="00215457">
          <w:rPr>
            <w:noProof/>
            <w:webHidden/>
            <w:color w:val="0D0D0D" w:themeColor="text1" w:themeTint="F2"/>
          </w:rPr>
          <w:tab/>
        </w:r>
        <w:r w:rsidRPr="00215457">
          <w:rPr>
            <w:noProof/>
            <w:webHidden/>
            <w:color w:val="0D0D0D" w:themeColor="text1" w:themeTint="F2"/>
          </w:rPr>
          <w:fldChar w:fldCharType="begin"/>
        </w:r>
        <w:r w:rsidRPr="00215457">
          <w:rPr>
            <w:noProof/>
            <w:webHidden/>
            <w:color w:val="0D0D0D" w:themeColor="text1" w:themeTint="F2"/>
          </w:rPr>
          <w:instrText xml:space="preserve"> PAGEREF _Toc193301498 \h </w:instrText>
        </w:r>
        <w:r w:rsidRPr="00215457">
          <w:rPr>
            <w:noProof/>
            <w:webHidden/>
            <w:color w:val="0D0D0D" w:themeColor="text1" w:themeTint="F2"/>
          </w:rPr>
        </w:r>
        <w:r w:rsidRPr="00215457">
          <w:rPr>
            <w:noProof/>
            <w:webHidden/>
            <w:color w:val="0D0D0D" w:themeColor="text1" w:themeTint="F2"/>
          </w:rPr>
          <w:fldChar w:fldCharType="separate"/>
        </w:r>
        <w:r w:rsidRPr="00215457">
          <w:rPr>
            <w:noProof/>
            <w:webHidden/>
            <w:color w:val="0D0D0D" w:themeColor="text1" w:themeTint="F2"/>
          </w:rPr>
          <w:t>14</w:t>
        </w:r>
        <w:r w:rsidRPr="00215457">
          <w:rPr>
            <w:noProof/>
            <w:webHidden/>
            <w:color w:val="0D0D0D" w:themeColor="text1" w:themeTint="F2"/>
          </w:rPr>
          <w:fldChar w:fldCharType="end"/>
        </w:r>
      </w:hyperlink>
    </w:p>
    <w:p w14:paraId="5AF9D1C3" w14:textId="7F901B2D" w:rsidR="00962F68" w:rsidRPr="00215457" w:rsidRDefault="00215457" w:rsidP="00215457">
      <w:pPr>
        <w:spacing w:after="200"/>
        <w:jc w:val="center"/>
        <w:rPr>
          <w:color w:val="0D0D0D" w:themeColor="text1" w:themeTint="F2"/>
          <w:lang w:val="en-GB"/>
        </w:rPr>
      </w:pPr>
      <w:r w:rsidRPr="00215457">
        <w:rPr>
          <w:b/>
          <w:color w:val="0D0D0D" w:themeColor="text1" w:themeTint="F2"/>
          <w:lang w:val="en-GB"/>
        </w:rPr>
        <w:fldChar w:fldCharType="end"/>
      </w:r>
      <w:r w:rsidR="00664B6F" w:rsidRPr="00215457">
        <w:rPr>
          <w:color w:val="0D0D0D" w:themeColor="text1" w:themeTint="F2"/>
          <w:lang w:val="en-GB"/>
        </w:rPr>
        <w:br w:type="page"/>
      </w:r>
    </w:p>
    <w:p w14:paraId="3CF11988" w14:textId="77777777" w:rsidR="00962F68" w:rsidRPr="00215457" w:rsidRDefault="00664B6F">
      <w:pPr>
        <w:pStyle w:val="Heading1"/>
        <w:rPr>
          <w:color w:val="0D0D0D" w:themeColor="text1" w:themeTint="F2"/>
          <w:lang w:val="en-GB"/>
        </w:rPr>
      </w:pPr>
      <w:bookmarkStart w:id="1" w:name="_8qelkvkuwqq1" w:colFirst="0" w:colLast="0"/>
      <w:bookmarkStart w:id="2" w:name="_Toc193301487"/>
      <w:bookmarkEnd w:id="1"/>
      <w:r w:rsidRPr="00215457">
        <w:rPr>
          <w:color w:val="0D0D0D" w:themeColor="text1" w:themeTint="F2"/>
          <w:lang w:val="en-GB"/>
        </w:rPr>
        <w:lastRenderedPageBreak/>
        <w:t>Introduction</w:t>
      </w:r>
      <w:bookmarkEnd w:id="2"/>
    </w:p>
    <w:p w14:paraId="086D3B45" w14:textId="77777777" w:rsidR="00962F68" w:rsidRPr="00215457" w:rsidRDefault="00664B6F">
      <w:pPr>
        <w:rPr>
          <w:color w:val="0D0D0D" w:themeColor="text1" w:themeTint="F2"/>
          <w:lang w:val="en-GB"/>
        </w:rPr>
      </w:pPr>
      <w:r w:rsidRPr="00215457">
        <w:rPr>
          <w:color w:val="0D0D0D" w:themeColor="text1" w:themeTint="F2"/>
          <w:lang w:val="en-GB"/>
        </w:rPr>
        <w:t xml:space="preserve">Human Capital Management involves a wide range of strategic methods that helps in attracting, hiring and retaining top talents for an organisation. The continuous learning and development within an organisation is crucial to maintain employee satisfaction and engagement in alignment with their career aspirations. The primary aim of this report is to assess the differences among the workforce generations of Gen X, Gen Y and Gen Z. This is executed through the exploration of </w:t>
      </w:r>
      <w:r w:rsidRPr="00215457">
        <w:rPr>
          <w:i/>
          <w:color w:val="0D0D0D" w:themeColor="text1" w:themeTint="F2"/>
          <w:lang w:val="en-GB"/>
        </w:rPr>
        <w:t>“Receptivity to International Career Framework”</w:t>
      </w:r>
      <w:r w:rsidRPr="00215457">
        <w:rPr>
          <w:color w:val="0D0D0D" w:themeColor="text1" w:themeTint="F2"/>
          <w:lang w:val="en-GB"/>
        </w:rPr>
        <w:t xml:space="preserve"> proposed by Tarique et al. (2015). In addition to this, the report addresses the cultural differences among employees from various locations and their individualistic approach. Employees across play a vital role in organisational success through </w:t>
      </w:r>
      <w:proofErr w:type="gramStart"/>
      <w:r w:rsidRPr="00215457">
        <w:rPr>
          <w:color w:val="0D0D0D" w:themeColor="text1" w:themeTint="F2"/>
          <w:lang w:val="en-GB"/>
        </w:rPr>
        <w:t>leveraging</w:t>
      </w:r>
      <w:proofErr w:type="gramEnd"/>
      <w:r w:rsidRPr="00215457">
        <w:rPr>
          <w:color w:val="0D0D0D" w:themeColor="text1" w:themeTint="F2"/>
          <w:lang w:val="en-GB"/>
        </w:rPr>
        <w:t xml:space="preserve"> their skills and competencies. Thus, the report evaluates the generational variations influencing the adaptability in the workplace.</w:t>
      </w:r>
    </w:p>
    <w:p w14:paraId="618776C5" w14:textId="77777777" w:rsidR="00962F68" w:rsidRPr="00215457" w:rsidRDefault="00664B6F">
      <w:pPr>
        <w:pStyle w:val="Heading1"/>
        <w:rPr>
          <w:color w:val="0D0D0D" w:themeColor="text1" w:themeTint="F2"/>
          <w:lang w:val="en-GB"/>
        </w:rPr>
      </w:pPr>
      <w:bookmarkStart w:id="3" w:name="_y0b114gwgmgw" w:colFirst="0" w:colLast="0"/>
      <w:bookmarkStart w:id="4" w:name="_Toc193301488"/>
      <w:bookmarkEnd w:id="3"/>
      <w:r w:rsidRPr="00215457">
        <w:rPr>
          <w:color w:val="0D0D0D" w:themeColor="text1" w:themeTint="F2"/>
          <w:lang w:val="en-GB"/>
        </w:rPr>
        <w:t>1. Factors important to Gen X, Gen Y and Gen Z in their Receptivity to International Assignments</w:t>
      </w:r>
      <w:bookmarkEnd w:id="4"/>
      <w:r w:rsidRPr="00215457">
        <w:rPr>
          <w:color w:val="0D0D0D" w:themeColor="text1" w:themeTint="F2"/>
          <w:lang w:val="en-GB"/>
        </w:rPr>
        <w:t xml:space="preserve"> </w:t>
      </w:r>
    </w:p>
    <w:p w14:paraId="24E43FF4" w14:textId="77777777" w:rsidR="00962F68" w:rsidRPr="00215457" w:rsidRDefault="00664B6F">
      <w:pPr>
        <w:pStyle w:val="Heading2"/>
        <w:rPr>
          <w:color w:val="0D0D0D" w:themeColor="text1" w:themeTint="F2"/>
          <w:lang w:val="en-GB"/>
        </w:rPr>
      </w:pPr>
      <w:bookmarkStart w:id="5" w:name="_l41c4x54s9jv" w:colFirst="0" w:colLast="0"/>
      <w:bookmarkStart w:id="6" w:name="_Toc193301489"/>
      <w:bookmarkEnd w:id="5"/>
      <w:proofErr w:type="spellStart"/>
      <w:r w:rsidRPr="00215457">
        <w:rPr>
          <w:color w:val="0D0D0D" w:themeColor="text1" w:themeTint="F2"/>
          <w:lang w:val="en-GB"/>
        </w:rPr>
        <w:t>i</w:t>
      </w:r>
      <w:proofErr w:type="spellEnd"/>
      <w:r w:rsidRPr="00215457">
        <w:rPr>
          <w:color w:val="0D0D0D" w:themeColor="text1" w:themeTint="F2"/>
          <w:lang w:val="en-GB"/>
        </w:rPr>
        <w:t>) Concept of Tarique’s Receptivity Framework</w:t>
      </w:r>
      <w:bookmarkEnd w:id="6"/>
      <w:r w:rsidRPr="00215457">
        <w:rPr>
          <w:color w:val="0D0D0D" w:themeColor="text1" w:themeTint="F2"/>
          <w:lang w:val="en-GB"/>
        </w:rPr>
        <w:t xml:space="preserve"> </w:t>
      </w:r>
    </w:p>
    <w:p w14:paraId="63764C0E" w14:textId="77777777" w:rsidR="00962F68" w:rsidRPr="00215457" w:rsidRDefault="00664B6F">
      <w:pPr>
        <w:jc w:val="center"/>
        <w:rPr>
          <w:b/>
          <w:color w:val="0D0D0D" w:themeColor="text1" w:themeTint="F2"/>
          <w:lang w:val="en-GB"/>
        </w:rPr>
      </w:pPr>
      <w:r w:rsidRPr="00215457">
        <w:rPr>
          <w:b/>
          <w:noProof/>
          <w:color w:val="0D0D0D" w:themeColor="text1" w:themeTint="F2"/>
          <w:lang w:val="en-GB"/>
        </w:rPr>
        <w:drawing>
          <wp:inline distT="114300" distB="114300" distL="114300" distR="114300" wp14:anchorId="24B04F8E" wp14:editId="1AE8ADC4">
            <wp:extent cx="4495800" cy="3590925"/>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4495800" cy="3590925"/>
                    </a:xfrm>
                    <a:prstGeom prst="rect">
                      <a:avLst/>
                    </a:prstGeom>
                    <a:ln w="12700">
                      <a:solidFill>
                        <a:srgbClr val="000000"/>
                      </a:solidFill>
                      <a:prstDash val="solid"/>
                    </a:ln>
                  </pic:spPr>
                </pic:pic>
              </a:graphicData>
            </a:graphic>
          </wp:inline>
        </w:drawing>
      </w:r>
    </w:p>
    <w:p w14:paraId="4C509BD0" w14:textId="77777777" w:rsidR="00962F68" w:rsidRPr="00215457" w:rsidRDefault="00664B6F">
      <w:pPr>
        <w:jc w:val="center"/>
        <w:rPr>
          <w:b/>
          <w:color w:val="0D0D0D" w:themeColor="text1" w:themeTint="F2"/>
          <w:lang w:val="en-GB"/>
        </w:rPr>
      </w:pPr>
      <w:r w:rsidRPr="00215457">
        <w:rPr>
          <w:b/>
          <w:color w:val="0D0D0D" w:themeColor="text1" w:themeTint="F2"/>
          <w:lang w:val="en-GB"/>
        </w:rPr>
        <w:lastRenderedPageBreak/>
        <w:t>Figure 1: Receptivity Framework</w:t>
      </w:r>
    </w:p>
    <w:p w14:paraId="4B765586" w14:textId="77777777" w:rsidR="00962F68" w:rsidRPr="00215457" w:rsidRDefault="00664B6F">
      <w:pPr>
        <w:jc w:val="center"/>
        <w:rPr>
          <w:b/>
          <w:color w:val="0D0D0D" w:themeColor="text1" w:themeTint="F2"/>
          <w:lang w:val="en-GB"/>
        </w:rPr>
      </w:pPr>
      <w:r w:rsidRPr="00215457">
        <w:rPr>
          <w:color w:val="0D0D0D" w:themeColor="text1" w:themeTint="F2"/>
          <w:lang w:val="en-GB"/>
        </w:rPr>
        <w:t>(Source: Tarique</w:t>
      </w:r>
      <w:r w:rsidRPr="00215457">
        <w:rPr>
          <w:i/>
          <w:color w:val="0D0D0D" w:themeColor="text1" w:themeTint="F2"/>
          <w:lang w:val="en-GB"/>
        </w:rPr>
        <w:t xml:space="preserve"> et al</w:t>
      </w:r>
      <w:r w:rsidRPr="00215457">
        <w:rPr>
          <w:color w:val="0D0D0D" w:themeColor="text1" w:themeTint="F2"/>
          <w:lang w:val="en-GB"/>
        </w:rPr>
        <w:t>. 2015)</w:t>
      </w:r>
    </w:p>
    <w:p w14:paraId="15BBE327" w14:textId="77777777" w:rsidR="00962F68" w:rsidRPr="00215457" w:rsidRDefault="00664B6F">
      <w:pPr>
        <w:rPr>
          <w:color w:val="0D0D0D" w:themeColor="text1" w:themeTint="F2"/>
          <w:lang w:val="en-GB"/>
        </w:rPr>
      </w:pPr>
      <w:r w:rsidRPr="00215457">
        <w:rPr>
          <w:color w:val="0D0D0D" w:themeColor="text1" w:themeTint="F2"/>
          <w:lang w:val="en-GB"/>
        </w:rPr>
        <w:t>Tarique’s</w:t>
      </w:r>
      <w:r w:rsidRPr="00215457">
        <w:rPr>
          <w:i/>
          <w:color w:val="0D0D0D" w:themeColor="text1" w:themeTint="F2"/>
          <w:lang w:val="en-GB"/>
        </w:rPr>
        <w:t xml:space="preserve"> “Receptivity to International Careers” </w:t>
      </w:r>
      <w:r w:rsidRPr="00215457">
        <w:rPr>
          <w:color w:val="0D0D0D" w:themeColor="text1" w:themeTint="F2"/>
          <w:lang w:val="en-GB"/>
        </w:rPr>
        <w:t>framework serves with an effective guidance helping in global talent management across multinational companies. The framework effectively underscores personal and professional factors that influence an individual to accept international assignments or mobility with respect to work across generations (Tarique</w:t>
      </w:r>
      <w:r w:rsidRPr="00215457">
        <w:rPr>
          <w:i/>
          <w:color w:val="0D0D0D" w:themeColor="text1" w:themeTint="F2"/>
          <w:lang w:val="en-GB"/>
        </w:rPr>
        <w:t xml:space="preserve"> et al.</w:t>
      </w:r>
      <w:r w:rsidRPr="00215457">
        <w:rPr>
          <w:color w:val="0D0D0D" w:themeColor="text1" w:themeTint="F2"/>
          <w:lang w:val="en-GB"/>
        </w:rPr>
        <w:t xml:space="preserve"> 2015). Individual factors such as personality traits, career aspirations, skills and experience play a major role in the progress of career. In this respect, Tarique and Schuler (2018, p.2) stated that elements such as knowledge, professional skills and capability of an individual to adapt in a workspace drives career development. Hence, the career advancement opportunities within the organisations help in the professional development and career support of the employees. </w:t>
      </w:r>
    </w:p>
    <w:p w14:paraId="6406111A" w14:textId="77777777" w:rsidR="00962F68" w:rsidRPr="00215457" w:rsidRDefault="00664B6F">
      <w:pPr>
        <w:rPr>
          <w:color w:val="0D0D0D" w:themeColor="text1" w:themeTint="F2"/>
          <w:lang w:val="en-GB"/>
        </w:rPr>
      </w:pPr>
      <w:r w:rsidRPr="00215457">
        <w:rPr>
          <w:color w:val="0D0D0D" w:themeColor="text1" w:themeTint="F2"/>
          <w:lang w:val="en-GB"/>
        </w:rPr>
        <w:t xml:space="preserve">A combination of the individual factors facilitates workplace adaptation, mobility and enhances cultural intelligence across multiple generations of the workforce. Lastly, organisational factors also play an important role in driving competitiveness and professional growth among the employees. Transparency within an organisation plays a crucial role in assisting employees with adequate support on career progression. According to Georgiadou </w:t>
      </w:r>
      <w:r w:rsidRPr="00215457">
        <w:rPr>
          <w:i/>
          <w:color w:val="0D0D0D" w:themeColor="text1" w:themeTint="F2"/>
          <w:lang w:val="en-GB"/>
        </w:rPr>
        <w:t xml:space="preserve">et al. </w:t>
      </w:r>
      <w:r w:rsidRPr="00215457">
        <w:rPr>
          <w:color w:val="0D0D0D" w:themeColor="text1" w:themeTint="F2"/>
          <w:lang w:val="en-GB"/>
        </w:rPr>
        <w:t xml:space="preserve">(2024 p.3), fostering a sense of equity among the expatriates helps in building an environment of trust and competitive advantage. Training programmes and continuous interaction among the team members enables cross-cultural communication increasing intelligence, knowledge sharing and workplace adaptability. </w:t>
      </w:r>
    </w:p>
    <w:p w14:paraId="57CB0CA7" w14:textId="77777777" w:rsidR="00962F68" w:rsidRPr="00215457" w:rsidRDefault="00664B6F">
      <w:pPr>
        <w:rPr>
          <w:color w:val="0D0D0D" w:themeColor="text1" w:themeTint="F2"/>
          <w:lang w:val="en-GB"/>
        </w:rPr>
      </w:pPr>
      <w:r w:rsidRPr="00215457">
        <w:rPr>
          <w:color w:val="0D0D0D" w:themeColor="text1" w:themeTint="F2"/>
          <w:lang w:val="en-GB"/>
        </w:rPr>
        <w:t xml:space="preserve">The external factors also influence the receptivity of individuals across generations driving their mobility decision. Moreover, </w:t>
      </w:r>
      <w:proofErr w:type="spellStart"/>
      <w:r w:rsidRPr="00215457">
        <w:rPr>
          <w:color w:val="0D0D0D" w:themeColor="text1" w:themeTint="F2"/>
          <w:lang w:val="en-GB"/>
        </w:rPr>
        <w:t>Bozionelos</w:t>
      </w:r>
      <w:proofErr w:type="spellEnd"/>
      <w:r w:rsidRPr="00215457">
        <w:rPr>
          <w:i/>
          <w:color w:val="0D0D0D" w:themeColor="text1" w:themeTint="F2"/>
          <w:lang w:val="en-GB"/>
        </w:rPr>
        <w:t xml:space="preserve"> et al. </w:t>
      </w:r>
      <w:r w:rsidRPr="00215457">
        <w:rPr>
          <w:color w:val="0D0D0D" w:themeColor="text1" w:themeTint="F2"/>
          <w:lang w:val="en-GB"/>
        </w:rPr>
        <w:t>(2015, p.31) opined that setting realistic expectations on the outcome of a work helps in overcoming challenges allowing individuals to put in the capabilities resulting in better performances. This subsequently reduces the culture of shock with respect to unforeseen challenges within the work. Factors such as political stability, economy along with immigration, laws distance from home and quality of governance are critical determinants for accepting international offers (</w:t>
      </w:r>
      <w:proofErr w:type="spellStart"/>
      <w:r w:rsidRPr="00215457">
        <w:rPr>
          <w:color w:val="0D0D0D" w:themeColor="text1" w:themeTint="F2"/>
          <w:lang w:val="en-GB"/>
        </w:rPr>
        <w:t>Mitroui</w:t>
      </w:r>
      <w:proofErr w:type="spellEnd"/>
      <w:r w:rsidRPr="00215457">
        <w:rPr>
          <w:color w:val="0D0D0D" w:themeColor="text1" w:themeTint="F2"/>
          <w:lang w:val="en-GB"/>
        </w:rPr>
        <w:t xml:space="preserve"> 2024 </w:t>
      </w:r>
      <w:proofErr w:type="spellStart"/>
      <w:r w:rsidRPr="00215457">
        <w:rPr>
          <w:color w:val="0D0D0D" w:themeColor="text1" w:themeTint="F2"/>
          <w:lang w:val="en-GB"/>
        </w:rPr>
        <w:t>p.205</w:t>
      </w:r>
      <w:proofErr w:type="spellEnd"/>
      <w:r w:rsidRPr="00215457">
        <w:rPr>
          <w:color w:val="0D0D0D" w:themeColor="text1" w:themeTint="F2"/>
          <w:lang w:val="en-GB"/>
        </w:rPr>
        <w:t xml:space="preserve">). Therefore, the interplay of individual, </w:t>
      </w:r>
      <w:r w:rsidRPr="00215457">
        <w:rPr>
          <w:color w:val="0D0D0D" w:themeColor="text1" w:themeTint="F2"/>
          <w:lang w:val="en-GB"/>
        </w:rPr>
        <w:lastRenderedPageBreak/>
        <w:t xml:space="preserve">organisational and external factors influences the receptivity to international assignments. </w:t>
      </w:r>
    </w:p>
    <w:p w14:paraId="23B14653" w14:textId="77777777" w:rsidR="00962F68" w:rsidRPr="00215457" w:rsidRDefault="00664B6F">
      <w:pPr>
        <w:pStyle w:val="Heading2"/>
        <w:rPr>
          <w:color w:val="0D0D0D" w:themeColor="text1" w:themeTint="F2"/>
          <w:lang w:val="en-GB"/>
        </w:rPr>
      </w:pPr>
      <w:bookmarkStart w:id="7" w:name="_cp58aq8wc694" w:colFirst="0" w:colLast="0"/>
      <w:bookmarkStart w:id="8" w:name="_Toc193301490"/>
      <w:bookmarkEnd w:id="7"/>
      <w:r w:rsidRPr="00215457">
        <w:rPr>
          <w:color w:val="0D0D0D" w:themeColor="text1" w:themeTint="F2"/>
          <w:lang w:val="en-GB"/>
        </w:rPr>
        <w:t>ii) Main Arguments with Examples</w:t>
      </w:r>
      <w:bookmarkEnd w:id="8"/>
      <w:r w:rsidRPr="00215457">
        <w:rPr>
          <w:color w:val="0D0D0D" w:themeColor="text1" w:themeTint="F2"/>
          <w:lang w:val="en-GB"/>
        </w:rPr>
        <w:tab/>
        <w:t xml:space="preserve"> </w:t>
      </w:r>
    </w:p>
    <w:p w14:paraId="62E3A7F4" w14:textId="0EABDE3A" w:rsidR="00962F68" w:rsidRPr="00215457" w:rsidRDefault="00664B6F">
      <w:pPr>
        <w:rPr>
          <w:color w:val="0D0D0D" w:themeColor="text1" w:themeTint="F2"/>
          <w:lang w:val="en-GB"/>
        </w:rPr>
      </w:pPr>
      <w:r w:rsidRPr="00215457">
        <w:rPr>
          <w:color w:val="0D0D0D" w:themeColor="text1" w:themeTint="F2"/>
          <w:lang w:val="en-GB"/>
        </w:rPr>
        <w:t>Globalisation affects workforce mobility expansion inviting organisations to explore the drivers shaping the employees' decisions in matters of international assignment. Establishing an understanding of the drivers such as technologies affect employees' behaviour toward mobility and guarantees productivity in daily life (</w:t>
      </w:r>
      <w:proofErr w:type="spellStart"/>
      <w:r w:rsidRPr="00215457">
        <w:rPr>
          <w:color w:val="0D0D0D" w:themeColor="text1" w:themeTint="F2"/>
          <w:lang w:val="en-GB"/>
        </w:rPr>
        <w:t>Fragomeli</w:t>
      </w:r>
      <w:proofErr w:type="spellEnd"/>
      <w:r w:rsidRPr="00215457">
        <w:rPr>
          <w:color w:val="0D0D0D" w:themeColor="text1" w:themeTint="F2"/>
          <w:lang w:val="en-GB"/>
        </w:rPr>
        <w:t xml:space="preserve"> </w:t>
      </w:r>
      <w:r w:rsidRPr="00215457">
        <w:rPr>
          <w:i/>
          <w:color w:val="0D0D0D" w:themeColor="text1" w:themeTint="F2"/>
          <w:lang w:val="en-GB"/>
        </w:rPr>
        <w:t xml:space="preserve">et al. </w:t>
      </w:r>
      <w:r w:rsidRPr="00215457">
        <w:rPr>
          <w:color w:val="0D0D0D" w:themeColor="text1" w:themeTint="F2"/>
          <w:lang w:val="en-GB"/>
        </w:rPr>
        <w:t>2024 p.14)</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However, mobility depends on varying determinants in different generations by specific factors as well as other issues of importance. For example, Gen Y or the </w:t>
      </w:r>
      <w:r w:rsidR="00215457" w:rsidRPr="00215457">
        <w:rPr>
          <w:color w:val="0D0D0D" w:themeColor="text1" w:themeTint="F2"/>
          <w:lang w:val="en-GB"/>
        </w:rPr>
        <w:t>Millennials</w:t>
      </w:r>
      <w:r w:rsidRPr="00215457">
        <w:rPr>
          <w:color w:val="0D0D0D" w:themeColor="text1" w:themeTint="F2"/>
          <w:lang w:val="en-GB"/>
        </w:rPr>
        <w:t xml:space="preserve"> are driven by career developmental possibilities and prepared to interact and cope in foreign areas</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In contrast, factors such as family's willingness to migrate and disruption of social life may hinder educational access or labour in international locations (Hu </w:t>
      </w:r>
      <w:r w:rsidRPr="00215457">
        <w:rPr>
          <w:i/>
          <w:color w:val="0D0D0D" w:themeColor="text1" w:themeTint="F2"/>
          <w:lang w:val="en-GB"/>
        </w:rPr>
        <w:t xml:space="preserve">et al. </w:t>
      </w:r>
      <w:r w:rsidRPr="00215457">
        <w:rPr>
          <w:color w:val="0D0D0D" w:themeColor="text1" w:themeTint="F2"/>
          <w:lang w:val="en-GB"/>
        </w:rPr>
        <w:t xml:space="preserve">2022 p.2). Individual choices, immigration influences and cultural transition enables the generational decisions to relocate in an international location of an MNE. For example, </w:t>
      </w:r>
      <w:r w:rsidRPr="00215457">
        <w:rPr>
          <w:b/>
          <w:i/>
          <w:color w:val="0D0D0D" w:themeColor="text1" w:themeTint="F2"/>
          <w:lang w:val="en-GB"/>
        </w:rPr>
        <w:t>Siemens' Global Mobility Program</w:t>
      </w:r>
      <w:r w:rsidRPr="00215457">
        <w:rPr>
          <w:color w:val="0D0D0D" w:themeColor="text1" w:themeTint="F2"/>
          <w:lang w:val="en-GB"/>
        </w:rPr>
        <w:t xml:space="preserve"> facilitates dual-career support for Gen X workers ensures safe job placement and career progressions. </w:t>
      </w:r>
    </w:p>
    <w:p w14:paraId="52AF389F" w14:textId="77777777" w:rsidR="00962F68" w:rsidRPr="00215457" w:rsidRDefault="00664B6F">
      <w:pPr>
        <w:rPr>
          <w:color w:val="0D0D0D" w:themeColor="text1" w:themeTint="F2"/>
          <w:lang w:val="en-GB"/>
        </w:rPr>
      </w:pPr>
      <w:r w:rsidRPr="00215457">
        <w:rPr>
          <w:color w:val="0D0D0D" w:themeColor="text1" w:themeTint="F2"/>
          <w:lang w:val="en-GB"/>
        </w:rPr>
        <w:t>Gen X are more focused on job-security and work-life balance oriented among the generations at an organisation</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Therefore, the following factors affect and emphasise the priorities of individuals based on their considerations for international assignments. The Siemens' Global Mobility program has efficiently assisted with promotion of 320,000 cross-border assignments and 98% risk assessment effectiveness (Siemens, 2025). Additionally, the program also provides deployment onshore and offshore sites driving worldwide initiatives and allowing career growth and operational effectiveness. Furthermore, </w:t>
      </w:r>
      <w:proofErr w:type="spellStart"/>
      <w:r w:rsidRPr="00215457">
        <w:rPr>
          <w:color w:val="0D0D0D" w:themeColor="text1" w:themeTint="F2"/>
          <w:lang w:val="en-GB"/>
        </w:rPr>
        <w:t>Gričnik</w:t>
      </w:r>
      <w:proofErr w:type="spellEnd"/>
      <w:r w:rsidRPr="00215457">
        <w:rPr>
          <w:color w:val="0D0D0D" w:themeColor="text1" w:themeTint="F2"/>
          <w:lang w:val="en-GB"/>
        </w:rPr>
        <w:t xml:space="preserve"> </w:t>
      </w:r>
      <w:r w:rsidRPr="00215457">
        <w:rPr>
          <w:i/>
          <w:color w:val="0D0D0D" w:themeColor="text1" w:themeTint="F2"/>
          <w:lang w:val="en-GB"/>
        </w:rPr>
        <w:t xml:space="preserve">et al. </w:t>
      </w:r>
      <w:r w:rsidRPr="00215457">
        <w:rPr>
          <w:color w:val="0D0D0D" w:themeColor="text1" w:themeTint="F2"/>
          <w:lang w:val="en-GB"/>
        </w:rPr>
        <w:t>(2024 p.16) pointed out that specific emphasis on cultural values, training for various generations assists in global exposure and organisational abilities. Therefore, the programme has strongly focused on top talent from various generations aligning preferences and assisting in the better delivery of services on a worldwide level.</w:t>
      </w:r>
    </w:p>
    <w:p w14:paraId="271C04B4" w14:textId="77777777" w:rsidR="00962F68" w:rsidRPr="00215457" w:rsidRDefault="00664B6F">
      <w:pPr>
        <w:pStyle w:val="Heading2"/>
        <w:rPr>
          <w:color w:val="0D0D0D" w:themeColor="text1" w:themeTint="F2"/>
          <w:lang w:val="en-GB"/>
        </w:rPr>
      </w:pPr>
      <w:bookmarkStart w:id="9" w:name="_con8itnwmzex" w:colFirst="0" w:colLast="0"/>
      <w:bookmarkStart w:id="10" w:name="_Toc193301491"/>
      <w:bookmarkEnd w:id="9"/>
      <w:r w:rsidRPr="00215457">
        <w:rPr>
          <w:color w:val="0D0D0D" w:themeColor="text1" w:themeTint="F2"/>
          <w:lang w:val="en-GB"/>
        </w:rPr>
        <w:lastRenderedPageBreak/>
        <w:t>iii) Differences in Receptivity Across Generations of Workforce</w:t>
      </w:r>
      <w:bookmarkEnd w:id="10"/>
    </w:p>
    <w:p w14:paraId="78ED382A" w14:textId="77777777" w:rsidR="00962F68" w:rsidRPr="00215457" w:rsidRDefault="00664B6F">
      <w:pPr>
        <w:pStyle w:val="Heading3"/>
        <w:rPr>
          <w:color w:val="0D0D0D" w:themeColor="text1" w:themeTint="F2"/>
          <w:lang w:val="en-GB"/>
        </w:rPr>
      </w:pPr>
      <w:bookmarkStart w:id="11" w:name="_7hlx6bjr8325" w:colFirst="0" w:colLast="0"/>
      <w:bookmarkEnd w:id="11"/>
      <w:r w:rsidRPr="00215457">
        <w:rPr>
          <w:color w:val="0D0D0D" w:themeColor="text1" w:themeTint="F2"/>
          <w:lang w:val="en-GB"/>
        </w:rPr>
        <w:t>Gen X (1965–1980)</w:t>
      </w:r>
    </w:p>
    <w:p w14:paraId="3F90AE1A" w14:textId="77777777" w:rsidR="00962F68" w:rsidRPr="00215457" w:rsidRDefault="00664B6F">
      <w:pPr>
        <w:rPr>
          <w:color w:val="0D0D0D" w:themeColor="text1" w:themeTint="F2"/>
          <w:lang w:val="en-GB"/>
        </w:rPr>
      </w:pPr>
      <w:r w:rsidRPr="00215457">
        <w:rPr>
          <w:color w:val="0D0D0D" w:themeColor="text1" w:themeTint="F2"/>
          <w:lang w:val="en-GB"/>
        </w:rPr>
        <w:t xml:space="preserve">Gen X professionals are commonly attracted to stability, career security, and equilibrium in life. Their openness to international mobility is likely to be determined by career goals for steady development and economic security (Mahmoud </w:t>
      </w:r>
      <w:r w:rsidRPr="00215457">
        <w:rPr>
          <w:i/>
          <w:color w:val="0D0D0D" w:themeColor="text1" w:themeTint="F2"/>
          <w:lang w:val="en-GB"/>
        </w:rPr>
        <w:t xml:space="preserve">et al. </w:t>
      </w:r>
      <w:r w:rsidRPr="00215457">
        <w:rPr>
          <w:color w:val="0D0D0D" w:themeColor="text1" w:themeTint="F2"/>
          <w:lang w:val="en-GB"/>
        </w:rPr>
        <w:t xml:space="preserve">2024 p. 78). They are spurred by prospects offering career development and substantial economic rewards. Conversely, family consideration plays a major role in the decision of Gen X workers as they tend to put the needs of their family first before relocations (Hyman </w:t>
      </w:r>
      <w:r w:rsidRPr="00215457">
        <w:rPr>
          <w:i/>
          <w:color w:val="0D0D0D" w:themeColor="text1" w:themeTint="F2"/>
          <w:lang w:val="en-GB"/>
        </w:rPr>
        <w:t xml:space="preserve">et al. </w:t>
      </w:r>
      <w:r w:rsidRPr="00215457">
        <w:rPr>
          <w:color w:val="0D0D0D" w:themeColor="text1" w:themeTint="F2"/>
          <w:lang w:val="en-GB"/>
        </w:rPr>
        <w:t xml:space="preserve">2022 p.9). Hence, uniform support of employees by organisation is likely to ease personal and family considerations related to international mobility. </w:t>
      </w:r>
    </w:p>
    <w:p w14:paraId="2C73E540" w14:textId="77777777" w:rsidR="00962F68" w:rsidRPr="00215457" w:rsidRDefault="00664B6F">
      <w:pPr>
        <w:pStyle w:val="Heading3"/>
        <w:rPr>
          <w:color w:val="0D0D0D" w:themeColor="text1" w:themeTint="F2"/>
          <w:lang w:val="en-GB"/>
        </w:rPr>
      </w:pPr>
      <w:bookmarkStart w:id="12" w:name="_9z8x0wd0wm7i" w:colFirst="0" w:colLast="0"/>
      <w:bookmarkEnd w:id="12"/>
      <w:r w:rsidRPr="00215457">
        <w:rPr>
          <w:color w:val="0D0D0D" w:themeColor="text1" w:themeTint="F2"/>
          <w:lang w:val="en-GB"/>
        </w:rPr>
        <w:t>Gen Y / Millennials (1981–1996)</w:t>
      </w:r>
    </w:p>
    <w:p w14:paraId="752E9EDD" w14:textId="77777777" w:rsidR="00962F68" w:rsidRPr="00215457" w:rsidRDefault="00664B6F">
      <w:pPr>
        <w:rPr>
          <w:color w:val="0D0D0D" w:themeColor="text1" w:themeTint="F2"/>
          <w:lang w:val="en-GB"/>
        </w:rPr>
      </w:pPr>
      <w:r w:rsidRPr="00215457">
        <w:rPr>
          <w:color w:val="0D0D0D" w:themeColor="text1" w:themeTint="F2"/>
          <w:lang w:val="en-GB"/>
        </w:rPr>
        <w:t xml:space="preserve">Millennials are characterised by their emphasis on self-development and meaningful work. According to </w:t>
      </w:r>
      <w:proofErr w:type="spellStart"/>
      <w:r w:rsidRPr="00215457">
        <w:rPr>
          <w:color w:val="0D0D0D" w:themeColor="text1" w:themeTint="F2"/>
          <w:lang w:val="en-GB"/>
        </w:rPr>
        <w:t>Ivasciuc</w:t>
      </w:r>
      <w:proofErr w:type="spellEnd"/>
      <w:r w:rsidRPr="00215457">
        <w:rPr>
          <w:color w:val="0D0D0D" w:themeColor="text1" w:themeTint="F2"/>
          <w:lang w:val="en-GB"/>
        </w:rPr>
        <w:t xml:space="preserve"> </w:t>
      </w:r>
      <w:r w:rsidRPr="00215457">
        <w:rPr>
          <w:i/>
          <w:color w:val="0D0D0D" w:themeColor="text1" w:themeTint="F2"/>
          <w:lang w:val="en-GB"/>
        </w:rPr>
        <w:t xml:space="preserve">et al. </w:t>
      </w:r>
      <w:r w:rsidRPr="00215457">
        <w:rPr>
          <w:color w:val="0D0D0D" w:themeColor="text1" w:themeTint="F2"/>
          <w:lang w:val="en-GB"/>
        </w:rPr>
        <w:t>(2022 p.13)</w:t>
      </w:r>
      <w:proofErr w:type="gramStart"/>
      <w:r w:rsidRPr="00215457">
        <w:rPr>
          <w:color w:val="0D0D0D" w:themeColor="text1" w:themeTint="F2"/>
          <w:lang w:val="en-GB"/>
        </w:rPr>
        <w:t xml:space="preserve">. </w:t>
      </w:r>
      <w:proofErr w:type="gramEnd"/>
      <w:r w:rsidRPr="00215457">
        <w:rPr>
          <w:color w:val="0D0D0D" w:themeColor="text1" w:themeTint="F2"/>
          <w:lang w:val="en-GB"/>
        </w:rPr>
        <w:t>Millennials are driven by the need to have flexibility seeking to work away from the office that helps in reconciling professional and personal life. Millennials often draw on employer assistance in the form of systematic training and mentorship to facilitate easy adjustment in cross-cultural contexts. Therefore, work-life balance is central to their agreement to take international assignments.</w:t>
      </w:r>
    </w:p>
    <w:p w14:paraId="18918397" w14:textId="77777777" w:rsidR="00962F68" w:rsidRPr="00215457" w:rsidRDefault="00664B6F">
      <w:pPr>
        <w:pStyle w:val="Heading3"/>
        <w:rPr>
          <w:color w:val="0D0D0D" w:themeColor="text1" w:themeTint="F2"/>
          <w:lang w:val="en-GB"/>
        </w:rPr>
      </w:pPr>
      <w:bookmarkStart w:id="13" w:name="_v6xupj99oma2" w:colFirst="0" w:colLast="0"/>
      <w:bookmarkEnd w:id="13"/>
      <w:r w:rsidRPr="00215457">
        <w:rPr>
          <w:color w:val="0D0D0D" w:themeColor="text1" w:themeTint="F2"/>
          <w:lang w:val="en-GB"/>
        </w:rPr>
        <w:t>Gen Z (1997-2012)</w:t>
      </w:r>
    </w:p>
    <w:p w14:paraId="217202B6" w14:textId="77777777" w:rsidR="00962F68" w:rsidRPr="00215457" w:rsidRDefault="00664B6F">
      <w:pPr>
        <w:rPr>
          <w:color w:val="0D0D0D" w:themeColor="text1" w:themeTint="F2"/>
          <w:lang w:val="en-GB"/>
        </w:rPr>
      </w:pPr>
      <w:r w:rsidRPr="00215457">
        <w:rPr>
          <w:color w:val="0D0D0D" w:themeColor="text1" w:themeTint="F2"/>
          <w:lang w:val="en-GB"/>
        </w:rPr>
        <w:t>The youngest generation of workers, Gen Z, have an entrepreneurial spirit and aspires to advance their career at a faster pace. Gen Z are technologically skilled and advanced which can help them to adapt in international assignments even with lack of prior experiences (Chan and Lee, 2023 p.4-5)</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They focus on the use of cutting-edge technology to facilitate communication and collaboration. However, lack of extensive experience in global working roles restricts the readiness for Gen Z workers in long-term engagements (Pandita et al. 2023 p.1). Thus, it can be concluded that Gen Z people are highly adaptable but are also ready for transition according to their preference. </w:t>
      </w:r>
    </w:p>
    <w:p w14:paraId="2DDEC534" w14:textId="77777777" w:rsidR="00962F68" w:rsidRPr="00215457" w:rsidRDefault="00664B6F">
      <w:pPr>
        <w:pStyle w:val="Heading2"/>
        <w:rPr>
          <w:color w:val="0D0D0D" w:themeColor="text1" w:themeTint="F2"/>
          <w:lang w:val="en-GB"/>
        </w:rPr>
      </w:pPr>
      <w:bookmarkStart w:id="14" w:name="_ovn081jfc3y5" w:colFirst="0" w:colLast="0"/>
      <w:bookmarkStart w:id="15" w:name="_Toc193301492"/>
      <w:bookmarkEnd w:id="14"/>
      <w:r w:rsidRPr="00215457">
        <w:rPr>
          <w:color w:val="0D0D0D" w:themeColor="text1" w:themeTint="F2"/>
          <w:lang w:val="en-GB"/>
        </w:rPr>
        <w:lastRenderedPageBreak/>
        <w:t>iv) Technological Adaptation</w:t>
      </w:r>
      <w:bookmarkEnd w:id="15"/>
      <w:r w:rsidRPr="00215457">
        <w:rPr>
          <w:color w:val="0D0D0D" w:themeColor="text1" w:themeTint="F2"/>
          <w:lang w:val="en-GB"/>
        </w:rPr>
        <w:t xml:space="preserve"> </w:t>
      </w:r>
    </w:p>
    <w:p w14:paraId="5640217F" w14:textId="77777777" w:rsidR="00962F68" w:rsidRPr="00215457" w:rsidRDefault="00664B6F">
      <w:pPr>
        <w:rPr>
          <w:color w:val="0D0D0D" w:themeColor="text1" w:themeTint="F2"/>
          <w:lang w:val="en-GB"/>
        </w:rPr>
      </w:pPr>
      <w:r w:rsidRPr="00215457">
        <w:rPr>
          <w:color w:val="0D0D0D" w:themeColor="text1" w:themeTint="F2"/>
          <w:lang w:val="en-GB"/>
        </w:rPr>
        <w:t xml:space="preserve">Different strategies of technologies are adopted by the generations in the workforce to align with the digitalised advancements in the market. For instance, Gen X has grown in an environment that has witnessed human handling and is adapting to technological integration. It is asserted by Aswani and Otiende (2024, p.5) that Gen X in the workforce prefer face-to-face communication underscoring clear and straightforward interaction. This generation reflects in the use of technology for specific purposes only. It has been found out that only six out ten Gen X globally research on products online and shape their decisions of purchase (Davies, 2025). This indicates the traditional preference of communication and knowledge sharing among the Gen X workers. Additionally, </w:t>
      </w:r>
      <w:proofErr w:type="spellStart"/>
      <w:r w:rsidRPr="00215457">
        <w:rPr>
          <w:color w:val="0D0D0D" w:themeColor="text1" w:themeTint="F2"/>
          <w:lang w:val="en-GB"/>
        </w:rPr>
        <w:t>Twege</w:t>
      </w:r>
      <w:proofErr w:type="spellEnd"/>
      <w:r w:rsidRPr="00215457">
        <w:rPr>
          <w:color w:val="0D0D0D" w:themeColor="text1" w:themeTint="F2"/>
          <w:lang w:val="en-GB"/>
        </w:rPr>
        <w:t xml:space="preserve"> (2023, </w:t>
      </w:r>
      <w:proofErr w:type="spellStart"/>
      <w:r w:rsidRPr="00215457">
        <w:rPr>
          <w:color w:val="0D0D0D" w:themeColor="text1" w:themeTint="F2"/>
          <w:lang w:val="en-GB"/>
        </w:rPr>
        <w:t>p.7</w:t>
      </w:r>
      <w:proofErr w:type="spellEnd"/>
      <w:r w:rsidRPr="00215457">
        <w:rPr>
          <w:color w:val="0D0D0D" w:themeColor="text1" w:themeTint="F2"/>
          <w:lang w:val="en-GB"/>
        </w:rPr>
        <w:t xml:space="preserve">) points out that technological innovation has singled out every generation. For example, computer technologies have greatly impacted Millennials' experiences, and the growth of social media has immensely impacted Generation Z. This indicates that various means of technological adaptation among the generations of the workforce is an indication of their need for flexible and technology-based workspaces. </w:t>
      </w:r>
    </w:p>
    <w:p w14:paraId="7551FB85" w14:textId="77777777" w:rsidR="00962F68" w:rsidRPr="00215457" w:rsidRDefault="00664B6F">
      <w:pPr>
        <w:rPr>
          <w:color w:val="0D0D0D" w:themeColor="text1" w:themeTint="F2"/>
          <w:lang w:val="en-GB"/>
        </w:rPr>
      </w:pPr>
      <w:r w:rsidRPr="00215457">
        <w:rPr>
          <w:color w:val="0D0D0D" w:themeColor="text1" w:themeTint="F2"/>
          <w:lang w:val="en-GB"/>
        </w:rPr>
        <w:t>Therefore, technology is responsible for the determinants of workplace dynamics for all generational categories.</w:t>
      </w:r>
    </w:p>
    <w:p w14:paraId="652B1D38" w14:textId="77777777" w:rsidR="00962F68" w:rsidRPr="00215457" w:rsidRDefault="00664B6F">
      <w:pPr>
        <w:pStyle w:val="Heading2"/>
        <w:rPr>
          <w:color w:val="0D0D0D" w:themeColor="text1" w:themeTint="F2"/>
          <w:lang w:val="en-GB"/>
        </w:rPr>
      </w:pPr>
      <w:bookmarkStart w:id="16" w:name="_2f7szvl4xg1c" w:colFirst="0" w:colLast="0"/>
      <w:bookmarkStart w:id="17" w:name="_Toc193301493"/>
      <w:bookmarkEnd w:id="16"/>
      <w:r w:rsidRPr="00215457">
        <w:rPr>
          <w:color w:val="0D0D0D" w:themeColor="text1" w:themeTint="F2"/>
          <w:lang w:val="en-GB"/>
        </w:rPr>
        <w:t>v) Real-world HR strategies</w:t>
      </w:r>
      <w:bookmarkEnd w:id="17"/>
      <w:r w:rsidRPr="00215457">
        <w:rPr>
          <w:color w:val="0D0D0D" w:themeColor="text1" w:themeTint="F2"/>
          <w:lang w:val="en-GB"/>
        </w:rPr>
        <w:t xml:space="preserve"> </w:t>
      </w:r>
    </w:p>
    <w:p w14:paraId="420CC995" w14:textId="27EFB609" w:rsidR="00962F68" w:rsidRPr="00215457" w:rsidRDefault="00664B6F">
      <w:pPr>
        <w:rPr>
          <w:color w:val="0D0D0D" w:themeColor="text1" w:themeTint="F2"/>
          <w:lang w:val="en-GB"/>
        </w:rPr>
      </w:pPr>
      <w:r w:rsidRPr="00215457">
        <w:rPr>
          <w:color w:val="0D0D0D" w:themeColor="text1" w:themeTint="F2"/>
          <w:lang w:val="en-GB"/>
        </w:rPr>
        <w:t xml:space="preserve">The real-world HR strategies </w:t>
      </w:r>
      <w:r w:rsidR="00215457" w:rsidRPr="00215457">
        <w:rPr>
          <w:color w:val="0D0D0D" w:themeColor="text1" w:themeTint="F2"/>
          <w:lang w:val="en-GB"/>
        </w:rPr>
        <w:t>underscore</w:t>
      </w:r>
      <w:r w:rsidRPr="00215457">
        <w:rPr>
          <w:color w:val="0D0D0D" w:themeColor="text1" w:themeTint="F2"/>
          <w:lang w:val="en-GB"/>
        </w:rPr>
        <w:t xml:space="preserve"> the alignment of workforce management with the organisational outcomes</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This helps in driving productivity and innovation among the employees scaling their careers. For instance, </w:t>
      </w:r>
      <w:r w:rsidRPr="00215457">
        <w:rPr>
          <w:b/>
          <w:i/>
          <w:color w:val="0D0D0D" w:themeColor="text1" w:themeTint="F2"/>
          <w:lang w:val="en-GB"/>
        </w:rPr>
        <w:t>Nomad Education</w:t>
      </w:r>
      <w:r w:rsidRPr="00215457">
        <w:rPr>
          <w:color w:val="0D0D0D" w:themeColor="text1" w:themeTint="F2"/>
          <w:lang w:val="en-GB"/>
        </w:rPr>
        <w:t xml:space="preserve"> is a mission-driven organisation and an engaged member of the UNESCO Global Education Coalition. It has received broad acclaim for its dedication to enriching young people's learning opportunities worldwide. Additionally, it shifted to a premium subscription-based model, scaling opportunities for students and is expected to account for 25% of the organisation's revenue by 2025 (Google, 2024). In this context, </w:t>
      </w:r>
      <w:proofErr w:type="gramStart"/>
      <w:r w:rsidRPr="00215457">
        <w:rPr>
          <w:color w:val="0D0D0D" w:themeColor="text1" w:themeTint="F2"/>
          <w:lang w:val="en-GB"/>
        </w:rPr>
        <w:t>The</w:t>
      </w:r>
      <w:proofErr w:type="gramEnd"/>
      <w:r w:rsidRPr="00215457">
        <w:rPr>
          <w:color w:val="0D0D0D" w:themeColor="text1" w:themeTint="F2"/>
          <w:lang w:val="en-GB"/>
        </w:rPr>
        <w:t xml:space="preserve"> organisation serves more than six million students in France and French-speaking countries in Africa. To facilitate this growth, the company moved its platform to Google Cloud in 2022, utilising a scalable and robust infrastructure to handle its high-speed development (Google, 2024). Lastly, Google's Global Nomad program also allowed employees to </w:t>
      </w:r>
      <w:r w:rsidRPr="00215457">
        <w:rPr>
          <w:color w:val="0D0D0D" w:themeColor="text1" w:themeTint="F2"/>
          <w:lang w:val="en-GB"/>
        </w:rPr>
        <w:lastRenderedPageBreak/>
        <w:t xml:space="preserve">work remotely across various countries, encouraging flexibility and catering to different work styles. </w:t>
      </w:r>
    </w:p>
    <w:p w14:paraId="7F9E239B" w14:textId="77777777" w:rsidR="00962F68" w:rsidRPr="00215457" w:rsidRDefault="00664B6F">
      <w:pPr>
        <w:rPr>
          <w:color w:val="0D0D0D" w:themeColor="text1" w:themeTint="F2"/>
          <w:lang w:val="en-GB"/>
        </w:rPr>
      </w:pPr>
      <w:r w:rsidRPr="00215457">
        <w:rPr>
          <w:color w:val="0D0D0D" w:themeColor="text1" w:themeTint="F2"/>
          <w:lang w:val="en-GB"/>
        </w:rPr>
        <w:t>The programme opened scope to improved digital mobility for 80% of Millennials, who could participate in international assignments without having to physically move. Therefore, the programme has made global opportunities more accessible through creative work arrangements. Additionally, the</w:t>
      </w:r>
      <w:r w:rsidRPr="00215457">
        <w:rPr>
          <w:b/>
          <w:i/>
          <w:color w:val="0D0D0D" w:themeColor="text1" w:themeTint="F2"/>
          <w:lang w:val="en-GB"/>
        </w:rPr>
        <w:t xml:space="preserve"> International Mobility Strategy by Deloitte </w:t>
      </w:r>
      <w:r w:rsidRPr="00215457">
        <w:rPr>
          <w:color w:val="0D0D0D" w:themeColor="text1" w:themeTint="F2"/>
          <w:lang w:val="en-GB"/>
        </w:rPr>
        <w:t xml:space="preserve">focuses on tailoring career paths to meet individual requirements. This international mobility strategy blends formal career paths with virtual career moves, which are designed particularly for Gen X, Gen Z and Millennials (Deloitte, 2021). It is designed to drive both the organisation's market strategy and its talent development aspirations. Therefore, it remaps global mobility as a transformational element making it an integral part of the business and talent management strategy of the organisation. </w:t>
      </w:r>
    </w:p>
    <w:p w14:paraId="70C8E046" w14:textId="77777777" w:rsidR="00962F68" w:rsidRPr="00215457" w:rsidRDefault="00664B6F" w:rsidP="00215457">
      <w:pPr>
        <w:pStyle w:val="Heading1"/>
        <w:rPr>
          <w:color w:val="0D0D0D" w:themeColor="text1" w:themeTint="F2"/>
          <w:lang w:val="en-GB"/>
        </w:rPr>
      </w:pPr>
      <w:bookmarkStart w:id="18" w:name="_dqfaevqlrz78" w:colFirst="0" w:colLast="0"/>
      <w:bookmarkStart w:id="19" w:name="_Toc193301494"/>
      <w:bookmarkEnd w:id="18"/>
      <w:r w:rsidRPr="00215457">
        <w:rPr>
          <w:color w:val="0D0D0D" w:themeColor="text1" w:themeTint="F2"/>
          <w:lang w:val="en-GB"/>
        </w:rPr>
        <w:t>2. Critical Discussion on How Factors such as Culture, Personality and Skills/Experience may Impact Generational Differences</w:t>
      </w:r>
      <w:bookmarkEnd w:id="19"/>
    </w:p>
    <w:p w14:paraId="6550DE14" w14:textId="77777777" w:rsidR="00962F68" w:rsidRPr="00215457" w:rsidRDefault="00664B6F">
      <w:pPr>
        <w:pStyle w:val="Heading2"/>
        <w:rPr>
          <w:color w:val="0D0D0D" w:themeColor="text1" w:themeTint="F2"/>
          <w:lang w:val="en-GB"/>
        </w:rPr>
      </w:pPr>
      <w:bookmarkStart w:id="20" w:name="_nybun0q8f2rv" w:colFirst="0" w:colLast="0"/>
      <w:bookmarkStart w:id="21" w:name="_Toc193301495"/>
      <w:bookmarkEnd w:id="20"/>
      <w:r w:rsidRPr="00215457">
        <w:rPr>
          <w:color w:val="0D0D0D" w:themeColor="text1" w:themeTint="F2"/>
          <w:lang w:val="en-GB"/>
        </w:rPr>
        <w:t>i) Cultural Influences on International Career Receptivity</w:t>
      </w:r>
      <w:bookmarkEnd w:id="21"/>
      <w:r w:rsidRPr="00215457">
        <w:rPr>
          <w:color w:val="0D0D0D" w:themeColor="text1" w:themeTint="F2"/>
          <w:lang w:val="en-GB"/>
        </w:rPr>
        <w:t xml:space="preserve"> </w:t>
      </w:r>
    </w:p>
    <w:p w14:paraId="6A64A0D2" w14:textId="77777777" w:rsidR="00962F68" w:rsidRPr="00215457" w:rsidRDefault="00664B6F">
      <w:pPr>
        <w:rPr>
          <w:color w:val="0D0D0D" w:themeColor="text1" w:themeTint="F2"/>
          <w:lang w:val="en-GB"/>
        </w:rPr>
      </w:pPr>
      <w:r w:rsidRPr="00215457">
        <w:rPr>
          <w:color w:val="0D0D0D" w:themeColor="text1" w:themeTint="F2"/>
          <w:lang w:val="en-GB"/>
        </w:rPr>
        <w:t>Cultural forces are central in determining the degree of openness towards global careers that an individual holds. Hofstede's Cultural Dimensions Theory informs the manner in which factors such as individualism and collectivism, power distance, and uncertainty avoidance influence attitudes of an individual (</w:t>
      </w:r>
      <w:proofErr w:type="spellStart"/>
      <w:r w:rsidRPr="00215457">
        <w:rPr>
          <w:color w:val="0D0D0D" w:themeColor="text1" w:themeTint="F2"/>
          <w:lang w:val="en-GB"/>
        </w:rPr>
        <w:t>Nickersson</w:t>
      </w:r>
      <w:proofErr w:type="spellEnd"/>
      <w:r w:rsidRPr="00215457">
        <w:rPr>
          <w:color w:val="0D0D0D" w:themeColor="text1" w:themeTint="F2"/>
          <w:lang w:val="en-GB"/>
        </w:rPr>
        <w:t>, 2023). For example, employees from collectivist cultures could prioritise family and group harmony obligations and therefore are less inclined to accept international assignments. Therefore, by understanding these cultural differences, organisations can create customised global mobility policies that match employees' interests and facilitate cross-cultural adjustment.</w:t>
      </w:r>
    </w:p>
    <w:p w14:paraId="317A8649" w14:textId="77777777" w:rsidR="00962F68" w:rsidRPr="00215457" w:rsidRDefault="00664B6F">
      <w:pPr>
        <w:pStyle w:val="Heading3"/>
        <w:rPr>
          <w:color w:val="0D0D0D" w:themeColor="text1" w:themeTint="F2"/>
          <w:lang w:val="en-GB"/>
        </w:rPr>
      </w:pPr>
      <w:bookmarkStart w:id="22" w:name="_rompwlskmq1m" w:colFirst="0" w:colLast="0"/>
      <w:bookmarkEnd w:id="22"/>
      <w:r w:rsidRPr="00215457">
        <w:rPr>
          <w:color w:val="0D0D0D" w:themeColor="text1" w:themeTint="F2"/>
          <w:lang w:val="en-GB"/>
        </w:rPr>
        <w:lastRenderedPageBreak/>
        <w:t xml:space="preserve">Individualistic and Collectivist Culture </w:t>
      </w:r>
    </w:p>
    <w:p w14:paraId="447E6ADF" w14:textId="77777777" w:rsidR="00962F68" w:rsidRPr="00215457" w:rsidRDefault="00664B6F">
      <w:pPr>
        <w:jc w:val="center"/>
        <w:rPr>
          <w:color w:val="0D0D0D" w:themeColor="text1" w:themeTint="F2"/>
          <w:lang w:val="en-GB"/>
        </w:rPr>
      </w:pPr>
      <w:r w:rsidRPr="00215457">
        <w:rPr>
          <w:noProof/>
          <w:color w:val="0D0D0D" w:themeColor="text1" w:themeTint="F2"/>
          <w:lang w:val="en-GB"/>
        </w:rPr>
        <w:drawing>
          <wp:inline distT="114300" distB="114300" distL="114300" distR="114300" wp14:anchorId="6B5EEE00" wp14:editId="33DD5FE0">
            <wp:extent cx="5588683" cy="3466058"/>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588683" cy="3466058"/>
                    </a:xfrm>
                    <a:prstGeom prst="rect">
                      <a:avLst/>
                    </a:prstGeom>
                    <a:ln w="12700">
                      <a:solidFill>
                        <a:srgbClr val="000000"/>
                      </a:solidFill>
                      <a:prstDash val="solid"/>
                    </a:ln>
                  </pic:spPr>
                </pic:pic>
              </a:graphicData>
            </a:graphic>
          </wp:inline>
        </w:drawing>
      </w:r>
    </w:p>
    <w:p w14:paraId="40D6CA5F" w14:textId="77777777" w:rsidR="00962F68" w:rsidRPr="00215457" w:rsidRDefault="00664B6F">
      <w:pPr>
        <w:jc w:val="center"/>
        <w:rPr>
          <w:b/>
          <w:color w:val="0D0D0D" w:themeColor="text1" w:themeTint="F2"/>
          <w:lang w:val="en-GB"/>
        </w:rPr>
      </w:pPr>
      <w:r w:rsidRPr="00215457">
        <w:rPr>
          <w:b/>
          <w:color w:val="0D0D0D" w:themeColor="text1" w:themeTint="F2"/>
          <w:lang w:val="en-GB"/>
        </w:rPr>
        <w:t>Figure 2: Hofstede’s Cultural Dimension between UK and China</w:t>
      </w:r>
    </w:p>
    <w:p w14:paraId="0B1E84CB" w14:textId="77777777" w:rsidR="00962F68" w:rsidRPr="00215457" w:rsidRDefault="00664B6F">
      <w:pPr>
        <w:jc w:val="center"/>
        <w:rPr>
          <w:color w:val="0D0D0D" w:themeColor="text1" w:themeTint="F2"/>
          <w:lang w:val="en-GB"/>
        </w:rPr>
      </w:pPr>
      <w:r w:rsidRPr="00215457">
        <w:rPr>
          <w:color w:val="0D0D0D" w:themeColor="text1" w:themeTint="F2"/>
          <w:lang w:val="en-GB"/>
        </w:rPr>
        <w:t xml:space="preserve">(Source: The Culture Factor Group. 2025a) </w:t>
      </w:r>
    </w:p>
    <w:p w14:paraId="2CD910E7" w14:textId="77777777" w:rsidR="00962F68" w:rsidRPr="00215457" w:rsidRDefault="00664B6F">
      <w:pPr>
        <w:rPr>
          <w:color w:val="0D0D0D" w:themeColor="text1" w:themeTint="F2"/>
          <w:lang w:val="en-GB"/>
        </w:rPr>
      </w:pPr>
      <w:r w:rsidRPr="00215457">
        <w:rPr>
          <w:color w:val="0D0D0D" w:themeColor="text1" w:themeTint="F2"/>
          <w:lang w:val="en-GB"/>
        </w:rPr>
        <w:t xml:space="preserve">The employees from western culture such as the UK, USA and Australia are inclined towards individual progress. </w:t>
      </w:r>
      <w:r w:rsidRPr="00215457">
        <w:rPr>
          <w:i/>
          <w:color w:val="0D0D0D" w:themeColor="text1" w:themeTint="F2"/>
          <w:lang w:val="en-GB"/>
        </w:rPr>
        <w:t>Figure 2</w:t>
      </w:r>
      <w:r w:rsidRPr="00215457">
        <w:rPr>
          <w:color w:val="0D0D0D" w:themeColor="text1" w:themeTint="F2"/>
          <w:lang w:val="en-GB"/>
        </w:rPr>
        <w:t xml:space="preserve"> illustrates the factor of individualism among the countries UK and China. It has been highlighted that western countries, the UK underscores a high score of individualistic culture with a score of 76. It is asserted by </w:t>
      </w:r>
      <w:proofErr w:type="spellStart"/>
      <w:r w:rsidRPr="00215457">
        <w:rPr>
          <w:color w:val="0D0D0D" w:themeColor="text1" w:themeTint="F2"/>
          <w:lang w:val="en-GB"/>
        </w:rPr>
        <w:t>Salvadorinho</w:t>
      </w:r>
      <w:proofErr w:type="spellEnd"/>
      <w:r w:rsidRPr="00215457">
        <w:rPr>
          <w:color w:val="0D0D0D" w:themeColor="text1" w:themeTint="F2"/>
          <w:lang w:val="en-GB"/>
        </w:rPr>
        <w:t xml:space="preserve"> </w:t>
      </w:r>
      <w:r w:rsidRPr="00215457">
        <w:rPr>
          <w:i/>
          <w:color w:val="0D0D0D" w:themeColor="text1" w:themeTint="F2"/>
          <w:lang w:val="en-GB"/>
        </w:rPr>
        <w:t xml:space="preserve">et al. </w:t>
      </w:r>
      <w:r w:rsidRPr="00215457">
        <w:rPr>
          <w:color w:val="0D0D0D" w:themeColor="text1" w:themeTint="F2"/>
          <w:lang w:val="en-GB"/>
        </w:rPr>
        <w:t xml:space="preserve">(2024, p.3) that self-improvement is a major factor that drives generations to migrate towards better opportunities in different countries. In addition to this, China indicates a relatively lower score of individualism that is 43. This denotes a collectivist culture within the individuals of China. In this respect, it can be stated that Asian countries focus on family considerations before making decisions of relocations. As per the comments of </w:t>
      </w:r>
      <w:proofErr w:type="spellStart"/>
      <w:r w:rsidRPr="00215457">
        <w:rPr>
          <w:color w:val="0D0D0D" w:themeColor="text1" w:themeTint="F2"/>
          <w:lang w:val="en-GB"/>
        </w:rPr>
        <w:t>Birtalin</w:t>
      </w:r>
      <w:proofErr w:type="spellEnd"/>
      <w:r w:rsidRPr="00215457">
        <w:rPr>
          <w:color w:val="0D0D0D" w:themeColor="text1" w:themeTint="F2"/>
          <w:lang w:val="en-GB"/>
        </w:rPr>
        <w:t xml:space="preserve"> (2021, p. 30-31), flexible work arrangements and digital mobility allows employees to scale their career along with maintaining work-life balance. HR strategies tailoring to generational needs helps in effectively aligning the workforce with the organisational goals. </w:t>
      </w:r>
    </w:p>
    <w:p w14:paraId="1E6A2764" w14:textId="5AB34776" w:rsidR="00962F68" w:rsidRPr="00215457" w:rsidRDefault="00664B6F">
      <w:pPr>
        <w:rPr>
          <w:color w:val="0D0D0D" w:themeColor="text1" w:themeTint="F2"/>
          <w:lang w:val="en-GB"/>
        </w:rPr>
      </w:pPr>
      <w:r w:rsidRPr="00215457">
        <w:rPr>
          <w:color w:val="0D0D0D" w:themeColor="text1" w:themeTint="F2"/>
          <w:lang w:val="en-GB"/>
        </w:rPr>
        <w:lastRenderedPageBreak/>
        <w:t xml:space="preserve">The </w:t>
      </w:r>
      <w:r w:rsidRPr="00215457">
        <w:rPr>
          <w:b/>
          <w:i/>
          <w:color w:val="0D0D0D" w:themeColor="text1" w:themeTint="F2"/>
          <w:lang w:val="en-GB"/>
        </w:rPr>
        <w:t>Maslow’s Hierarchy of Needs</w:t>
      </w:r>
      <w:r w:rsidRPr="00215457">
        <w:rPr>
          <w:color w:val="0D0D0D" w:themeColor="text1" w:themeTint="F2"/>
          <w:lang w:val="en-GB"/>
        </w:rPr>
        <w:t xml:space="preserve"> effectively aligns with the individual behaviour and factors driving decision across generations. The theory focuses on the </w:t>
      </w:r>
      <w:r w:rsidR="00215457" w:rsidRPr="00215457">
        <w:rPr>
          <w:color w:val="0D0D0D" w:themeColor="text1" w:themeTint="F2"/>
          <w:lang w:val="en-GB"/>
        </w:rPr>
        <w:t>fulfilment</w:t>
      </w:r>
      <w:r w:rsidRPr="00215457">
        <w:rPr>
          <w:color w:val="0D0D0D" w:themeColor="text1" w:themeTint="F2"/>
          <w:lang w:val="en-GB"/>
        </w:rPr>
        <w:t xml:space="preserve"> of hierarchical Needs underscoring physiological and self-actualisation requirements of an individual (Frei and Levin, 2023 p. 2)</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In individualist cultures such as the UK, USA, and Australia, the workers might prefer self-actualization and esteem needs, desiring international postings to attain personal development and career progression. However, in collectivist cultures such as China, the focus is on meeting belongingness and safety needs such as family interests, group unity, and security before choosing to relocate. In this respect, </w:t>
      </w:r>
      <w:r w:rsidRPr="00215457">
        <w:rPr>
          <w:b/>
          <w:i/>
          <w:color w:val="0D0D0D" w:themeColor="text1" w:themeTint="F2"/>
          <w:lang w:val="en-GB"/>
        </w:rPr>
        <w:t>Unilever's Global Leadership Programme</w:t>
      </w:r>
      <w:r w:rsidRPr="00215457">
        <w:rPr>
          <w:color w:val="0D0D0D" w:themeColor="text1" w:themeTint="F2"/>
          <w:lang w:val="en-GB"/>
        </w:rPr>
        <w:t xml:space="preserve"> is a key illustration by which multinational companies can adapt leadership development programs to fit different cultures. The program highlights the aspect of cultural fitting by making relocation policies dependent on workers' cultural choice so that international assignments become more attractive to them (Unilever, 2025). Unilever offers additional economic benefits for the workforce in high uncertainty avoidance cultures to further increase their participation. </w:t>
      </w:r>
    </w:p>
    <w:p w14:paraId="6975E704" w14:textId="77777777" w:rsidR="00962F68" w:rsidRPr="00215457" w:rsidRDefault="00664B6F">
      <w:pPr>
        <w:pStyle w:val="Heading3"/>
        <w:rPr>
          <w:color w:val="0D0D0D" w:themeColor="text1" w:themeTint="F2"/>
          <w:lang w:val="en-GB"/>
        </w:rPr>
      </w:pPr>
      <w:bookmarkStart w:id="23" w:name="_fzzz6llww1ut" w:colFirst="0" w:colLast="0"/>
      <w:bookmarkEnd w:id="23"/>
      <w:r w:rsidRPr="00215457">
        <w:rPr>
          <w:color w:val="0D0D0D" w:themeColor="text1" w:themeTint="F2"/>
          <w:lang w:val="en-GB"/>
        </w:rPr>
        <w:t xml:space="preserve">Rate of Avoidance </w:t>
      </w:r>
    </w:p>
    <w:p w14:paraId="6B2C6D6D" w14:textId="77777777" w:rsidR="00962F68" w:rsidRPr="00215457" w:rsidRDefault="00664B6F">
      <w:pPr>
        <w:jc w:val="center"/>
        <w:rPr>
          <w:b/>
          <w:color w:val="0D0D0D" w:themeColor="text1" w:themeTint="F2"/>
          <w:lang w:val="en-GB"/>
        </w:rPr>
      </w:pPr>
      <w:r w:rsidRPr="00215457">
        <w:rPr>
          <w:b/>
          <w:noProof/>
          <w:color w:val="0D0D0D" w:themeColor="text1" w:themeTint="F2"/>
          <w:lang w:val="en-GB"/>
        </w:rPr>
        <w:drawing>
          <wp:inline distT="114300" distB="114300" distL="114300" distR="114300" wp14:anchorId="4EB3E12D" wp14:editId="65D25C27">
            <wp:extent cx="5681686" cy="342358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681686" cy="3423580"/>
                    </a:xfrm>
                    <a:prstGeom prst="rect">
                      <a:avLst/>
                    </a:prstGeom>
                    <a:ln w="12700">
                      <a:solidFill>
                        <a:srgbClr val="000000"/>
                      </a:solidFill>
                      <a:prstDash val="solid"/>
                    </a:ln>
                  </pic:spPr>
                </pic:pic>
              </a:graphicData>
            </a:graphic>
          </wp:inline>
        </w:drawing>
      </w:r>
    </w:p>
    <w:p w14:paraId="226EDACC" w14:textId="77777777" w:rsidR="00962F68" w:rsidRPr="00215457" w:rsidRDefault="00664B6F">
      <w:pPr>
        <w:jc w:val="center"/>
        <w:rPr>
          <w:b/>
          <w:color w:val="0D0D0D" w:themeColor="text1" w:themeTint="F2"/>
          <w:lang w:val="en-GB"/>
        </w:rPr>
      </w:pPr>
      <w:r w:rsidRPr="00215457">
        <w:rPr>
          <w:b/>
          <w:color w:val="0D0D0D" w:themeColor="text1" w:themeTint="F2"/>
          <w:lang w:val="en-GB"/>
        </w:rPr>
        <w:t>Figure 3: Hofstede’s Cultural Dimension between UK and Japan</w:t>
      </w:r>
    </w:p>
    <w:p w14:paraId="11CC82AD" w14:textId="77777777" w:rsidR="00962F68" w:rsidRPr="00215457" w:rsidRDefault="00664B6F">
      <w:pPr>
        <w:jc w:val="center"/>
        <w:rPr>
          <w:color w:val="0D0D0D" w:themeColor="text1" w:themeTint="F2"/>
          <w:lang w:val="en-GB"/>
        </w:rPr>
      </w:pPr>
      <w:r w:rsidRPr="00215457">
        <w:rPr>
          <w:color w:val="0D0D0D" w:themeColor="text1" w:themeTint="F2"/>
          <w:lang w:val="en-GB"/>
        </w:rPr>
        <w:lastRenderedPageBreak/>
        <w:t xml:space="preserve">(Source: The Culture Factor Group. 2025b) </w:t>
      </w:r>
    </w:p>
    <w:p w14:paraId="6DBDF405" w14:textId="77777777" w:rsidR="00962F68" w:rsidRPr="00215457" w:rsidRDefault="00664B6F">
      <w:pPr>
        <w:rPr>
          <w:color w:val="0D0D0D" w:themeColor="text1" w:themeTint="F2"/>
          <w:lang w:val="en-GB"/>
        </w:rPr>
      </w:pPr>
      <w:r w:rsidRPr="00215457">
        <w:rPr>
          <w:color w:val="0D0D0D" w:themeColor="text1" w:themeTint="F2"/>
          <w:lang w:val="en-GB"/>
        </w:rPr>
        <w:t>The employees from western culture such as the UK, Netherlands and USA are incline towards individual progress and thereby are not much reluctant towards mobility</w:t>
      </w:r>
      <w:proofErr w:type="gramStart"/>
      <w:r w:rsidRPr="00215457">
        <w:rPr>
          <w:color w:val="0D0D0D" w:themeColor="text1" w:themeTint="F2"/>
          <w:lang w:val="en-GB"/>
        </w:rPr>
        <w:t xml:space="preserve">. </w:t>
      </w:r>
      <w:proofErr w:type="gramEnd"/>
      <w:r w:rsidRPr="00215457">
        <w:rPr>
          <w:i/>
          <w:color w:val="0D0D0D" w:themeColor="text1" w:themeTint="F2"/>
          <w:lang w:val="en-GB"/>
        </w:rPr>
        <w:t>Figure 3</w:t>
      </w:r>
      <w:r w:rsidRPr="00215457">
        <w:rPr>
          <w:color w:val="0D0D0D" w:themeColor="text1" w:themeTint="F2"/>
          <w:lang w:val="en-GB"/>
        </w:rPr>
        <w:t xml:space="preserve"> illustrates the factor of uncertainty avoidance among the countries UK and Japan. It has been highlighted that western countries, the UK underscores a low uncertainty score of 35. This can be supported through their individualism score of 76 denoting lower resistance to change (Culture Factor 2025b). In addition to this, Japan underscores a score of 92 in uncertainty avoidance. This indicates that Asian countries' employees look for opportunities within their home town (</w:t>
      </w:r>
      <w:proofErr w:type="spellStart"/>
      <w:r w:rsidRPr="00215457">
        <w:rPr>
          <w:color w:val="0D0D0D" w:themeColor="text1" w:themeTint="F2"/>
          <w:lang w:val="en-GB"/>
        </w:rPr>
        <w:t>Voumik</w:t>
      </w:r>
      <w:proofErr w:type="spellEnd"/>
      <w:r w:rsidRPr="00215457">
        <w:rPr>
          <w:color w:val="0D0D0D" w:themeColor="text1" w:themeTint="F2"/>
          <w:lang w:val="en-GB"/>
        </w:rPr>
        <w:t xml:space="preserve"> </w:t>
      </w:r>
      <w:r w:rsidRPr="00215457">
        <w:rPr>
          <w:i/>
          <w:color w:val="0D0D0D" w:themeColor="text1" w:themeTint="F2"/>
          <w:lang w:val="en-GB"/>
        </w:rPr>
        <w:t xml:space="preserve">et al. </w:t>
      </w:r>
      <w:r w:rsidRPr="00215457">
        <w:rPr>
          <w:color w:val="0D0D0D" w:themeColor="text1" w:themeTint="F2"/>
          <w:lang w:val="en-GB"/>
        </w:rPr>
        <w:t xml:space="preserve">2022 p.57). This allows them to maintain the work-life balance effectively. Thus, the indication towards hybrid and flexible work arrangements allows the generation of employees from different cultural backgrounds to enable acceptance towards global careers </w:t>
      </w:r>
    </w:p>
    <w:p w14:paraId="2B476778" w14:textId="77777777" w:rsidR="00962F68" w:rsidRPr="00215457" w:rsidRDefault="00664B6F">
      <w:pPr>
        <w:pStyle w:val="Heading2"/>
        <w:rPr>
          <w:color w:val="0D0D0D" w:themeColor="text1" w:themeTint="F2"/>
          <w:lang w:val="en-GB"/>
        </w:rPr>
      </w:pPr>
      <w:bookmarkStart w:id="24" w:name="_tp43pa97aax4" w:colFirst="0" w:colLast="0"/>
      <w:bookmarkStart w:id="25" w:name="_Toc193301496"/>
      <w:bookmarkEnd w:id="24"/>
      <w:r w:rsidRPr="00215457">
        <w:rPr>
          <w:color w:val="0D0D0D" w:themeColor="text1" w:themeTint="F2"/>
          <w:lang w:val="en-GB"/>
        </w:rPr>
        <w:t>ii) Personality Traits or Experience and Global Career Receptivity</w:t>
      </w:r>
      <w:bookmarkEnd w:id="25"/>
      <w:r w:rsidRPr="00215457">
        <w:rPr>
          <w:color w:val="0D0D0D" w:themeColor="text1" w:themeTint="F2"/>
          <w:lang w:val="en-GB"/>
        </w:rPr>
        <w:t xml:space="preserve"> </w:t>
      </w:r>
    </w:p>
    <w:p w14:paraId="6D591F9D" w14:textId="77777777" w:rsidR="00962F68" w:rsidRPr="00215457" w:rsidRDefault="00664B6F">
      <w:pPr>
        <w:rPr>
          <w:color w:val="0D0D0D" w:themeColor="text1" w:themeTint="F2"/>
          <w:lang w:val="en-GB"/>
        </w:rPr>
      </w:pPr>
      <w:r w:rsidRPr="00215457">
        <w:rPr>
          <w:color w:val="0D0D0D" w:themeColor="text1" w:themeTint="F2"/>
          <w:lang w:val="en-GB"/>
        </w:rPr>
        <w:t>The personality trait essentially means the attitude of the employees with respect to the acceptance and readiness towards the global career receptivity across generations. Gen Z and millennials have an increased willingness to try new experiences, and thus fit well for adjusting to overseas assignments. Wajdi (2024) indicates that willingness of GenZ makes the generations open to taking part in diverse cultural experiences. Organisations can therefore stand chances of redesigning projects to suit the interests and tastes of the groups. In addition to this, Generation X values stability and is not inclined towards making such career decisions with respect to international postings. Their desire for a clear career path and greater consumption levels makes them more job-security-oriented compared to mobility (Medium, 2024)</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Therefore, the guarantee of stability remains the main focus for this generation when it comes to global opportunities. </w:t>
      </w:r>
    </w:p>
    <w:p w14:paraId="0F1EACA5" w14:textId="77777777" w:rsidR="00962F68" w:rsidRPr="00215457" w:rsidRDefault="00664B6F">
      <w:pPr>
        <w:rPr>
          <w:color w:val="0D0D0D" w:themeColor="text1" w:themeTint="F2"/>
          <w:lang w:val="en-GB"/>
        </w:rPr>
      </w:pPr>
      <w:r w:rsidRPr="00215457">
        <w:rPr>
          <w:color w:val="0D0D0D" w:themeColor="text1" w:themeTint="F2"/>
          <w:lang w:val="en-GB"/>
        </w:rPr>
        <w:t xml:space="preserve">Millennials perform well in international careers with an overemphasis on networking opportunities, while Gen Z prefers online interaction. Both generations value flexibility in employment arrangements and depend to a large extent on digitised communication channels (Deloitte, 2024). Therefore, in order to maintain engagement of the workers </w:t>
      </w:r>
      <w:r w:rsidRPr="00215457">
        <w:rPr>
          <w:color w:val="0D0D0D" w:themeColor="text1" w:themeTint="F2"/>
          <w:lang w:val="en-GB"/>
        </w:rPr>
        <w:lastRenderedPageBreak/>
        <w:t>across generations it is necessary for the organisations to implement hybrid work environments that suit the needs of their employees.</w:t>
      </w:r>
    </w:p>
    <w:p w14:paraId="26D1EAEB" w14:textId="77777777" w:rsidR="00962F68" w:rsidRPr="00215457" w:rsidRDefault="00664B6F">
      <w:pPr>
        <w:pStyle w:val="Heading1"/>
        <w:rPr>
          <w:color w:val="0D0D0D" w:themeColor="text1" w:themeTint="F2"/>
          <w:lang w:val="en-GB"/>
        </w:rPr>
      </w:pPr>
      <w:bookmarkStart w:id="26" w:name="_c7gfo42tkpdh" w:colFirst="0" w:colLast="0"/>
      <w:bookmarkStart w:id="27" w:name="_Toc193301497"/>
      <w:bookmarkEnd w:id="26"/>
      <w:r w:rsidRPr="00215457">
        <w:rPr>
          <w:color w:val="0D0D0D" w:themeColor="text1" w:themeTint="F2"/>
          <w:lang w:val="en-GB"/>
        </w:rPr>
        <w:t>Conclusion</w:t>
      </w:r>
      <w:bookmarkEnd w:id="27"/>
    </w:p>
    <w:p w14:paraId="5E2DFCF4" w14:textId="77777777" w:rsidR="00962F68" w:rsidRPr="00215457" w:rsidRDefault="00664B6F">
      <w:pPr>
        <w:rPr>
          <w:color w:val="0D0D0D" w:themeColor="text1" w:themeTint="F2"/>
          <w:lang w:val="en-GB"/>
        </w:rPr>
      </w:pPr>
      <w:r w:rsidRPr="00215457">
        <w:rPr>
          <w:color w:val="0D0D0D" w:themeColor="text1" w:themeTint="F2"/>
          <w:lang w:val="en-GB"/>
        </w:rPr>
        <w:t xml:space="preserve">Generational differences play a major role in receptivity to global careers, influenced by openness to experience, conscientiousness and extraversion. Millennials and Gen Z have a high preference for cultural flexibility, experience openness and digital engagement, with flexibility and work-life balance being a priority. Gen X, on the other hand, values stability and job security and tends to be cautious about taking risks in global mobility opportunities. Organisations in turn, need to implement talent management strategies suited to the requirements of every generation. Moreover, it helps in developing an understanding with respect to openness and contributing factors across generations shaping their decision regarding international assignments. Thus, grasping the following factors can help organisations to maximize global mobility programs, boost workforce engagement and maintain competitive edge in a changing workforce in the international market. </w:t>
      </w:r>
      <w:r w:rsidRPr="00215457">
        <w:rPr>
          <w:color w:val="0D0D0D" w:themeColor="text1" w:themeTint="F2"/>
          <w:lang w:val="en-GB"/>
        </w:rPr>
        <w:br w:type="page"/>
      </w:r>
    </w:p>
    <w:p w14:paraId="254E16B3" w14:textId="77777777" w:rsidR="00962F68" w:rsidRPr="00215457" w:rsidRDefault="00664B6F">
      <w:pPr>
        <w:pStyle w:val="Heading1"/>
        <w:rPr>
          <w:color w:val="0D0D0D" w:themeColor="text1" w:themeTint="F2"/>
          <w:lang w:val="en-GB"/>
        </w:rPr>
      </w:pPr>
      <w:bookmarkStart w:id="28" w:name="_jrxzywd6v063" w:colFirst="0" w:colLast="0"/>
      <w:bookmarkStart w:id="29" w:name="_Toc193301498"/>
      <w:bookmarkEnd w:id="28"/>
      <w:r w:rsidRPr="00215457">
        <w:rPr>
          <w:color w:val="0D0D0D" w:themeColor="text1" w:themeTint="F2"/>
          <w:lang w:val="en-GB"/>
        </w:rPr>
        <w:lastRenderedPageBreak/>
        <w:t>References</w:t>
      </w:r>
      <w:bookmarkEnd w:id="29"/>
      <w:r w:rsidRPr="00215457">
        <w:rPr>
          <w:color w:val="0D0D0D" w:themeColor="text1" w:themeTint="F2"/>
          <w:lang w:val="en-GB"/>
        </w:rPr>
        <w:t xml:space="preserve"> </w:t>
      </w:r>
    </w:p>
    <w:p w14:paraId="4D90034A" w14:textId="77777777" w:rsidR="00215457" w:rsidRPr="00215457" w:rsidRDefault="00215457">
      <w:pPr>
        <w:spacing w:after="200"/>
        <w:rPr>
          <w:color w:val="0D0D0D" w:themeColor="text1" w:themeTint="F2"/>
          <w:lang w:val="en-GB"/>
        </w:rPr>
      </w:pPr>
      <w:r w:rsidRPr="00215457">
        <w:rPr>
          <w:color w:val="0D0D0D" w:themeColor="text1" w:themeTint="F2"/>
          <w:lang w:val="en-GB"/>
        </w:rPr>
        <w:t>Aswani, D. and Otiende, J.O., (2024)</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‘Effective Workplace Communication: Organizational Subcultures and Communication Preferences for Gen Z’s’. </w:t>
      </w:r>
      <w:r w:rsidRPr="00215457">
        <w:rPr>
          <w:i/>
          <w:color w:val="0D0D0D" w:themeColor="text1" w:themeTint="F2"/>
          <w:lang w:val="en-GB"/>
        </w:rPr>
        <w:t>Journal of the Kenya National Commission for UNESCO</w:t>
      </w:r>
      <w:r w:rsidRPr="00215457">
        <w:rPr>
          <w:color w:val="0D0D0D" w:themeColor="text1" w:themeTint="F2"/>
          <w:lang w:val="en-GB"/>
        </w:rPr>
        <w:t xml:space="preserve">, </w:t>
      </w:r>
      <w:r w:rsidRPr="00215457">
        <w:rPr>
          <w:i/>
          <w:color w:val="0D0D0D" w:themeColor="text1" w:themeTint="F2"/>
          <w:lang w:val="en-GB"/>
        </w:rPr>
        <w:t>5</w:t>
      </w:r>
      <w:r w:rsidRPr="00215457">
        <w:rPr>
          <w:color w:val="0D0D0D" w:themeColor="text1" w:themeTint="F2"/>
          <w:lang w:val="en-GB"/>
        </w:rPr>
        <w:t xml:space="preserve">(1). </w:t>
      </w:r>
    </w:p>
    <w:p w14:paraId="28DB1476" w14:textId="77777777" w:rsidR="00215457" w:rsidRPr="00215457" w:rsidRDefault="00215457">
      <w:pPr>
        <w:spacing w:after="200"/>
        <w:rPr>
          <w:color w:val="0D0D0D" w:themeColor="text1" w:themeTint="F2"/>
          <w:lang w:val="en-GB"/>
        </w:rPr>
      </w:pPr>
      <w:r w:rsidRPr="00215457">
        <w:rPr>
          <w:color w:val="0D0D0D" w:themeColor="text1" w:themeTint="F2"/>
          <w:lang w:val="en-GB"/>
        </w:rPr>
        <w:t xml:space="preserve">Birtalan, Á.A., (2021). ‘Flexible working practices in the </w:t>
      </w:r>
      <w:proofErr w:type="spellStart"/>
      <w:r w:rsidRPr="00215457">
        <w:rPr>
          <w:color w:val="0D0D0D" w:themeColor="text1" w:themeTint="F2"/>
          <w:lang w:val="en-GB"/>
        </w:rPr>
        <w:t>ict</w:t>
      </w:r>
      <w:proofErr w:type="spellEnd"/>
      <w:r w:rsidRPr="00215457">
        <w:rPr>
          <w:color w:val="0D0D0D" w:themeColor="text1" w:themeTint="F2"/>
          <w:lang w:val="en-GB"/>
        </w:rPr>
        <w:t xml:space="preserve"> industry in achieving work-life balance’. </w:t>
      </w:r>
      <w:r w:rsidRPr="00215457">
        <w:rPr>
          <w:i/>
          <w:color w:val="0D0D0D" w:themeColor="text1" w:themeTint="F2"/>
          <w:lang w:val="en-GB"/>
        </w:rPr>
        <w:t>Studia Universitatis Babes-Bolyai-</w:t>
      </w:r>
      <w:proofErr w:type="spellStart"/>
      <w:r w:rsidRPr="00215457">
        <w:rPr>
          <w:i/>
          <w:color w:val="0D0D0D" w:themeColor="text1" w:themeTint="F2"/>
          <w:lang w:val="en-GB"/>
        </w:rPr>
        <w:t>Sociologia</w:t>
      </w:r>
      <w:proofErr w:type="spellEnd"/>
      <w:r w:rsidRPr="00215457">
        <w:rPr>
          <w:color w:val="0D0D0D" w:themeColor="text1" w:themeTint="F2"/>
          <w:lang w:val="en-GB"/>
        </w:rPr>
        <w:t xml:space="preserve">, </w:t>
      </w:r>
      <w:r w:rsidRPr="00215457">
        <w:rPr>
          <w:i/>
          <w:color w:val="0D0D0D" w:themeColor="text1" w:themeTint="F2"/>
          <w:lang w:val="en-GB"/>
        </w:rPr>
        <w:t>66</w:t>
      </w:r>
      <w:r w:rsidRPr="00215457">
        <w:rPr>
          <w:color w:val="0D0D0D" w:themeColor="text1" w:themeTint="F2"/>
          <w:lang w:val="en-GB"/>
        </w:rPr>
        <w:t>(1), pp.29-50.</w:t>
      </w:r>
    </w:p>
    <w:p w14:paraId="77ACBFE4" w14:textId="77777777" w:rsidR="00215457" w:rsidRPr="00215457" w:rsidRDefault="00215457">
      <w:pPr>
        <w:spacing w:after="200"/>
        <w:rPr>
          <w:color w:val="0D0D0D" w:themeColor="text1" w:themeTint="F2"/>
          <w:lang w:val="en-GB"/>
        </w:rPr>
      </w:pPr>
      <w:proofErr w:type="spellStart"/>
      <w:r w:rsidRPr="00215457">
        <w:rPr>
          <w:color w:val="0D0D0D" w:themeColor="text1" w:themeTint="F2"/>
          <w:lang w:val="en-GB"/>
        </w:rPr>
        <w:t>Bozionelos</w:t>
      </w:r>
      <w:proofErr w:type="spellEnd"/>
      <w:r w:rsidRPr="00215457">
        <w:rPr>
          <w:color w:val="0D0D0D" w:themeColor="text1" w:themeTint="F2"/>
          <w:lang w:val="en-GB"/>
        </w:rPr>
        <w:t xml:space="preserve">, N., </w:t>
      </w:r>
      <w:proofErr w:type="spellStart"/>
      <w:r w:rsidRPr="00215457">
        <w:rPr>
          <w:color w:val="0D0D0D" w:themeColor="text1" w:themeTint="F2"/>
          <w:lang w:val="en-GB"/>
        </w:rPr>
        <w:t>Bozionelos</w:t>
      </w:r>
      <w:proofErr w:type="spellEnd"/>
      <w:r w:rsidRPr="00215457">
        <w:rPr>
          <w:color w:val="0D0D0D" w:themeColor="text1" w:themeTint="F2"/>
          <w:lang w:val="en-GB"/>
        </w:rPr>
        <w:t xml:space="preserve">, G., Kostopoulos, K., </w:t>
      </w:r>
      <w:proofErr w:type="spellStart"/>
      <w:r w:rsidRPr="00215457">
        <w:rPr>
          <w:color w:val="0D0D0D" w:themeColor="text1" w:themeTint="F2"/>
          <w:lang w:val="en-GB"/>
        </w:rPr>
        <w:t>Shyong</w:t>
      </w:r>
      <w:proofErr w:type="spellEnd"/>
      <w:r w:rsidRPr="00215457">
        <w:rPr>
          <w:color w:val="0D0D0D" w:themeColor="text1" w:themeTint="F2"/>
          <w:lang w:val="en-GB"/>
        </w:rPr>
        <w:t>, C.H., Baruch, Y. and Zhou, W., (2015)</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‘International graduate students; perceptions and interest in international careers.’ The International </w:t>
      </w:r>
      <w:r w:rsidRPr="00215457">
        <w:rPr>
          <w:i/>
          <w:color w:val="0D0D0D" w:themeColor="text1" w:themeTint="F2"/>
          <w:lang w:val="en-GB"/>
        </w:rPr>
        <w:t>Journal of Human Resource Management, 26</w:t>
      </w:r>
      <w:r w:rsidRPr="00215457">
        <w:rPr>
          <w:color w:val="0D0D0D" w:themeColor="text1" w:themeTint="F2"/>
          <w:lang w:val="en-GB"/>
        </w:rPr>
        <w:t>(11), pp.1428-1451.</w:t>
      </w:r>
    </w:p>
    <w:p w14:paraId="394A838B" w14:textId="77777777" w:rsidR="00215457" w:rsidRPr="00215457" w:rsidRDefault="00215457">
      <w:pPr>
        <w:spacing w:after="200"/>
        <w:rPr>
          <w:color w:val="0D0D0D" w:themeColor="text1" w:themeTint="F2"/>
          <w:lang w:val="en-GB"/>
        </w:rPr>
      </w:pPr>
      <w:r w:rsidRPr="00215457">
        <w:rPr>
          <w:color w:val="0D0D0D" w:themeColor="text1" w:themeTint="F2"/>
          <w:lang w:val="en-GB"/>
        </w:rPr>
        <w:t xml:space="preserve">Chan, C.K.Y. and Lee, K.K., (2023). ‘The AI generation gap: Are Gen Z students more interested in adopting generative AI such as ChatGPT in teaching and learning than their Gen X and millennial generation teachers?’. </w:t>
      </w:r>
      <w:r w:rsidRPr="00215457">
        <w:rPr>
          <w:i/>
          <w:color w:val="0D0D0D" w:themeColor="text1" w:themeTint="F2"/>
          <w:lang w:val="en-GB"/>
        </w:rPr>
        <w:t>Smart learning environments</w:t>
      </w:r>
      <w:r w:rsidRPr="00215457">
        <w:rPr>
          <w:color w:val="0D0D0D" w:themeColor="text1" w:themeTint="F2"/>
          <w:lang w:val="en-GB"/>
        </w:rPr>
        <w:t xml:space="preserve">, </w:t>
      </w:r>
      <w:r w:rsidRPr="00215457">
        <w:rPr>
          <w:i/>
          <w:color w:val="0D0D0D" w:themeColor="text1" w:themeTint="F2"/>
          <w:lang w:val="en-GB"/>
        </w:rPr>
        <w:t>10</w:t>
      </w:r>
      <w:r w:rsidRPr="00215457">
        <w:rPr>
          <w:color w:val="0D0D0D" w:themeColor="text1" w:themeTint="F2"/>
          <w:lang w:val="en-GB"/>
        </w:rPr>
        <w:t>(1), p.60.</w:t>
      </w:r>
    </w:p>
    <w:p w14:paraId="7AA52CC1" w14:textId="77777777" w:rsidR="00215457" w:rsidRPr="00215457" w:rsidRDefault="00215457">
      <w:pPr>
        <w:spacing w:after="200"/>
        <w:rPr>
          <w:color w:val="0D0D0D" w:themeColor="text1" w:themeTint="F2"/>
          <w:lang w:val="en-GB"/>
        </w:rPr>
      </w:pPr>
      <w:r w:rsidRPr="00215457">
        <w:rPr>
          <w:color w:val="0D0D0D" w:themeColor="text1" w:themeTint="F2"/>
          <w:lang w:val="en-GB"/>
        </w:rPr>
        <w:t>Culture Factor Group (2025a)</w:t>
      </w:r>
      <w:proofErr w:type="gramStart"/>
      <w:r w:rsidRPr="00215457">
        <w:rPr>
          <w:color w:val="0D0D0D" w:themeColor="text1" w:themeTint="F2"/>
          <w:lang w:val="en-GB"/>
        </w:rPr>
        <w:t>.</w:t>
      </w:r>
      <w:r w:rsidRPr="00215457">
        <w:rPr>
          <w:i/>
          <w:color w:val="0D0D0D" w:themeColor="text1" w:themeTint="F2"/>
          <w:lang w:val="en-GB"/>
        </w:rPr>
        <w:t xml:space="preserve"> </w:t>
      </w:r>
      <w:proofErr w:type="gramEnd"/>
      <w:r w:rsidRPr="00215457">
        <w:rPr>
          <w:i/>
          <w:color w:val="0D0D0D" w:themeColor="text1" w:themeTint="F2"/>
          <w:lang w:val="en-GB"/>
        </w:rPr>
        <w:t xml:space="preserve">Country </w:t>
      </w:r>
      <w:proofErr w:type="spellStart"/>
      <w:r w:rsidRPr="00215457">
        <w:rPr>
          <w:i/>
          <w:color w:val="0D0D0D" w:themeColor="text1" w:themeTint="F2"/>
          <w:lang w:val="en-GB"/>
        </w:rPr>
        <w:t>Comparision</w:t>
      </w:r>
      <w:proofErr w:type="spellEnd"/>
      <w:r w:rsidRPr="00215457">
        <w:rPr>
          <w:i/>
          <w:color w:val="0D0D0D" w:themeColor="text1" w:themeTint="F2"/>
          <w:lang w:val="en-GB"/>
        </w:rPr>
        <w:t xml:space="preserve"> Tool</w:t>
      </w:r>
      <w:proofErr w:type="gramStart"/>
      <w:r w:rsidRPr="00215457">
        <w:rPr>
          <w:i/>
          <w:color w:val="0D0D0D" w:themeColor="text1" w:themeTint="F2"/>
          <w:lang w:val="en-GB"/>
        </w:rPr>
        <w:t>.</w:t>
      </w:r>
      <w:r w:rsidRPr="00215457">
        <w:rPr>
          <w:color w:val="0D0D0D" w:themeColor="text1" w:themeTint="F2"/>
          <w:lang w:val="en-GB"/>
        </w:rPr>
        <w:t xml:space="preserve"> </w:t>
      </w:r>
      <w:proofErr w:type="gramEnd"/>
      <w:r w:rsidRPr="00215457">
        <w:rPr>
          <w:color w:val="0D0D0D" w:themeColor="text1" w:themeTint="F2"/>
          <w:lang w:val="en-GB"/>
        </w:rPr>
        <w:t xml:space="preserve">Available at: </w:t>
      </w:r>
      <w:hyperlink r:id="rId9">
        <w:r w:rsidRPr="00215457">
          <w:rPr>
            <w:color w:val="0D0D0D" w:themeColor="text1" w:themeTint="F2"/>
            <w:u w:val="single"/>
            <w:lang w:val="en-GB"/>
          </w:rPr>
          <w:t>https://www.theculturefactor.com/country-comparison-tool?countries=china%2Cunited+kingdom</w:t>
        </w:r>
      </w:hyperlink>
      <w:r w:rsidRPr="00215457">
        <w:rPr>
          <w:color w:val="0D0D0D" w:themeColor="text1" w:themeTint="F2"/>
          <w:lang w:val="en-GB"/>
        </w:rPr>
        <w:t xml:space="preserve"> (Accessed: 19 March 2025) </w:t>
      </w:r>
    </w:p>
    <w:p w14:paraId="2DB2F056" w14:textId="77777777" w:rsidR="00215457" w:rsidRPr="00215457" w:rsidRDefault="00215457">
      <w:pPr>
        <w:spacing w:after="200"/>
        <w:rPr>
          <w:color w:val="0D0D0D" w:themeColor="text1" w:themeTint="F2"/>
          <w:lang w:val="en-GB"/>
        </w:rPr>
      </w:pPr>
      <w:r w:rsidRPr="00215457">
        <w:rPr>
          <w:color w:val="0D0D0D" w:themeColor="text1" w:themeTint="F2"/>
          <w:lang w:val="en-GB"/>
        </w:rPr>
        <w:t>Culture Factor Group (2025b)</w:t>
      </w:r>
      <w:proofErr w:type="gramStart"/>
      <w:r w:rsidRPr="00215457">
        <w:rPr>
          <w:color w:val="0D0D0D" w:themeColor="text1" w:themeTint="F2"/>
          <w:lang w:val="en-GB"/>
        </w:rPr>
        <w:t>.</w:t>
      </w:r>
      <w:r w:rsidRPr="00215457">
        <w:rPr>
          <w:i/>
          <w:color w:val="0D0D0D" w:themeColor="text1" w:themeTint="F2"/>
          <w:lang w:val="en-GB"/>
        </w:rPr>
        <w:t xml:space="preserve"> </w:t>
      </w:r>
      <w:proofErr w:type="gramEnd"/>
      <w:r w:rsidRPr="00215457">
        <w:rPr>
          <w:i/>
          <w:color w:val="0D0D0D" w:themeColor="text1" w:themeTint="F2"/>
          <w:lang w:val="en-GB"/>
        </w:rPr>
        <w:t xml:space="preserve">Country </w:t>
      </w:r>
      <w:proofErr w:type="spellStart"/>
      <w:r w:rsidRPr="00215457">
        <w:rPr>
          <w:i/>
          <w:color w:val="0D0D0D" w:themeColor="text1" w:themeTint="F2"/>
          <w:lang w:val="en-GB"/>
        </w:rPr>
        <w:t>Comparision</w:t>
      </w:r>
      <w:proofErr w:type="spellEnd"/>
      <w:r w:rsidRPr="00215457">
        <w:rPr>
          <w:i/>
          <w:color w:val="0D0D0D" w:themeColor="text1" w:themeTint="F2"/>
          <w:lang w:val="en-GB"/>
        </w:rPr>
        <w:t xml:space="preserve"> Tool</w:t>
      </w:r>
      <w:proofErr w:type="gramStart"/>
      <w:r w:rsidRPr="00215457">
        <w:rPr>
          <w:i/>
          <w:color w:val="0D0D0D" w:themeColor="text1" w:themeTint="F2"/>
          <w:lang w:val="en-GB"/>
        </w:rPr>
        <w:t>.</w:t>
      </w:r>
      <w:r w:rsidRPr="00215457">
        <w:rPr>
          <w:color w:val="0D0D0D" w:themeColor="text1" w:themeTint="F2"/>
          <w:lang w:val="en-GB"/>
        </w:rPr>
        <w:t xml:space="preserve"> </w:t>
      </w:r>
      <w:proofErr w:type="gramEnd"/>
      <w:r w:rsidRPr="00215457">
        <w:rPr>
          <w:color w:val="0D0D0D" w:themeColor="text1" w:themeTint="F2"/>
          <w:lang w:val="en-GB"/>
        </w:rPr>
        <w:t xml:space="preserve">Available at: </w:t>
      </w:r>
      <w:hyperlink r:id="rId10">
        <w:r w:rsidRPr="00215457">
          <w:rPr>
            <w:color w:val="0D0D0D" w:themeColor="text1" w:themeTint="F2"/>
            <w:u w:val="single"/>
            <w:lang w:val="en-GB"/>
          </w:rPr>
          <w:t>https://www.theculturefactor.com/country-comparison-tool?countries=japan%2Cunited+kingdom</w:t>
        </w:r>
      </w:hyperlink>
      <w:r w:rsidRPr="00215457">
        <w:rPr>
          <w:color w:val="0D0D0D" w:themeColor="text1" w:themeTint="F2"/>
          <w:lang w:val="en-GB"/>
        </w:rPr>
        <w:t xml:space="preserve"> (Accessed: 19 March 2025)</w:t>
      </w:r>
    </w:p>
    <w:p w14:paraId="44BACF69" w14:textId="77777777" w:rsidR="00215457" w:rsidRPr="00215457" w:rsidRDefault="00215457">
      <w:pPr>
        <w:spacing w:after="200"/>
        <w:rPr>
          <w:color w:val="0D0D0D" w:themeColor="text1" w:themeTint="F2"/>
          <w:lang w:val="en-GB"/>
        </w:rPr>
      </w:pPr>
      <w:r w:rsidRPr="00215457">
        <w:rPr>
          <w:color w:val="0D0D0D" w:themeColor="text1" w:themeTint="F2"/>
          <w:lang w:val="en-GB"/>
        </w:rPr>
        <w:t>Davies. K (2025)</w:t>
      </w:r>
      <w:proofErr w:type="gramStart"/>
      <w:r w:rsidRPr="00215457">
        <w:rPr>
          <w:color w:val="0D0D0D" w:themeColor="text1" w:themeTint="F2"/>
          <w:lang w:val="en-GB"/>
        </w:rPr>
        <w:t>.</w:t>
      </w:r>
      <w:r w:rsidRPr="00215457">
        <w:rPr>
          <w:i/>
          <w:color w:val="0D0D0D" w:themeColor="text1" w:themeTint="F2"/>
          <w:lang w:val="en-GB"/>
        </w:rPr>
        <w:t xml:space="preserve"> </w:t>
      </w:r>
      <w:proofErr w:type="gramEnd"/>
      <w:r w:rsidRPr="00215457">
        <w:rPr>
          <w:i/>
          <w:color w:val="0D0D0D" w:themeColor="text1" w:themeTint="F2"/>
          <w:lang w:val="en-GB"/>
        </w:rPr>
        <w:t xml:space="preserve">Leading sources of info for product research among Gen X shoppers worldwide 2023. </w:t>
      </w:r>
      <w:hyperlink r:id="rId11">
        <w:r w:rsidRPr="00215457">
          <w:rPr>
            <w:color w:val="0D0D0D" w:themeColor="text1" w:themeTint="F2"/>
            <w:u w:val="single"/>
            <w:lang w:val="en-GB"/>
          </w:rPr>
          <w:t>https://www.statista.com/statistics/1401604/sources-of-info-for-product-research-among-gen-x/</w:t>
        </w:r>
      </w:hyperlink>
      <w:r w:rsidRPr="00215457">
        <w:rPr>
          <w:color w:val="0D0D0D" w:themeColor="text1" w:themeTint="F2"/>
          <w:lang w:val="en-GB"/>
        </w:rPr>
        <w:t xml:space="preserve"> (Accessed: 19 March 2025)</w:t>
      </w:r>
    </w:p>
    <w:p w14:paraId="4DB3C383" w14:textId="77777777" w:rsidR="00215457" w:rsidRPr="00215457" w:rsidRDefault="00215457">
      <w:pPr>
        <w:spacing w:after="240"/>
        <w:rPr>
          <w:color w:val="0D0D0D" w:themeColor="text1" w:themeTint="F2"/>
          <w:lang w:val="en-GB"/>
        </w:rPr>
      </w:pPr>
      <w:r w:rsidRPr="00215457">
        <w:rPr>
          <w:color w:val="0D0D0D" w:themeColor="text1" w:themeTint="F2"/>
          <w:lang w:val="en-GB"/>
        </w:rPr>
        <w:t>Deloitte (2022)</w:t>
      </w:r>
      <w:proofErr w:type="gramStart"/>
      <w:r w:rsidRPr="00215457">
        <w:rPr>
          <w:color w:val="0D0D0D" w:themeColor="text1" w:themeTint="F2"/>
          <w:lang w:val="en-GB"/>
        </w:rPr>
        <w:t xml:space="preserve">. </w:t>
      </w:r>
      <w:proofErr w:type="gramEnd"/>
      <w:r w:rsidRPr="00215457">
        <w:rPr>
          <w:i/>
          <w:color w:val="0D0D0D" w:themeColor="text1" w:themeTint="F2"/>
          <w:lang w:val="en-GB"/>
        </w:rPr>
        <w:t>Understanding Generation Z in the workplace</w:t>
      </w:r>
      <w:proofErr w:type="gramStart"/>
      <w:r w:rsidRPr="00215457">
        <w:rPr>
          <w:i/>
          <w:color w:val="0D0D0D" w:themeColor="text1" w:themeTint="F2"/>
          <w:lang w:val="en-GB"/>
        </w:rPr>
        <w:t>.</w:t>
      </w:r>
      <w:r w:rsidRPr="00215457">
        <w:rPr>
          <w:color w:val="0D0D0D" w:themeColor="text1" w:themeTint="F2"/>
          <w:lang w:val="en-GB"/>
        </w:rPr>
        <w:t xml:space="preserve"> </w:t>
      </w:r>
      <w:proofErr w:type="gramEnd"/>
      <w:r w:rsidRPr="00215457">
        <w:rPr>
          <w:color w:val="0D0D0D" w:themeColor="text1" w:themeTint="F2"/>
          <w:lang w:val="en-GB"/>
        </w:rPr>
        <w:t xml:space="preserve">Available at: </w:t>
      </w:r>
      <w:hyperlink r:id="rId12">
        <w:r w:rsidRPr="00215457">
          <w:rPr>
            <w:color w:val="0D0D0D" w:themeColor="text1" w:themeTint="F2"/>
            <w:u w:val="single"/>
            <w:lang w:val="en-GB"/>
          </w:rPr>
          <w:t>https://www2.deloitte.com/us/en/pages/consumer-business/articles/understanding-generation-z-in-the-workplace.html</w:t>
        </w:r>
      </w:hyperlink>
      <w:r w:rsidRPr="00215457">
        <w:rPr>
          <w:color w:val="0D0D0D" w:themeColor="text1" w:themeTint="F2"/>
          <w:lang w:val="en-GB"/>
        </w:rPr>
        <w:t xml:space="preserve"> (Accessed: 19 March 2025) </w:t>
      </w:r>
    </w:p>
    <w:p w14:paraId="046066AA" w14:textId="77777777" w:rsidR="00215457" w:rsidRPr="00215457" w:rsidRDefault="00215457">
      <w:pPr>
        <w:spacing w:after="200"/>
        <w:rPr>
          <w:color w:val="0D0D0D" w:themeColor="text1" w:themeTint="F2"/>
          <w:lang w:val="en-GB"/>
        </w:rPr>
      </w:pPr>
      <w:r w:rsidRPr="00215457">
        <w:rPr>
          <w:color w:val="0D0D0D" w:themeColor="text1" w:themeTint="F2"/>
          <w:lang w:val="en-GB"/>
        </w:rPr>
        <w:lastRenderedPageBreak/>
        <w:t>Deloitte</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(2024). </w:t>
      </w:r>
      <w:r w:rsidRPr="00215457">
        <w:rPr>
          <w:i/>
          <w:color w:val="0D0D0D" w:themeColor="text1" w:themeTint="F2"/>
          <w:lang w:val="en-GB"/>
        </w:rPr>
        <w:t>Global Mobility</w:t>
      </w:r>
      <w:r w:rsidRPr="00215457">
        <w:rPr>
          <w:color w:val="0D0D0D" w:themeColor="text1" w:themeTint="F2"/>
          <w:lang w:val="en-GB"/>
        </w:rPr>
        <w:t xml:space="preserve"> Available at: </w:t>
      </w:r>
      <w:hyperlink r:id="rId13">
        <w:r w:rsidRPr="00215457">
          <w:rPr>
            <w:color w:val="0D0D0D" w:themeColor="text1" w:themeTint="F2"/>
            <w:u w:val="single"/>
            <w:lang w:val="en-GB"/>
          </w:rPr>
          <w:t>https://www.deloitte.com/global/en/services/consulting/perspectives/global-mobility.html</w:t>
        </w:r>
      </w:hyperlink>
      <w:r w:rsidRPr="00215457">
        <w:rPr>
          <w:color w:val="0D0D0D" w:themeColor="text1" w:themeTint="F2"/>
          <w:lang w:val="en-GB"/>
        </w:rPr>
        <w:t xml:space="preserve"> (Accessed: 19 March, 2025)</w:t>
      </w:r>
    </w:p>
    <w:p w14:paraId="014F34B8" w14:textId="77777777" w:rsidR="00215457" w:rsidRPr="00215457" w:rsidRDefault="00215457">
      <w:pPr>
        <w:spacing w:after="200"/>
        <w:rPr>
          <w:color w:val="0D0D0D" w:themeColor="text1" w:themeTint="F2"/>
          <w:lang w:val="en-GB"/>
        </w:rPr>
      </w:pPr>
      <w:proofErr w:type="spellStart"/>
      <w:r w:rsidRPr="00215457">
        <w:rPr>
          <w:color w:val="0D0D0D" w:themeColor="text1" w:themeTint="F2"/>
          <w:lang w:val="en-GB"/>
        </w:rPr>
        <w:t>Fragomeli</w:t>
      </w:r>
      <w:proofErr w:type="spellEnd"/>
      <w:r w:rsidRPr="00215457">
        <w:rPr>
          <w:color w:val="0D0D0D" w:themeColor="text1" w:themeTint="F2"/>
          <w:lang w:val="en-GB"/>
        </w:rPr>
        <w:t>, R., Annunziata, A., and Punzo, G. (2024)</w:t>
      </w:r>
      <w:proofErr w:type="gramStart"/>
      <w:r w:rsidRPr="00215457">
        <w:rPr>
          <w:color w:val="0D0D0D" w:themeColor="text1" w:themeTint="F2"/>
          <w:lang w:val="en-GB"/>
        </w:rPr>
        <w:t xml:space="preserve">. </w:t>
      </w:r>
      <w:proofErr w:type="gramEnd"/>
      <w:r w:rsidRPr="00215457">
        <w:rPr>
          <w:color w:val="0D0D0D" w:themeColor="text1" w:themeTint="F2"/>
          <w:lang w:val="en-GB"/>
        </w:rPr>
        <w:t>‘Promoting the Transition towards Agriculture 4.0: A Systematic Literature Review on Drivers and Barriers</w:t>
      </w:r>
      <w:proofErr w:type="gramStart"/>
      <w:r w:rsidRPr="00215457">
        <w:rPr>
          <w:color w:val="0D0D0D" w:themeColor="text1" w:themeTint="F2"/>
          <w:lang w:val="en-GB"/>
        </w:rPr>
        <w:t>’.</w:t>
      </w:r>
      <w:proofErr w:type="gramEnd"/>
      <w:r w:rsidRPr="00215457">
        <w:rPr>
          <w:i/>
          <w:color w:val="0D0D0D" w:themeColor="text1" w:themeTint="F2"/>
          <w:lang w:val="en-GB"/>
        </w:rPr>
        <w:t xml:space="preserve"> Sustainability, 16</w:t>
      </w:r>
      <w:r w:rsidRPr="00215457">
        <w:rPr>
          <w:color w:val="0D0D0D" w:themeColor="text1" w:themeTint="F2"/>
          <w:lang w:val="en-GB"/>
        </w:rPr>
        <w:t xml:space="preserve">(6), 2425. </w:t>
      </w:r>
    </w:p>
    <w:p w14:paraId="56A629B8" w14:textId="77777777" w:rsidR="00215457" w:rsidRPr="00215457" w:rsidRDefault="00215457">
      <w:pPr>
        <w:spacing w:after="200"/>
        <w:rPr>
          <w:color w:val="0D0D0D" w:themeColor="text1" w:themeTint="F2"/>
          <w:lang w:val="en-GB"/>
        </w:rPr>
      </w:pPr>
      <w:r w:rsidRPr="00215457">
        <w:rPr>
          <w:color w:val="0D0D0D" w:themeColor="text1" w:themeTint="F2"/>
          <w:lang w:val="en-GB"/>
        </w:rPr>
        <w:t>Frei-Landau, R. and Levin, O., (2023)</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‘Simulation-based learning in teacher education: Using Maslow’s Hierarchy of needs to conceptualize instructors’ needs’. </w:t>
      </w:r>
      <w:r w:rsidRPr="00215457">
        <w:rPr>
          <w:i/>
          <w:color w:val="0D0D0D" w:themeColor="text1" w:themeTint="F2"/>
          <w:lang w:val="en-GB"/>
        </w:rPr>
        <w:t>Frontiers in Psychology</w:t>
      </w:r>
      <w:r w:rsidRPr="00215457">
        <w:rPr>
          <w:color w:val="0D0D0D" w:themeColor="text1" w:themeTint="F2"/>
          <w:lang w:val="en-GB"/>
        </w:rPr>
        <w:t xml:space="preserve">, </w:t>
      </w:r>
      <w:r w:rsidRPr="00215457">
        <w:rPr>
          <w:i/>
          <w:color w:val="0D0D0D" w:themeColor="text1" w:themeTint="F2"/>
          <w:lang w:val="en-GB"/>
        </w:rPr>
        <w:t>14</w:t>
      </w:r>
      <w:r w:rsidRPr="00215457">
        <w:rPr>
          <w:color w:val="0D0D0D" w:themeColor="text1" w:themeTint="F2"/>
          <w:lang w:val="en-GB"/>
        </w:rPr>
        <w:t>, p.1149576.</w:t>
      </w:r>
    </w:p>
    <w:p w14:paraId="3F9B5E7F" w14:textId="77777777" w:rsidR="00215457" w:rsidRPr="00215457" w:rsidRDefault="00215457">
      <w:pPr>
        <w:spacing w:after="200"/>
        <w:rPr>
          <w:color w:val="0D0D0D" w:themeColor="text1" w:themeTint="F2"/>
          <w:lang w:val="en-GB"/>
        </w:rPr>
      </w:pPr>
      <w:r w:rsidRPr="00215457">
        <w:rPr>
          <w:color w:val="0D0D0D" w:themeColor="text1" w:themeTint="F2"/>
          <w:lang w:val="en-GB"/>
        </w:rPr>
        <w:t xml:space="preserve">Georgiadou, A., Amari, A., </w:t>
      </w:r>
      <w:proofErr w:type="spellStart"/>
      <w:r w:rsidRPr="00215457">
        <w:rPr>
          <w:color w:val="0D0D0D" w:themeColor="text1" w:themeTint="F2"/>
          <w:lang w:val="en-GB"/>
        </w:rPr>
        <w:t>Swalhi</w:t>
      </w:r>
      <w:proofErr w:type="spellEnd"/>
      <w:r w:rsidRPr="00215457">
        <w:rPr>
          <w:color w:val="0D0D0D" w:themeColor="text1" w:themeTint="F2"/>
          <w:lang w:val="en-GB"/>
        </w:rPr>
        <w:t xml:space="preserve">, A., and </w:t>
      </w:r>
      <w:proofErr w:type="spellStart"/>
      <w:r w:rsidRPr="00215457">
        <w:rPr>
          <w:color w:val="0D0D0D" w:themeColor="text1" w:themeTint="F2"/>
          <w:lang w:val="en-GB"/>
        </w:rPr>
        <w:t>Hofaidhllaoui</w:t>
      </w:r>
      <w:proofErr w:type="spellEnd"/>
      <w:r w:rsidRPr="00215457">
        <w:rPr>
          <w:color w:val="0D0D0D" w:themeColor="text1" w:themeTint="F2"/>
          <w:lang w:val="en-GB"/>
        </w:rPr>
        <w:t>, M. (2024)</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‘How does perceived organizational support improve expatriates' outcomes during global crises? The mediating role of the ethical organizational climate in global </w:t>
      </w:r>
      <w:proofErr w:type="gramStart"/>
      <w:r w:rsidRPr="00215457">
        <w:rPr>
          <w:color w:val="0D0D0D" w:themeColor="text1" w:themeTint="F2"/>
          <w:lang w:val="en-GB"/>
        </w:rPr>
        <w:t>organizations’</w:t>
      </w:r>
      <w:proofErr w:type="gramEnd"/>
      <w:r w:rsidRPr="00215457">
        <w:rPr>
          <w:color w:val="0D0D0D" w:themeColor="text1" w:themeTint="F2"/>
          <w:lang w:val="en-GB"/>
        </w:rPr>
        <w:t xml:space="preserve">. </w:t>
      </w:r>
      <w:r w:rsidRPr="00215457">
        <w:rPr>
          <w:i/>
          <w:color w:val="0D0D0D" w:themeColor="text1" w:themeTint="F2"/>
          <w:lang w:val="en-GB"/>
        </w:rPr>
        <w:t>Journal of International Management</w:t>
      </w:r>
      <w:r w:rsidRPr="00215457">
        <w:rPr>
          <w:color w:val="0D0D0D" w:themeColor="text1" w:themeTint="F2"/>
          <w:lang w:val="en-GB"/>
        </w:rPr>
        <w:t xml:space="preserve">, </w:t>
      </w:r>
      <w:r w:rsidRPr="00215457">
        <w:rPr>
          <w:i/>
          <w:color w:val="0D0D0D" w:themeColor="text1" w:themeTint="F2"/>
          <w:lang w:val="en-GB"/>
        </w:rPr>
        <w:t>30</w:t>
      </w:r>
      <w:r w:rsidRPr="00215457">
        <w:rPr>
          <w:color w:val="0D0D0D" w:themeColor="text1" w:themeTint="F2"/>
          <w:lang w:val="en-GB"/>
        </w:rPr>
        <w:t>(3), 101131.</w:t>
      </w:r>
    </w:p>
    <w:p w14:paraId="46850D98" w14:textId="77777777" w:rsidR="00215457" w:rsidRPr="00215457" w:rsidRDefault="00215457">
      <w:pPr>
        <w:spacing w:after="200"/>
        <w:rPr>
          <w:color w:val="0D0D0D" w:themeColor="text1" w:themeTint="F2"/>
          <w:lang w:val="en-GB"/>
        </w:rPr>
      </w:pPr>
      <w:r w:rsidRPr="00215457">
        <w:rPr>
          <w:color w:val="0D0D0D" w:themeColor="text1" w:themeTint="F2"/>
          <w:lang w:val="en-GB"/>
        </w:rPr>
        <w:t>Google (2024)</w:t>
      </w:r>
      <w:proofErr w:type="gramStart"/>
      <w:r w:rsidRPr="00215457">
        <w:rPr>
          <w:color w:val="0D0D0D" w:themeColor="text1" w:themeTint="F2"/>
          <w:lang w:val="en-GB"/>
        </w:rPr>
        <w:t xml:space="preserve">. </w:t>
      </w:r>
      <w:proofErr w:type="gramEnd"/>
      <w:r w:rsidRPr="00215457">
        <w:rPr>
          <w:i/>
          <w:color w:val="0D0D0D" w:themeColor="text1" w:themeTint="F2"/>
          <w:lang w:val="en-GB"/>
        </w:rPr>
        <w:t>Nomad Education</w:t>
      </w:r>
      <w:proofErr w:type="gramStart"/>
      <w:r w:rsidRPr="00215457">
        <w:rPr>
          <w:i/>
          <w:color w:val="0D0D0D" w:themeColor="text1" w:themeTint="F2"/>
          <w:lang w:val="en-GB"/>
        </w:rPr>
        <w:t>.</w:t>
      </w:r>
      <w:r w:rsidRPr="00215457">
        <w:rPr>
          <w:color w:val="0D0D0D" w:themeColor="text1" w:themeTint="F2"/>
          <w:lang w:val="en-GB"/>
        </w:rPr>
        <w:t xml:space="preserve"> </w:t>
      </w:r>
      <w:proofErr w:type="gramEnd"/>
      <w:r w:rsidRPr="00215457">
        <w:rPr>
          <w:color w:val="0D0D0D" w:themeColor="text1" w:themeTint="F2"/>
          <w:lang w:val="en-GB"/>
        </w:rPr>
        <w:t xml:space="preserve">Available at: </w:t>
      </w:r>
      <w:hyperlink r:id="rId14">
        <w:r w:rsidRPr="00215457">
          <w:rPr>
            <w:color w:val="0D0D0D" w:themeColor="text1" w:themeTint="F2"/>
            <w:u w:val="single"/>
            <w:lang w:val="en-GB"/>
          </w:rPr>
          <w:t>https://cloud.google.com/customers/nomadeducation</w:t>
        </w:r>
      </w:hyperlink>
      <w:r w:rsidRPr="00215457">
        <w:rPr>
          <w:color w:val="0D0D0D" w:themeColor="text1" w:themeTint="F2"/>
          <w:lang w:val="en-GB"/>
        </w:rPr>
        <w:t xml:space="preserve"> (Accessed: 15 March 2025).</w:t>
      </w:r>
    </w:p>
    <w:p w14:paraId="796769CA" w14:textId="77777777" w:rsidR="00215457" w:rsidRPr="00215457" w:rsidRDefault="00215457">
      <w:pPr>
        <w:spacing w:after="200"/>
        <w:rPr>
          <w:color w:val="0D0D0D" w:themeColor="text1" w:themeTint="F2"/>
          <w:lang w:val="en-GB"/>
        </w:rPr>
      </w:pPr>
      <w:proofErr w:type="spellStart"/>
      <w:r w:rsidRPr="00215457">
        <w:rPr>
          <w:color w:val="0D0D0D" w:themeColor="text1" w:themeTint="F2"/>
          <w:lang w:val="en-GB"/>
        </w:rPr>
        <w:t>Gričnik</w:t>
      </w:r>
      <w:proofErr w:type="spellEnd"/>
      <w:r w:rsidRPr="00215457">
        <w:rPr>
          <w:color w:val="0D0D0D" w:themeColor="text1" w:themeTint="F2"/>
          <w:lang w:val="en-GB"/>
        </w:rPr>
        <w:t xml:space="preserve">, A. M., </w:t>
      </w:r>
      <w:proofErr w:type="spellStart"/>
      <w:r w:rsidRPr="00215457">
        <w:rPr>
          <w:color w:val="0D0D0D" w:themeColor="text1" w:themeTint="F2"/>
          <w:lang w:val="en-GB"/>
        </w:rPr>
        <w:t>Šarotar</w:t>
      </w:r>
      <w:proofErr w:type="spellEnd"/>
      <w:r w:rsidRPr="00215457">
        <w:rPr>
          <w:color w:val="0D0D0D" w:themeColor="text1" w:themeTint="F2"/>
          <w:lang w:val="en-GB"/>
        </w:rPr>
        <w:t xml:space="preserve"> Žižek, S., Zolak </w:t>
      </w:r>
      <w:proofErr w:type="spellStart"/>
      <w:r w:rsidRPr="00215457">
        <w:rPr>
          <w:color w:val="0D0D0D" w:themeColor="text1" w:themeTint="F2"/>
          <w:lang w:val="en-GB"/>
        </w:rPr>
        <w:t>Poljašević</w:t>
      </w:r>
      <w:proofErr w:type="spellEnd"/>
      <w:r w:rsidRPr="00215457">
        <w:rPr>
          <w:color w:val="0D0D0D" w:themeColor="text1" w:themeTint="F2"/>
          <w:lang w:val="en-GB"/>
        </w:rPr>
        <w:t xml:space="preserve">, B., and </w:t>
      </w:r>
      <w:proofErr w:type="spellStart"/>
      <w:r w:rsidRPr="00215457">
        <w:rPr>
          <w:color w:val="0D0D0D" w:themeColor="text1" w:themeTint="F2"/>
          <w:lang w:val="en-GB"/>
        </w:rPr>
        <w:t>Črnjar</w:t>
      </w:r>
      <w:proofErr w:type="spellEnd"/>
      <w:r w:rsidRPr="00215457">
        <w:rPr>
          <w:color w:val="0D0D0D" w:themeColor="text1" w:themeTint="F2"/>
          <w:lang w:val="en-GB"/>
        </w:rPr>
        <w:t>, K. (2024). Talent management in the age of digital transformation and changes in the workforce characteristics</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In </w:t>
      </w:r>
      <w:r w:rsidRPr="00215457">
        <w:rPr>
          <w:i/>
          <w:color w:val="0D0D0D" w:themeColor="text1" w:themeTint="F2"/>
          <w:lang w:val="en-GB"/>
        </w:rPr>
        <w:t>27th International Congress: Tourism and Hospitality Industry 2024: Trends and Challenges</w:t>
      </w:r>
      <w:r w:rsidRPr="00215457">
        <w:rPr>
          <w:color w:val="0D0D0D" w:themeColor="text1" w:themeTint="F2"/>
          <w:lang w:val="en-GB"/>
        </w:rPr>
        <w:t xml:space="preserve"> (pp. 159-165). University of Rijeka, Faculty of Tourism and Hospitality Management. </w:t>
      </w:r>
    </w:p>
    <w:p w14:paraId="0F5267F7" w14:textId="77777777" w:rsidR="00215457" w:rsidRPr="00215457" w:rsidRDefault="00215457">
      <w:pPr>
        <w:spacing w:after="200"/>
        <w:rPr>
          <w:color w:val="0D0D0D" w:themeColor="text1" w:themeTint="F2"/>
          <w:lang w:val="en-GB"/>
        </w:rPr>
      </w:pPr>
      <w:r w:rsidRPr="00215457">
        <w:rPr>
          <w:color w:val="0D0D0D" w:themeColor="text1" w:themeTint="F2"/>
          <w:lang w:val="en-GB"/>
        </w:rPr>
        <w:t>Hu, Y., Xu, C. L., and Tu, M. (2022)</w:t>
      </w:r>
      <w:proofErr w:type="gramStart"/>
      <w:r w:rsidRPr="00215457">
        <w:rPr>
          <w:color w:val="0D0D0D" w:themeColor="text1" w:themeTint="F2"/>
          <w:lang w:val="en-GB"/>
        </w:rPr>
        <w:t xml:space="preserve">. </w:t>
      </w:r>
      <w:proofErr w:type="gramEnd"/>
      <w:r w:rsidRPr="00215457">
        <w:rPr>
          <w:color w:val="0D0D0D" w:themeColor="text1" w:themeTint="F2"/>
          <w:lang w:val="en-GB"/>
        </w:rPr>
        <w:t>‘Family-mediated migration infrastructure: Chinese international students and parents navigating (</w:t>
      </w:r>
      <w:proofErr w:type="spellStart"/>
      <w:r w:rsidRPr="00215457">
        <w:rPr>
          <w:color w:val="0D0D0D" w:themeColor="text1" w:themeTint="F2"/>
          <w:lang w:val="en-GB"/>
        </w:rPr>
        <w:t>im</w:t>
      </w:r>
      <w:proofErr w:type="spellEnd"/>
      <w:r w:rsidRPr="00215457">
        <w:rPr>
          <w:color w:val="0D0D0D" w:themeColor="text1" w:themeTint="F2"/>
          <w:lang w:val="en-GB"/>
        </w:rPr>
        <w:t xml:space="preserve">) mobilities during the COVID-19 pandemic’. </w:t>
      </w:r>
      <w:r w:rsidRPr="00215457">
        <w:rPr>
          <w:i/>
          <w:color w:val="0D0D0D" w:themeColor="text1" w:themeTint="F2"/>
          <w:lang w:val="en-GB"/>
        </w:rPr>
        <w:t>Chinese Sociological Review</w:t>
      </w:r>
      <w:r w:rsidRPr="00215457">
        <w:rPr>
          <w:color w:val="0D0D0D" w:themeColor="text1" w:themeTint="F2"/>
          <w:lang w:val="en-GB"/>
        </w:rPr>
        <w:t xml:space="preserve">, </w:t>
      </w:r>
      <w:r w:rsidRPr="00215457">
        <w:rPr>
          <w:i/>
          <w:color w:val="0D0D0D" w:themeColor="text1" w:themeTint="F2"/>
          <w:lang w:val="en-GB"/>
        </w:rPr>
        <w:t>54</w:t>
      </w:r>
      <w:r w:rsidRPr="00215457">
        <w:rPr>
          <w:color w:val="0D0D0D" w:themeColor="text1" w:themeTint="F2"/>
          <w:lang w:val="en-GB"/>
        </w:rPr>
        <w:t>(1), 62-87.</w:t>
      </w:r>
    </w:p>
    <w:p w14:paraId="676B32B0" w14:textId="77777777" w:rsidR="00215457" w:rsidRPr="00215457" w:rsidRDefault="00215457">
      <w:pPr>
        <w:spacing w:after="200"/>
        <w:rPr>
          <w:color w:val="0D0D0D" w:themeColor="text1" w:themeTint="F2"/>
          <w:lang w:val="en-GB"/>
        </w:rPr>
      </w:pPr>
      <w:r w:rsidRPr="00215457">
        <w:rPr>
          <w:color w:val="0D0D0D" w:themeColor="text1" w:themeTint="F2"/>
          <w:lang w:val="en-GB"/>
        </w:rPr>
        <w:t>Hyman, M.I.K.A.Y.L.A., Powder, M.A.D.D.I.E. and Pietsch, P.A.U.L., (2022). ‘Retaining my generation: retention strategies for generation X and generation Z federal employees</w:t>
      </w:r>
      <w:proofErr w:type="gramStart"/>
      <w:r w:rsidRPr="00215457">
        <w:rPr>
          <w:color w:val="0D0D0D" w:themeColor="text1" w:themeTint="F2"/>
          <w:lang w:val="en-GB"/>
        </w:rPr>
        <w:t>’.</w:t>
      </w:r>
      <w:proofErr w:type="gramEnd"/>
      <w:r w:rsidRPr="00215457">
        <w:rPr>
          <w:color w:val="0D0D0D" w:themeColor="text1" w:themeTint="F2"/>
          <w:lang w:val="en-GB"/>
        </w:rPr>
        <w:t xml:space="preserve"> </w:t>
      </w:r>
      <w:r w:rsidRPr="00215457">
        <w:rPr>
          <w:i/>
          <w:color w:val="0D0D0D" w:themeColor="text1" w:themeTint="F2"/>
          <w:lang w:val="en-GB"/>
        </w:rPr>
        <w:t>Part. Pub. Serv</w:t>
      </w:r>
      <w:r w:rsidRPr="00215457">
        <w:rPr>
          <w:color w:val="0D0D0D" w:themeColor="text1" w:themeTint="F2"/>
          <w:lang w:val="en-GB"/>
        </w:rPr>
        <w:t>.</w:t>
      </w:r>
    </w:p>
    <w:p w14:paraId="1684807A" w14:textId="77777777" w:rsidR="00215457" w:rsidRPr="00215457" w:rsidRDefault="00215457">
      <w:pPr>
        <w:spacing w:after="200"/>
        <w:rPr>
          <w:color w:val="0D0D0D" w:themeColor="text1" w:themeTint="F2"/>
          <w:lang w:val="en-GB"/>
        </w:rPr>
      </w:pPr>
      <w:proofErr w:type="spellStart"/>
      <w:r w:rsidRPr="00215457">
        <w:rPr>
          <w:color w:val="0D0D0D" w:themeColor="text1" w:themeTint="F2"/>
          <w:lang w:val="en-GB"/>
        </w:rPr>
        <w:lastRenderedPageBreak/>
        <w:t>Ivasciuc</w:t>
      </w:r>
      <w:proofErr w:type="spellEnd"/>
      <w:r w:rsidRPr="00215457">
        <w:rPr>
          <w:color w:val="0D0D0D" w:themeColor="text1" w:themeTint="F2"/>
          <w:lang w:val="en-GB"/>
        </w:rPr>
        <w:t xml:space="preserve">, I.S., </w:t>
      </w:r>
      <w:proofErr w:type="spellStart"/>
      <w:r w:rsidRPr="00215457">
        <w:rPr>
          <w:color w:val="0D0D0D" w:themeColor="text1" w:themeTint="F2"/>
          <w:lang w:val="en-GB"/>
        </w:rPr>
        <w:t>Epuran</w:t>
      </w:r>
      <w:proofErr w:type="spellEnd"/>
      <w:r w:rsidRPr="00215457">
        <w:rPr>
          <w:color w:val="0D0D0D" w:themeColor="text1" w:themeTint="F2"/>
          <w:lang w:val="en-GB"/>
        </w:rPr>
        <w:t xml:space="preserve">, G., </w:t>
      </w:r>
      <w:proofErr w:type="spellStart"/>
      <w:r w:rsidRPr="00215457">
        <w:rPr>
          <w:color w:val="0D0D0D" w:themeColor="text1" w:themeTint="F2"/>
          <w:lang w:val="en-GB"/>
        </w:rPr>
        <w:t>Vuță</w:t>
      </w:r>
      <w:proofErr w:type="spellEnd"/>
      <w:r w:rsidRPr="00215457">
        <w:rPr>
          <w:color w:val="0D0D0D" w:themeColor="text1" w:themeTint="F2"/>
          <w:lang w:val="en-GB"/>
        </w:rPr>
        <w:t xml:space="preserve">, D.R. and </w:t>
      </w:r>
      <w:proofErr w:type="spellStart"/>
      <w:r w:rsidRPr="00215457">
        <w:rPr>
          <w:color w:val="0D0D0D" w:themeColor="text1" w:themeTint="F2"/>
          <w:lang w:val="en-GB"/>
        </w:rPr>
        <w:t>Tescașiu</w:t>
      </w:r>
      <w:proofErr w:type="spellEnd"/>
      <w:r w:rsidRPr="00215457">
        <w:rPr>
          <w:color w:val="0D0D0D" w:themeColor="text1" w:themeTint="F2"/>
          <w:lang w:val="en-GB"/>
        </w:rPr>
        <w:t xml:space="preserve">, B., (2022). ‘Telework implications on work-life balance, productivity, and health of different generations of Romanian </w:t>
      </w:r>
      <w:proofErr w:type="gramStart"/>
      <w:r w:rsidRPr="00215457">
        <w:rPr>
          <w:color w:val="0D0D0D" w:themeColor="text1" w:themeTint="F2"/>
          <w:lang w:val="en-GB"/>
        </w:rPr>
        <w:t>employees’</w:t>
      </w:r>
      <w:proofErr w:type="gramEnd"/>
      <w:r w:rsidRPr="00215457">
        <w:rPr>
          <w:color w:val="0D0D0D" w:themeColor="text1" w:themeTint="F2"/>
          <w:lang w:val="en-GB"/>
        </w:rPr>
        <w:t xml:space="preserve">. </w:t>
      </w:r>
      <w:r w:rsidRPr="00215457">
        <w:rPr>
          <w:i/>
          <w:color w:val="0D0D0D" w:themeColor="text1" w:themeTint="F2"/>
          <w:lang w:val="en-GB"/>
        </w:rPr>
        <w:t>Sustainability</w:t>
      </w:r>
      <w:r w:rsidRPr="00215457">
        <w:rPr>
          <w:color w:val="0D0D0D" w:themeColor="text1" w:themeTint="F2"/>
          <w:lang w:val="en-GB"/>
        </w:rPr>
        <w:t xml:space="preserve">, </w:t>
      </w:r>
      <w:r w:rsidRPr="00215457">
        <w:rPr>
          <w:i/>
          <w:color w:val="0D0D0D" w:themeColor="text1" w:themeTint="F2"/>
          <w:lang w:val="en-GB"/>
        </w:rPr>
        <w:t>14</w:t>
      </w:r>
      <w:r w:rsidRPr="00215457">
        <w:rPr>
          <w:color w:val="0D0D0D" w:themeColor="text1" w:themeTint="F2"/>
          <w:lang w:val="en-GB"/>
        </w:rPr>
        <w:t>(23), p.16108.</w:t>
      </w:r>
    </w:p>
    <w:p w14:paraId="7441896E" w14:textId="77777777" w:rsidR="00215457" w:rsidRPr="00215457" w:rsidRDefault="00215457">
      <w:pPr>
        <w:spacing w:after="200"/>
        <w:rPr>
          <w:color w:val="0D0D0D" w:themeColor="text1" w:themeTint="F2"/>
          <w:lang w:val="en-GB"/>
        </w:rPr>
      </w:pPr>
      <w:r w:rsidRPr="00215457">
        <w:rPr>
          <w:color w:val="0D0D0D" w:themeColor="text1" w:themeTint="F2"/>
          <w:lang w:val="en-GB"/>
        </w:rPr>
        <w:t xml:space="preserve">Mahmoud, A.B., Berman, A., Reisel, W., </w:t>
      </w:r>
      <w:proofErr w:type="spellStart"/>
      <w:r w:rsidRPr="00215457">
        <w:rPr>
          <w:color w:val="0D0D0D" w:themeColor="text1" w:themeTint="F2"/>
          <w:lang w:val="en-GB"/>
        </w:rPr>
        <w:t>Fuxman</w:t>
      </w:r>
      <w:proofErr w:type="spellEnd"/>
      <w:r w:rsidRPr="00215457">
        <w:rPr>
          <w:color w:val="0D0D0D" w:themeColor="text1" w:themeTint="F2"/>
          <w:lang w:val="en-GB"/>
        </w:rPr>
        <w:t>, L. and Hack‐Polay, D., (2024). ‘Examining generational differences as a moderator of extreme‐context perception and its impact on work alienation organizational outcomes: Implications for the workplace and remote work transformation</w:t>
      </w:r>
      <w:proofErr w:type="gramStart"/>
      <w:r w:rsidRPr="00215457">
        <w:rPr>
          <w:color w:val="0D0D0D" w:themeColor="text1" w:themeTint="F2"/>
          <w:lang w:val="en-GB"/>
        </w:rPr>
        <w:t>’.</w:t>
      </w:r>
      <w:proofErr w:type="gramEnd"/>
      <w:r w:rsidRPr="00215457">
        <w:rPr>
          <w:color w:val="0D0D0D" w:themeColor="text1" w:themeTint="F2"/>
          <w:lang w:val="en-GB"/>
        </w:rPr>
        <w:t xml:space="preserve"> </w:t>
      </w:r>
      <w:r w:rsidRPr="00215457">
        <w:rPr>
          <w:i/>
          <w:color w:val="0D0D0D" w:themeColor="text1" w:themeTint="F2"/>
          <w:lang w:val="en-GB"/>
        </w:rPr>
        <w:t>Scandinavian Journal of Psychology</w:t>
      </w:r>
      <w:r w:rsidRPr="00215457">
        <w:rPr>
          <w:color w:val="0D0D0D" w:themeColor="text1" w:themeTint="F2"/>
          <w:lang w:val="en-GB"/>
        </w:rPr>
        <w:t xml:space="preserve">, </w:t>
      </w:r>
      <w:r w:rsidRPr="00215457">
        <w:rPr>
          <w:i/>
          <w:color w:val="0D0D0D" w:themeColor="text1" w:themeTint="F2"/>
          <w:lang w:val="en-GB"/>
        </w:rPr>
        <w:t>65</w:t>
      </w:r>
      <w:r w:rsidRPr="00215457">
        <w:rPr>
          <w:color w:val="0D0D0D" w:themeColor="text1" w:themeTint="F2"/>
          <w:lang w:val="en-GB"/>
        </w:rPr>
        <w:t>(1), pp.70-85.</w:t>
      </w:r>
    </w:p>
    <w:p w14:paraId="11423B3F" w14:textId="77777777" w:rsidR="00215457" w:rsidRPr="00215457" w:rsidRDefault="00215457">
      <w:pPr>
        <w:spacing w:after="200"/>
        <w:rPr>
          <w:color w:val="0D0D0D" w:themeColor="text1" w:themeTint="F2"/>
          <w:lang w:val="en-GB"/>
        </w:rPr>
      </w:pPr>
      <w:r w:rsidRPr="00215457">
        <w:rPr>
          <w:color w:val="0D0D0D" w:themeColor="text1" w:themeTint="F2"/>
          <w:lang w:val="en-GB"/>
        </w:rPr>
        <w:t>Medium (2021)</w:t>
      </w:r>
      <w:proofErr w:type="gramStart"/>
      <w:r w:rsidRPr="00215457">
        <w:rPr>
          <w:color w:val="0D0D0D" w:themeColor="text1" w:themeTint="F2"/>
          <w:lang w:val="en-GB"/>
        </w:rPr>
        <w:t xml:space="preserve">. </w:t>
      </w:r>
      <w:proofErr w:type="gramEnd"/>
      <w:r w:rsidRPr="00215457">
        <w:rPr>
          <w:i/>
          <w:color w:val="0D0D0D" w:themeColor="text1" w:themeTint="F2"/>
          <w:lang w:val="en-GB"/>
        </w:rPr>
        <w:t xml:space="preserve">108 top insights on Generation X, Y, Z and Alpha. </w:t>
      </w:r>
      <w:r w:rsidRPr="00215457">
        <w:rPr>
          <w:color w:val="0D0D0D" w:themeColor="text1" w:themeTint="F2"/>
          <w:lang w:val="en-GB"/>
        </w:rPr>
        <w:t xml:space="preserve">Available at: </w:t>
      </w:r>
      <w:hyperlink r:id="rId15">
        <w:r w:rsidRPr="00215457">
          <w:rPr>
            <w:color w:val="0D0D0D" w:themeColor="text1" w:themeTint="F2"/>
            <w:u w:val="single"/>
            <w:lang w:val="en-GB"/>
          </w:rPr>
          <w:t>https://brand-minds.medium.com/108-top-insights-on-generation-x-y-z-and-alpha-29dadeb6bb99</w:t>
        </w:r>
      </w:hyperlink>
      <w:r w:rsidRPr="00215457">
        <w:rPr>
          <w:color w:val="0D0D0D" w:themeColor="text1" w:themeTint="F2"/>
          <w:lang w:val="en-GB"/>
        </w:rPr>
        <w:t xml:space="preserve"> (Accessed: 19 March 2025).</w:t>
      </w:r>
    </w:p>
    <w:p w14:paraId="34E7A426" w14:textId="77777777" w:rsidR="00215457" w:rsidRPr="00215457" w:rsidRDefault="00215457">
      <w:pPr>
        <w:widowControl w:val="0"/>
        <w:spacing w:before="200" w:after="200"/>
        <w:rPr>
          <w:color w:val="0D0D0D" w:themeColor="text1" w:themeTint="F2"/>
          <w:lang w:val="en-GB"/>
        </w:rPr>
      </w:pPr>
      <w:proofErr w:type="spellStart"/>
      <w:r w:rsidRPr="00215457">
        <w:rPr>
          <w:color w:val="0D0D0D" w:themeColor="text1" w:themeTint="F2"/>
          <w:lang w:val="en-GB"/>
        </w:rPr>
        <w:t>Mtiraoui</w:t>
      </w:r>
      <w:proofErr w:type="spellEnd"/>
      <w:r w:rsidRPr="00215457">
        <w:rPr>
          <w:color w:val="0D0D0D" w:themeColor="text1" w:themeTint="F2"/>
          <w:lang w:val="en-GB"/>
        </w:rPr>
        <w:t>, A. (2024). ‘Interaction between migration and economic growth through unemployment in the context of political instability in the MENA Region</w:t>
      </w:r>
      <w:proofErr w:type="gramStart"/>
      <w:r w:rsidRPr="00215457">
        <w:rPr>
          <w:color w:val="0D0D0D" w:themeColor="text1" w:themeTint="F2"/>
          <w:lang w:val="en-GB"/>
        </w:rPr>
        <w:t xml:space="preserve">. </w:t>
      </w:r>
      <w:proofErr w:type="gramEnd"/>
      <w:r w:rsidRPr="00215457">
        <w:rPr>
          <w:i/>
          <w:color w:val="0D0D0D" w:themeColor="text1" w:themeTint="F2"/>
          <w:lang w:val="en-GB"/>
        </w:rPr>
        <w:t>International Journal of Economics and Financial Issues</w:t>
      </w:r>
      <w:r w:rsidRPr="00215457">
        <w:rPr>
          <w:color w:val="0D0D0D" w:themeColor="text1" w:themeTint="F2"/>
          <w:lang w:val="en-GB"/>
        </w:rPr>
        <w:t xml:space="preserve">, </w:t>
      </w:r>
      <w:r w:rsidRPr="00215457">
        <w:rPr>
          <w:i/>
          <w:color w:val="0D0D0D" w:themeColor="text1" w:themeTint="F2"/>
          <w:lang w:val="en-GB"/>
        </w:rPr>
        <w:t>14</w:t>
      </w:r>
      <w:r w:rsidRPr="00215457">
        <w:rPr>
          <w:color w:val="0D0D0D" w:themeColor="text1" w:themeTint="F2"/>
          <w:lang w:val="en-GB"/>
        </w:rPr>
        <w:t xml:space="preserve">(1), 204-215. </w:t>
      </w:r>
    </w:p>
    <w:p w14:paraId="35910B7D" w14:textId="77777777" w:rsidR="00215457" w:rsidRPr="00215457" w:rsidRDefault="00215457">
      <w:pPr>
        <w:spacing w:after="200"/>
        <w:rPr>
          <w:color w:val="0D0D0D" w:themeColor="text1" w:themeTint="F2"/>
          <w:lang w:val="en-GB"/>
        </w:rPr>
      </w:pPr>
      <w:r w:rsidRPr="00215457">
        <w:rPr>
          <w:color w:val="0D0D0D" w:themeColor="text1" w:themeTint="F2"/>
          <w:lang w:val="en-GB"/>
        </w:rPr>
        <w:t xml:space="preserve">Pandita, D., Agarwal, Y. and </w:t>
      </w:r>
      <w:proofErr w:type="spellStart"/>
      <w:r w:rsidRPr="00215457">
        <w:rPr>
          <w:color w:val="0D0D0D" w:themeColor="text1" w:themeTint="F2"/>
          <w:lang w:val="en-GB"/>
        </w:rPr>
        <w:t>Vapiwala</w:t>
      </w:r>
      <w:proofErr w:type="spellEnd"/>
      <w:r w:rsidRPr="00215457">
        <w:rPr>
          <w:color w:val="0D0D0D" w:themeColor="text1" w:themeTint="F2"/>
          <w:lang w:val="en-GB"/>
        </w:rPr>
        <w:t>, F., (2023)</w:t>
      </w:r>
      <w:proofErr w:type="gramStart"/>
      <w:r w:rsidRPr="00215457">
        <w:rPr>
          <w:color w:val="0D0D0D" w:themeColor="text1" w:themeTint="F2"/>
          <w:lang w:val="en-GB"/>
        </w:rPr>
        <w:t xml:space="preserve">. </w:t>
      </w:r>
      <w:proofErr w:type="gramEnd"/>
      <w:r w:rsidRPr="00215457">
        <w:rPr>
          <w:color w:val="0D0D0D" w:themeColor="text1" w:themeTint="F2"/>
          <w:lang w:val="en-GB"/>
        </w:rPr>
        <w:t xml:space="preserve">‘Fostering the sustainability of organizational learning: reviewing the role of Gen-Z employees’. </w:t>
      </w:r>
      <w:r w:rsidRPr="00215457">
        <w:rPr>
          <w:i/>
          <w:color w:val="0D0D0D" w:themeColor="text1" w:themeTint="F2"/>
          <w:lang w:val="en-GB"/>
        </w:rPr>
        <w:t>Industrial and Commercial Training</w:t>
      </w:r>
      <w:r w:rsidRPr="00215457">
        <w:rPr>
          <w:color w:val="0D0D0D" w:themeColor="text1" w:themeTint="F2"/>
          <w:lang w:val="en-GB"/>
        </w:rPr>
        <w:t xml:space="preserve">, </w:t>
      </w:r>
      <w:r w:rsidRPr="00215457">
        <w:rPr>
          <w:i/>
          <w:color w:val="0D0D0D" w:themeColor="text1" w:themeTint="F2"/>
          <w:lang w:val="en-GB"/>
        </w:rPr>
        <w:t>55</w:t>
      </w:r>
      <w:r w:rsidRPr="00215457">
        <w:rPr>
          <w:color w:val="0D0D0D" w:themeColor="text1" w:themeTint="F2"/>
          <w:lang w:val="en-GB"/>
        </w:rPr>
        <w:t>(3), pp.375-387.</w:t>
      </w:r>
    </w:p>
    <w:p w14:paraId="18729168" w14:textId="77777777" w:rsidR="00215457" w:rsidRPr="00215457" w:rsidRDefault="00215457">
      <w:pPr>
        <w:spacing w:after="200"/>
        <w:rPr>
          <w:color w:val="0D0D0D" w:themeColor="text1" w:themeTint="F2"/>
          <w:lang w:val="en-GB"/>
        </w:rPr>
      </w:pPr>
      <w:proofErr w:type="spellStart"/>
      <w:r w:rsidRPr="00215457">
        <w:rPr>
          <w:color w:val="0D0D0D" w:themeColor="text1" w:themeTint="F2"/>
          <w:lang w:val="en-GB"/>
        </w:rPr>
        <w:t>Salvadorinho</w:t>
      </w:r>
      <w:proofErr w:type="spellEnd"/>
      <w:r w:rsidRPr="00215457">
        <w:rPr>
          <w:color w:val="0D0D0D" w:themeColor="text1" w:themeTint="F2"/>
          <w:lang w:val="en-GB"/>
        </w:rPr>
        <w:t>, J., Hines, P., Kumar, M., Ferreira, C. and Teixeira, L., (2024)</w:t>
      </w:r>
      <w:proofErr w:type="gramStart"/>
      <w:r w:rsidRPr="00215457">
        <w:rPr>
          <w:color w:val="0D0D0D" w:themeColor="text1" w:themeTint="F2"/>
          <w:lang w:val="en-GB"/>
        </w:rPr>
        <w:t xml:space="preserve">. </w:t>
      </w:r>
      <w:proofErr w:type="gramEnd"/>
      <w:r w:rsidRPr="00215457">
        <w:rPr>
          <w:color w:val="0D0D0D" w:themeColor="text1" w:themeTint="F2"/>
          <w:lang w:val="en-GB"/>
        </w:rPr>
        <w:t>‘Empowering Generation Z in manufacturing organizations: a 6-factor self-determination extension’</w:t>
      </w:r>
      <w:proofErr w:type="gramStart"/>
      <w:r w:rsidRPr="00215457">
        <w:rPr>
          <w:color w:val="0D0D0D" w:themeColor="text1" w:themeTint="F2"/>
          <w:lang w:val="en-GB"/>
        </w:rPr>
        <w:t xml:space="preserve">. </w:t>
      </w:r>
      <w:proofErr w:type="gramEnd"/>
      <w:r w:rsidRPr="00215457">
        <w:rPr>
          <w:i/>
          <w:color w:val="0D0D0D" w:themeColor="text1" w:themeTint="F2"/>
          <w:lang w:val="en-GB"/>
        </w:rPr>
        <w:t>Journal of Work-Applied Management</w:t>
      </w:r>
      <w:r w:rsidRPr="00215457">
        <w:rPr>
          <w:color w:val="0D0D0D" w:themeColor="text1" w:themeTint="F2"/>
          <w:lang w:val="en-GB"/>
        </w:rPr>
        <w:t>.</w:t>
      </w:r>
    </w:p>
    <w:p w14:paraId="7E40F1D5" w14:textId="77777777" w:rsidR="00215457" w:rsidRPr="00215457" w:rsidRDefault="00215457">
      <w:pPr>
        <w:spacing w:after="200"/>
        <w:rPr>
          <w:color w:val="0D0D0D" w:themeColor="text1" w:themeTint="F2"/>
          <w:lang w:val="en-GB"/>
        </w:rPr>
      </w:pPr>
      <w:r w:rsidRPr="00215457">
        <w:rPr>
          <w:color w:val="0D0D0D" w:themeColor="text1" w:themeTint="F2"/>
          <w:lang w:val="en-GB"/>
        </w:rPr>
        <w:t>Siemen</w:t>
      </w:r>
      <w:proofErr w:type="gramStart"/>
      <w:r w:rsidRPr="00215457">
        <w:rPr>
          <w:color w:val="0D0D0D" w:themeColor="text1" w:themeTint="F2"/>
          <w:lang w:val="en-GB"/>
        </w:rPr>
        <w:t xml:space="preserve">. </w:t>
      </w:r>
      <w:proofErr w:type="gramEnd"/>
      <w:r w:rsidRPr="00215457">
        <w:rPr>
          <w:color w:val="0D0D0D" w:themeColor="text1" w:themeTint="F2"/>
          <w:lang w:val="en-GB"/>
        </w:rPr>
        <w:t>(2025)</w:t>
      </w:r>
      <w:proofErr w:type="gramStart"/>
      <w:r w:rsidRPr="00215457">
        <w:rPr>
          <w:color w:val="0D0D0D" w:themeColor="text1" w:themeTint="F2"/>
          <w:lang w:val="en-GB"/>
        </w:rPr>
        <w:t xml:space="preserve">. </w:t>
      </w:r>
      <w:proofErr w:type="gramEnd"/>
      <w:r w:rsidRPr="00215457">
        <w:rPr>
          <w:i/>
          <w:color w:val="0D0D0D" w:themeColor="text1" w:themeTint="F2"/>
          <w:lang w:val="en-GB"/>
        </w:rPr>
        <w:t>Global Mobility Management by Siemens</w:t>
      </w:r>
      <w:proofErr w:type="gramStart"/>
      <w:r w:rsidRPr="00215457">
        <w:rPr>
          <w:i/>
          <w:color w:val="0D0D0D" w:themeColor="text1" w:themeTint="F2"/>
          <w:lang w:val="en-GB"/>
        </w:rPr>
        <w:t>.</w:t>
      </w:r>
      <w:r w:rsidRPr="00215457">
        <w:rPr>
          <w:color w:val="0D0D0D" w:themeColor="text1" w:themeTint="F2"/>
          <w:lang w:val="en-GB"/>
        </w:rPr>
        <w:t xml:space="preserve"> </w:t>
      </w:r>
      <w:proofErr w:type="gramEnd"/>
      <w:r w:rsidRPr="00215457">
        <w:rPr>
          <w:color w:val="0D0D0D" w:themeColor="text1" w:themeTint="F2"/>
          <w:lang w:val="en-GB"/>
        </w:rPr>
        <w:t xml:space="preserve">Available at: </w:t>
      </w:r>
      <w:hyperlink r:id="rId16">
        <w:r w:rsidRPr="00215457">
          <w:rPr>
            <w:color w:val="0D0D0D" w:themeColor="text1" w:themeTint="F2"/>
            <w:u w:val="single"/>
            <w:lang w:val="en-GB"/>
          </w:rPr>
          <w:t>https://www.siemens.com/global/en/products/services/gbs/hire-to-retire/global-mobility-management.html</w:t>
        </w:r>
      </w:hyperlink>
      <w:r w:rsidRPr="00215457">
        <w:rPr>
          <w:color w:val="0D0D0D" w:themeColor="text1" w:themeTint="F2"/>
          <w:lang w:val="en-GB"/>
        </w:rPr>
        <w:t xml:space="preserve"> (Accessed: 19 March 2025). </w:t>
      </w:r>
    </w:p>
    <w:p w14:paraId="1C8A7B48" w14:textId="77777777" w:rsidR="00215457" w:rsidRPr="00215457" w:rsidRDefault="00215457">
      <w:pPr>
        <w:spacing w:after="200"/>
        <w:rPr>
          <w:color w:val="0D0D0D" w:themeColor="text1" w:themeTint="F2"/>
          <w:lang w:val="en-GB"/>
        </w:rPr>
      </w:pPr>
      <w:r w:rsidRPr="00215457">
        <w:rPr>
          <w:color w:val="0D0D0D" w:themeColor="text1" w:themeTint="F2"/>
          <w:lang w:val="en-GB"/>
        </w:rPr>
        <w:t xml:space="preserve">Tarique, I. and Schuler, R., (2018). ‘A multi-level framework for understanding global talent management systems for high talent expatriates within and across subsidiaries of MNEs: Propositions for further research.’ </w:t>
      </w:r>
      <w:r w:rsidRPr="00215457">
        <w:rPr>
          <w:i/>
          <w:color w:val="0D0D0D" w:themeColor="text1" w:themeTint="F2"/>
          <w:lang w:val="en-GB"/>
        </w:rPr>
        <w:t>Journal of Global Mobility, 6</w:t>
      </w:r>
      <w:r w:rsidRPr="00215457">
        <w:rPr>
          <w:color w:val="0D0D0D" w:themeColor="text1" w:themeTint="F2"/>
          <w:lang w:val="en-GB"/>
        </w:rPr>
        <w:t>(1), pp.79-101.</w:t>
      </w:r>
    </w:p>
    <w:p w14:paraId="07A83939" w14:textId="77777777" w:rsidR="00215457" w:rsidRPr="00215457" w:rsidRDefault="00215457">
      <w:pPr>
        <w:spacing w:after="240"/>
        <w:rPr>
          <w:color w:val="0D0D0D" w:themeColor="text1" w:themeTint="F2"/>
          <w:lang w:val="en-GB"/>
        </w:rPr>
      </w:pPr>
      <w:r w:rsidRPr="00215457">
        <w:rPr>
          <w:color w:val="0D0D0D" w:themeColor="text1" w:themeTint="F2"/>
          <w:lang w:val="en-GB"/>
        </w:rPr>
        <w:lastRenderedPageBreak/>
        <w:t xml:space="preserve">Twenge, J.M., (2023). </w:t>
      </w:r>
      <w:r w:rsidRPr="00215457">
        <w:rPr>
          <w:i/>
          <w:color w:val="0D0D0D" w:themeColor="text1" w:themeTint="F2"/>
          <w:lang w:val="en-GB"/>
        </w:rPr>
        <w:t>Generations: the real differences between Gen Z, Millennials, Gen X, Boomers, and Silents—and what they mean for America's future</w:t>
      </w:r>
      <w:r w:rsidRPr="00215457">
        <w:rPr>
          <w:color w:val="0D0D0D" w:themeColor="text1" w:themeTint="F2"/>
          <w:lang w:val="en-GB"/>
        </w:rPr>
        <w:t>. Simon and Schuster.</w:t>
      </w:r>
    </w:p>
    <w:p w14:paraId="5BA7FECC" w14:textId="77777777" w:rsidR="00215457" w:rsidRPr="00215457" w:rsidRDefault="00215457">
      <w:pPr>
        <w:spacing w:after="240"/>
        <w:rPr>
          <w:color w:val="0D0D0D" w:themeColor="text1" w:themeTint="F2"/>
          <w:lang w:val="en-GB"/>
        </w:rPr>
      </w:pPr>
      <w:r w:rsidRPr="00215457">
        <w:rPr>
          <w:color w:val="0D0D0D" w:themeColor="text1" w:themeTint="F2"/>
          <w:lang w:val="en-GB"/>
        </w:rPr>
        <w:t>Unilever (2024)</w:t>
      </w:r>
      <w:proofErr w:type="gramStart"/>
      <w:r w:rsidRPr="00215457">
        <w:rPr>
          <w:color w:val="0D0D0D" w:themeColor="text1" w:themeTint="F2"/>
          <w:lang w:val="en-GB"/>
        </w:rPr>
        <w:t xml:space="preserve">. </w:t>
      </w:r>
      <w:proofErr w:type="gramEnd"/>
      <w:r w:rsidRPr="00215457">
        <w:rPr>
          <w:i/>
          <w:color w:val="0D0D0D" w:themeColor="text1" w:themeTint="F2"/>
          <w:lang w:val="en-GB"/>
        </w:rPr>
        <w:t>Unilever Future Leader Programmes.</w:t>
      </w:r>
      <w:r w:rsidRPr="00215457">
        <w:rPr>
          <w:color w:val="0D0D0D" w:themeColor="text1" w:themeTint="F2"/>
          <w:lang w:val="en-GB"/>
        </w:rPr>
        <w:t xml:space="preserve"> Available at; </w:t>
      </w:r>
      <w:hyperlink r:id="rId17">
        <w:r w:rsidRPr="00215457">
          <w:rPr>
            <w:color w:val="0D0D0D" w:themeColor="text1" w:themeTint="F2"/>
            <w:u w:val="single"/>
            <w:lang w:val="en-GB"/>
          </w:rPr>
          <w:t>https://careers.unilever.com/unilever-future-leaders-programme</w:t>
        </w:r>
      </w:hyperlink>
      <w:r w:rsidRPr="00215457">
        <w:rPr>
          <w:color w:val="0D0D0D" w:themeColor="text1" w:themeTint="F2"/>
          <w:lang w:val="en-GB"/>
        </w:rPr>
        <w:t xml:space="preserve"> (Accessed: 19 March 2025) </w:t>
      </w:r>
    </w:p>
    <w:p w14:paraId="56E6AFB3" w14:textId="77777777" w:rsidR="00215457" w:rsidRPr="00215457" w:rsidRDefault="00215457">
      <w:pPr>
        <w:spacing w:after="200"/>
        <w:rPr>
          <w:color w:val="0D0D0D" w:themeColor="text1" w:themeTint="F2"/>
          <w:lang w:val="en-GB"/>
        </w:rPr>
      </w:pPr>
      <w:proofErr w:type="spellStart"/>
      <w:r w:rsidRPr="00215457">
        <w:rPr>
          <w:color w:val="0D0D0D" w:themeColor="text1" w:themeTint="F2"/>
          <w:lang w:val="en-GB"/>
        </w:rPr>
        <w:t>Voumik</w:t>
      </w:r>
      <w:proofErr w:type="spellEnd"/>
      <w:r w:rsidRPr="00215457">
        <w:rPr>
          <w:color w:val="0D0D0D" w:themeColor="text1" w:themeTint="F2"/>
          <w:lang w:val="en-GB"/>
        </w:rPr>
        <w:t xml:space="preserve">, L.C., Nafi, S.M., Kuri, B.C. and Raihan, A., (2022). ‘How tourism affects women's employment in Asian countries: an application of Generalized Method of Moments and Quantile Regression’. </w:t>
      </w:r>
      <w:r w:rsidRPr="00215457">
        <w:rPr>
          <w:i/>
          <w:color w:val="0D0D0D" w:themeColor="text1" w:themeTint="F2"/>
          <w:lang w:val="en-GB"/>
        </w:rPr>
        <w:t>Journal of Social Sciences and Management Studies</w:t>
      </w:r>
      <w:r w:rsidRPr="00215457">
        <w:rPr>
          <w:color w:val="0D0D0D" w:themeColor="text1" w:themeTint="F2"/>
          <w:lang w:val="en-GB"/>
        </w:rPr>
        <w:t xml:space="preserve">, </w:t>
      </w:r>
      <w:r w:rsidRPr="00215457">
        <w:rPr>
          <w:i/>
          <w:color w:val="0D0D0D" w:themeColor="text1" w:themeTint="F2"/>
          <w:lang w:val="en-GB"/>
        </w:rPr>
        <w:t>1</w:t>
      </w:r>
      <w:r w:rsidRPr="00215457">
        <w:rPr>
          <w:color w:val="0D0D0D" w:themeColor="text1" w:themeTint="F2"/>
          <w:lang w:val="en-GB"/>
        </w:rPr>
        <w:t>(4), pp.57-72.</w:t>
      </w:r>
    </w:p>
    <w:sectPr w:rsidR="00215457" w:rsidRPr="0021545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962F68"/>
    <w:rsid w:val="00215457"/>
    <w:rsid w:val="00664B6F"/>
    <w:rsid w:val="00962F68"/>
    <w:rsid w:val="00BC3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F8865"/>
  <w15:docId w15:val="{A0B477A1-91CB-4BB0-9EE6-5EDB6F94A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outlineLvl w:val="0"/>
    </w:pPr>
    <w:rPr>
      <w:b/>
      <w:color w:val="0D0D0D"/>
    </w:rPr>
  </w:style>
  <w:style w:type="paragraph" w:styleId="Heading2">
    <w:name w:val="heading 2"/>
    <w:basedOn w:val="Normal"/>
    <w:next w:val="Normal"/>
    <w:pPr>
      <w:keepNext/>
      <w:keepLines/>
      <w:spacing w:before="200" w:after="200"/>
      <w:outlineLvl w:val="1"/>
    </w:pPr>
    <w:rPr>
      <w:b/>
      <w:color w:val="0D0D0D"/>
    </w:rPr>
  </w:style>
  <w:style w:type="paragraph" w:styleId="Heading3">
    <w:name w:val="heading 3"/>
    <w:basedOn w:val="Normal"/>
    <w:next w:val="Normal"/>
    <w:pPr>
      <w:keepNext/>
      <w:keepLines/>
      <w:spacing w:before="200" w:after="200"/>
      <w:outlineLvl w:val="2"/>
    </w:pPr>
    <w:rPr>
      <w:b/>
      <w:color w:val="222222"/>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color w:val="0D0D0D"/>
      <w:sz w:val="32"/>
      <w:szCs w:val="3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64B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4B6F"/>
    <w:rPr>
      <w:rFonts w:ascii="Tahoma" w:hAnsi="Tahoma" w:cs="Tahoma"/>
      <w:sz w:val="16"/>
      <w:szCs w:val="16"/>
    </w:rPr>
  </w:style>
  <w:style w:type="paragraph" w:styleId="TOC1">
    <w:name w:val="toc 1"/>
    <w:basedOn w:val="Normal"/>
    <w:next w:val="Normal"/>
    <w:autoRedefine/>
    <w:uiPriority w:val="39"/>
    <w:unhideWhenUsed/>
    <w:rsid w:val="00215457"/>
  </w:style>
  <w:style w:type="paragraph" w:styleId="TOC2">
    <w:name w:val="toc 2"/>
    <w:basedOn w:val="Normal"/>
    <w:next w:val="Normal"/>
    <w:autoRedefine/>
    <w:uiPriority w:val="39"/>
    <w:unhideWhenUsed/>
    <w:rsid w:val="00215457"/>
    <w:pPr>
      <w:ind w:left="240"/>
    </w:pPr>
  </w:style>
  <w:style w:type="paragraph" w:styleId="TOC3">
    <w:name w:val="toc 3"/>
    <w:basedOn w:val="Normal"/>
    <w:next w:val="Normal"/>
    <w:autoRedefine/>
    <w:uiPriority w:val="39"/>
    <w:unhideWhenUsed/>
    <w:rsid w:val="00664B6F"/>
    <w:pPr>
      <w:spacing w:after="100"/>
      <w:ind w:left="480"/>
    </w:pPr>
  </w:style>
  <w:style w:type="character" w:styleId="Hyperlink">
    <w:name w:val="Hyperlink"/>
    <w:basedOn w:val="DefaultParagraphFont"/>
    <w:uiPriority w:val="99"/>
    <w:unhideWhenUsed/>
    <w:rsid w:val="00664B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deloitte.com/global/en/services/consulting/perspectives/global-mobility.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2.deloitte.com/us/en/pages/consumer-business/articles/understanding-generation-z-in-the-workplace.html" TargetMode="External"/><Relationship Id="rId17" Type="http://schemas.openxmlformats.org/officeDocument/2006/relationships/hyperlink" Target="https://careers.unilever.com/unilever-future-leaders-programme" TargetMode="External"/><Relationship Id="rId2" Type="http://schemas.openxmlformats.org/officeDocument/2006/relationships/styles" Target="styles.xml"/><Relationship Id="rId16" Type="http://schemas.openxmlformats.org/officeDocument/2006/relationships/hyperlink" Target="https://www.siemens.com/global/en/products/services/gbs/hire-to-retire/global-mobility-management.htm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statista.com/statistics/1401604/sources-of-info-for-product-research-among-gen-x/" TargetMode="External"/><Relationship Id="rId5" Type="http://schemas.openxmlformats.org/officeDocument/2006/relationships/image" Target="media/image1.png"/><Relationship Id="rId15" Type="http://schemas.openxmlformats.org/officeDocument/2006/relationships/hyperlink" Target="https://brand-minds.medium.com/108-top-insights-on-generation-x-y-z-and-alpha-29dadeb6bb99" TargetMode="External"/><Relationship Id="rId10" Type="http://schemas.openxmlformats.org/officeDocument/2006/relationships/hyperlink" Target="https://www.theculturefactor.com/country-comparison-tool?countries=japan%2Cunited+kingd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culturefactor.com/country-comparison-tool?countries=china%2Cunited+kingdom" TargetMode="External"/><Relationship Id="rId14" Type="http://schemas.openxmlformats.org/officeDocument/2006/relationships/hyperlink" Target="https://cloud.google.com/customers/nomad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FA658D-8E5F-443C-8D39-FFC5804A5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4011</Words>
  <Characters>22869</Characters>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2025-03-19T12:54:00Z</dcterms:created>
  <dcterms:modified xsi:type="dcterms:W3CDTF">2025-03-19T13:01:00Z</dcterms:modified>
</cp:coreProperties>
</file>