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B3B5B" w14:textId="77777777" w:rsidR="00373552" w:rsidRDefault="00373552" w:rsidP="000F3905">
      <w:pPr>
        <w:rPr>
          <w:b/>
          <w:bCs/>
        </w:rPr>
      </w:pPr>
    </w:p>
    <w:p w14:paraId="7D5B8F2F" w14:textId="3615542E" w:rsidR="00F739A6" w:rsidRDefault="00F739A6" w:rsidP="000F3905">
      <w:pPr>
        <w:rPr>
          <w:b/>
          <w:bCs/>
        </w:rPr>
      </w:pPr>
      <w:r>
        <w:rPr>
          <w:noProof/>
        </w:rPr>
        <w:drawing>
          <wp:inline distT="0" distB="0" distL="0" distR="0" wp14:anchorId="52C2FC18" wp14:editId="1D4E0275">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1F0517BC" w14:textId="77777777" w:rsidR="00F739A6" w:rsidRDefault="00F739A6" w:rsidP="000F3905">
      <w:pPr>
        <w:rPr>
          <w:b/>
          <w:bCs/>
        </w:rPr>
      </w:pPr>
    </w:p>
    <w:p w14:paraId="5378C8AC" w14:textId="77777777" w:rsidR="00F739A6" w:rsidRDefault="00F739A6" w:rsidP="000F3905">
      <w:pPr>
        <w:rPr>
          <w:b/>
          <w:bCs/>
        </w:rPr>
      </w:pPr>
    </w:p>
    <w:p w14:paraId="4F596D71" w14:textId="216C5154" w:rsidR="000F3905" w:rsidRPr="000F3905" w:rsidRDefault="000F3905" w:rsidP="000F3905">
      <w:pPr>
        <w:rPr>
          <w:b/>
          <w:bCs/>
        </w:rPr>
      </w:pPr>
      <w:r w:rsidRPr="000F3905">
        <w:rPr>
          <w:b/>
          <w:bCs/>
        </w:rPr>
        <w:t>Student name: Sara Laassiri</w:t>
      </w:r>
    </w:p>
    <w:p w14:paraId="34C86F27" w14:textId="77777777" w:rsidR="000F3905" w:rsidRPr="000F3905" w:rsidRDefault="000F3905" w:rsidP="000F3905">
      <w:pPr>
        <w:rPr>
          <w:b/>
          <w:bCs/>
        </w:rPr>
      </w:pPr>
      <w:r w:rsidRPr="000F3905">
        <w:rPr>
          <w:b/>
          <w:bCs/>
        </w:rPr>
        <w:t>Student number: 2318737</w:t>
      </w:r>
    </w:p>
    <w:p w14:paraId="085D029D" w14:textId="342F2202" w:rsidR="000F3905" w:rsidRPr="000F3905" w:rsidRDefault="000F3905" w:rsidP="000F3905">
      <w:pPr>
        <w:rPr>
          <w:b/>
          <w:bCs/>
        </w:rPr>
      </w:pPr>
      <w:r w:rsidRPr="000F3905">
        <w:rPr>
          <w:b/>
          <w:bCs/>
        </w:rPr>
        <w:t xml:space="preserve">Course Title: </w:t>
      </w:r>
      <w:r>
        <w:rPr>
          <w:b/>
          <w:bCs/>
        </w:rPr>
        <w:t>St</w:t>
      </w:r>
      <w:r w:rsidR="00FC39F8">
        <w:rPr>
          <w:b/>
          <w:bCs/>
        </w:rPr>
        <w:t xml:space="preserve">rategic Management for Business </w:t>
      </w:r>
    </w:p>
    <w:p w14:paraId="539BEC95" w14:textId="66DC8901" w:rsidR="005F6B90" w:rsidRPr="000F3905" w:rsidRDefault="000F3905" w:rsidP="005F6B90">
      <w:pPr>
        <w:rPr>
          <w:b/>
          <w:bCs/>
        </w:rPr>
      </w:pPr>
      <w:r w:rsidRPr="000F3905">
        <w:rPr>
          <w:b/>
          <w:bCs/>
        </w:rPr>
        <w:t>Module Code: LCLM</w:t>
      </w:r>
      <w:r w:rsidR="00845E26">
        <w:rPr>
          <w:b/>
          <w:bCs/>
        </w:rPr>
        <w:t>6001-</w:t>
      </w:r>
      <w:r w:rsidR="005F6B90">
        <w:rPr>
          <w:b/>
          <w:bCs/>
        </w:rPr>
        <w:t>BIRM</w:t>
      </w:r>
    </w:p>
    <w:p w14:paraId="1140B8F2" w14:textId="77777777" w:rsidR="000F3905" w:rsidRPr="000F3905" w:rsidRDefault="000F3905" w:rsidP="000F3905">
      <w:pPr>
        <w:rPr>
          <w:b/>
          <w:bCs/>
        </w:rPr>
      </w:pPr>
      <w:r w:rsidRPr="000F3905">
        <w:rPr>
          <w:b/>
          <w:bCs/>
        </w:rPr>
        <w:t>Reopening of Highway 5 – Project Management Portfolio</w:t>
      </w:r>
    </w:p>
    <w:p w14:paraId="7B03DE39" w14:textId="6923F22B" w:rsidR="000F3905" w:rsidRPr="000F3905" w:rsidRDefault="000F3905" w:rsidP="000F3905">
      <w:pPr>
        <w:rPr>
          <w:b/>
          <w:bCs/>
        </w:rPr>
      </w:pPr>
      <w:r w:rsidRPr="000F3905">
        <w:rPr>
          <w:b/>
          <w:bCs/>
        </w:rPr>
        <w:t>Lecturer Name:</w:t>
      </w:r>
      <w:r w:rsidR="00B879A1">
        <w:rPr>
          <w:b/>
          <w:bCs/>
        </w:rPr>
        <w:t xml:space="preserve"> M</w:t>
      </w:r>
      <w:r w:rsidRPr="000F3905">
        <w:rPr>
          <w:b/>
          <w:bCs/>
        </w:rPr>
        <w:t xml:space="preserve"> </w:t>
      </w:r>
      <w:proofErr w:type="spellStart"/>
      <w:r w:rsidRPr="000F3905">
        <w:rPr>
          <w:b/>
          <w:bCs/>
        </w:rPr>
        <w:t>Ashikul</w:t>
      </w:r>
      <w:proofErr w:type="spellEnd"/>
      <w:r w:rsidRPr="000F3905">
        <w:rPr>
          <w:b/>
          <w:bCs/>
        </w:rPr>
        <w:t xml:space="preserve"> Alam Khan</w:t>
      </w:r>
    </w:p>
    <w:p w14:paraId="5E712764" w14:textId="77777777" w:rsidR="000F3905" w:rsidRPr="000F3905" w:rsidRDefault="000F3905" w:rsidP="000F3905">
      <w:pPr>
        <w:rPr>
          <w:b/>
          <w:bCs/>
        </w:rPr>
      </w:pPr>
      <w:r w:rsidRPr="000F3905">
        <w:rPr>
          <w:b/>
          <w:bCs/>
        </w:rPr>
        <w:t>BA (Hons) Leadership and Management Skills in the Workplace</w:t>
      </w:r>
    </w:p>
    <w:p w14:paraId="093D7ECB" w14:textId="36011CBE" w:rsidR="003C7D8B" w:rsidRPr="00A30FEF" w:rsidRDefault="000F3905" w:rsidP="000F3905">
      <w:pPr>
        <w:rPr>
          <w:b/>
          <w:bCs/>
        </w:rPr>
      </w:pPr>
      <w:r w:rsidRPr="000F3905">
        <w:rPr>
          <w:b/>
          <w:bCs/>
        </w:rPr>
        <w:t>University of Wales Trinity Saint David</w:t>
      </w:r>
    </w:p>
    <w:p w14:paraId="24316E2E" w14:textId="77777777" w:rsidR="003F7F85" w:rsidRPr="00A30FEF" w:rsidRDefault="003F7F85" w:rsidP="007F352E">
      <w:pPr>
        <w:rPr>
          <w:b/>
          <w:bCs/>
        </w:rPr>
      </w:pPr>
    </w:p>
    <w:p w14:paraId="7AF8B8DB" w14:textId="77777777" w:rsidR="003F7F85" w:rsidRPr="00A30FEF" w:rsidRDefault="003F7F85" w:rsidP="007F352E">
      <w:pPr>
        <w:rPr>
          <w:b/>
          <w:bCs/>
        </w:rPr>
      </w:pPr>
    </w:p>
    <w:p w14:paraId="2DA03AE7" w14:textId="77777777" w:rsidR="003F7F85" w:rsidRPr="00A30FEF" w:rsidRDefault="003F7F85" w:rsidP="007F352E">
      <w:pPr>
        <w:rPr>
          <w:b/>
          <w:bCs/>
        </w:rPr>
      </w:pPr>
    </w:p>
    <w:p w14:paraId="2CFB59D3" w14:textId="77777777" w:rsidR="00EA1A49" w:rsidRPr="00A30FEF" w:rsidRDefault="00EA1A49" w:rsidP="007F352E">
      <w:pPr>
        <w:rPr>
          <w:b/>
          <w:bCs/>
        </w:rPr>
      </w:pPr>
    </w:p>
    <w:p w14:paraId="5C47D667" w14:textId="77777777" w:rsidR="00EA1A49" w:rsidRPr="00A30FEF" w:rsidRDefault="00EA1A49" w:rsidP="007F352E">
      <w:pPr>
        <w:rPr>
          <w:b/>
          <w:bCs/>
        </w:rPr>
      </w:pPr>
    </w:p>
    <w:p w14:paraId="50168F73" w14:textId="77777777" w:rsidR="00EA1A49" w:rsidRPr="00A30FEF" w:rsidRDefault="00EA1A49" w:rsidP="007F352E">
      <w:pPr>
        <w:rPr>
          <w:b/>
          <w:bCs/>
        </w:rPr>
      </w:pPr>
    </w:p>
    <w:p w14:paraId="24C19ADC" w14:textId="77777777" w:rsidR="00EA1A49" w:rsidRPr="00A30FEF" w:rsidRDefault="00EA1A49" w:rsidP="007F352E">
      <w:pPr>
        <w:rPr>
          <w:b/>
          <w:bCs/>
        </w:rPr>
      </w:pPr>
    </w:p>
    <w:p w14:paraId="7538E7A9" w14:textId="77777777" w:rsidR="00EA1A49" w:rsidRPr="00A30FEF" w:rsidRDefault="00EA1A49" w:rsidP="007F352E">
      <w:pPr>
        <w:rPr>
          <w:b/>
          <w:bCs/>
        </w:rPr>
      </w:pPr>
    </w:p>
    <w:p w14:paraId="0BBFFABF" w14:textId="77777777" w:rsidR="00EA1A49" w:rsidRPr="00A30FEF" w:rsidRDefault="00EA1A49" w:rsidP="007F352E">
      <w:pPr>
        <w:rPr>
          <w:b/>
          <w:bCs/>
        </w:rPr>
      </w:pPr>
    </w:p>
    <w:p w14:paraId="171A1EEB" w14:textId="77777777" w:rsidR="00EA1A49" w:rsidRPr="00A30FEF" w:rsidRDefault="00EA1A49" w:rsidP="007F352E">
      <w:pPr>
        <w:rPr>
          <w:b/>
          <w:bCs/>
        </w:rPr>
      </w:pPr>
    </w:p>
    <w:p w14:paraId="64D0D3D3" w14:textId="77777777" w:rsidR="00EA1A49" w:rsidRPr="00A30FEF" w:rsidRDefault="00EA1A49" w:rsidP="007F352E">
      <w:pPr>
        <w:rPr>
          <w:b/>
          <w:bCs/>
        </w:rPr>
      </w:pPr>
    </w:p>
    <w:p w14:paraId="552192F4" w14:textId="77777777" w:rsidR="00EA1A49" w:rsidRPr="00A30FEF" w:rsidRDefault="00EA1A49" w:rsidP="007F352E">
      <w:pPr>
        <w:rPr>
          <w:b/>
          <w:bCs/>
        </w:rPr>
      </w:pPr>
    </w:p>
    <w:p w14:paraId="6075BE89" w14:textId="77777777" w:rsidR="00EA1A49" w:rsidRPr="00A30FEF" w:rsidRDefault="00EA1A49" w:rsidP="007F352E">
      <w:pPr>
        <w:rPr>
          <w:b/>
          <w:bCs/>
        </w:rPr>
      </w:pPr>
    </w:p>
    <w:p w14:paraId="1E164010" w14:textId="77777777" w:rsidR="008523D9" w:rsidRPr="00A30FEF" w:rsidRDefault="008523D9" w:rsidP="007F352E">
      <w:pPr>
        <w:rPr>
          <w:b/>
          <w:bCs/>
        </w:rPr>
      </w:pPr>
    </w:p>
    <w:p w14:paraId="168CA568" w14:textId="77777777" w:rsidR="00EA1A49" w:rsidRPr="00A30FEF" w:rsidRDefault="00EA1A49" w:rsidP="007F352E">
      <w:pPr>
        <w:rPr>
          <w:b/>
          <w:bCs/>
        </w:rPr>
      </w:pPr>
    </w:p>
    <w:p w14:paraId="66D6788B" w14:textId="06FB9067" w:rsidR="008523D9" w:rsidRPr="00A30FEF" w:rsidRDefault="00730E94" w:rsidP="00200CD8">
      <w:pPr>
        <w:rPr>
          <w:b/>
          <w:bCs/>
        </w:rPr>
      </w:pPr>
      <w:r>
        <w:rPr>
          <w:b/>
          <w:bCs/>
        </w:rPr>
        <w:t>T</w:t>
      </w:r>
      <w:r w:rsidR="008523D9">
        <w:rPr>
          <w:b/>
          <w:bCs/>
        </w:rPr>
        <w:t>able of contents</w:t>
      </w:r>
    </w:p>
    <w:p w14:paraId="58C12E9E" w14:textId="47EA7282" w:rsidR="00730E94" w:rsidRPr="00730E94" w:rsidRDefault="00FE193B" w:rsidP="00730E94">
      <w:pPr>
        <w:rPr>
          <w:b/>
          <w:bCs/>
        </w:rPr>
      </w:pPr>
      <w:r>
        <w:rPr>
          <w:b/>
          <w:bCs/>
        </w:rPr>
        <w:t>1</w:t>
      </w:r>
      <w:r w:rsidR="00730E94" w:rsidRPr="00730E94">
        <w:rPr>
          <w:b/>
          <w:bCs/>
        </w:rPr>
        <w:t xml:space="preserve">. Executive Summary </w:t>
      </w:r>
    </w:p>
    <w:p w14:paraId="6F4D1B5D" w14:textId="77777777" w:rsidR="003573CD" w:rsidRDefault="00730E94" w:rsidP="008E6B1A">
      <w:pPr>
        <w:rPr>
          <w:b/>
          <w:bCs/>
        </w:rPr>
      </w:pPr>
      <w:r w:rsidRPr="00730E94">
        <w:rPr>
          <w:b/>
          <w:bCs/>
        </w:rPr>
        <w:t>2. Introduction to Innocent Drinks</w:t>
      </w:r>
    </w:p>
    <w:p w14:paraId="06265B10" w14:textId="44183243" w:rsidR="00730E94" w:rsidRPr="00730E94" w:rsidRDefault="00730E94" w:rsidP="008E6B1A">
      <w:pPr>
        <w:rPr>
          <w:b/>
          <w:bCs/>
        </w:rPr>
      </w:pPr>
      <w:r w:rsidRPr="00730E94">
        <w:rPr>
          <w:b/>
          <w:bCs/>
        </w:rPr>
        <w:t xml:space="preserve"> 2.1 Comparative Operational Matrix </w:t>
      </w:r>
    </w:p>
    <w:p w14:paraId="380C4B41" w14:textId="00CB3492" w:rsidR="00730E94" w:rsidRPr="00730E94" w:rsidRDefault="00730E94" w:rsidP="008E0E6E">
      <w:pPr>
        <w:rPr>
          <w:b/>
          <w:bCs/>
        </w:rPr>
      </w:pPr>
      <w:r w:rsidRPr="00730E94">
        <w:rPr>
          <w:b/>
          <w:bCs/>
        </w:rPr>
        <w:t>2.2 4V Analysis Comparison</w:t>
      </w:r>
    </w:p>
    <w:p w14:paraId="4AAFC67E" w14:textId="77777777" w:rsidR="00730E94" w:rsidRPr="00730E94" w:rsidRDefault="00730E94" w:rsidP="00730E94">
      <w:pPr>
        <w:rPr>
          <w:b/>
          <w:bCs/>
        </w:rPr>
      </w:pPr>
      <w:r w:rsidRPr="00730E94">
        <w:rPr>
          <w:b/>
          <w:bCs/>
        </w:rPr>
        <w:t>3. Evaluation of the Current Market Situation</w:t>
      </w:r>
    </w:p>
    <w:p w14:paraId="4F2D773D" w14:textId="05278040" w:rsidR="00730E94" w:rsidRPr="00730E94" w:rsidRDefault="00730E94" w:rsidP="008E0E6E">
      <w:pPr>
        <w:rPr>
          <w:b/>
          <w:bCs/>
        </w:rPr>
      </w:pPr>
      <w:r w:rsidRPr="00730E94">
        <w:rPr>
          <w:b/>
          <w:bCs/>
        </w:rPr>
        <w:t>3.1 PESTEL Analysis</w:t>
      </w:r>
    </w:p>
    <w:p w14:paraId="1E4450AE" w14:textId="748DAC96" w:rsidR="00730E94" w:rsidRPr="00730E94" w:rsidRDefault="00730E94" w:rsidP="00730E94">
      <w:pPr>
        <w:rPr>
          <w:b/>
          <w:bCs/>
        </w:rPr>
      </w:pPr>
      <w:r w:rsidRPr="00730E94">
        <w:rPr>
          <w:b/>
          <w:bCs/>
        </w:rPr>
        <w:t>3.2 Porter's Five Forces Analysis</w:t>
      </w:r>
    </w:p>
    <w:p w14:paraId="1D650353" w14:textId="70263761" w:rsidR="00730E94" w:rsidRPr="00730E94" w:rsidRDefault="00730E94" w:rsidP="008E0E6E">
      <w:pPr>
        <w:rPr>
          <w:b/>
          <w:bCs/>
        </w:rPr>
      </w:pPr>
      <w:r w:rsidRPr="00730E94">
        <w:rPr>
          <w:b/>
          <w:bCs/>
        </w:rPr>
        <w:t>3.3 SWOT Analysis</w:t>
      </w:r>
    </w:p>
    <w:p w14:paraId="473D58AD" w14:textId="66E16680" w:rsidR="00730E94" w:rsidRPr="00730E94" w:rsidRDefault="00730E94" w:rsidP="00730E94">
      <w:pPr>
        <w:rPr>
          <w:b/>
          <w:bCs/>
        </w:rPr>
      </w:pPr>
      <w:r w:rsidRPr="00730E94">
        <w:rPr>
          <w:b/>
          <w:bCs/>
        </w:rPr>
        <w:t>3.4 TOWS Analysis</w:t>
      </w:r>
    </w:p>
    <w:p w14:paraId="189B5071" w14:textId="538C0107" w:rsidR="00730E94" w:rsidRPr="00730E94" w:rsidRDefault="00730E94" w:rsidP="00343215">
      <w:pPr>
        <w:rPr>
          <w:b/>
          <w:bCs/>
        </w:rPr>
      </w:pPr>
      <w:r w:rsidRPr="00730E94">
        <w:rPr>
          <w:b/>
          <w:bCs/>
        </w:rPr>
        <w:t>4. Strategic Growth Options and Proposed Strategy</w:t>
      </w:r>
    </w:p>
    <w:p w14:paraId="0A794E1C" w14:textId="2A94AF53" w:rsidR="00730E94" w:rsidRPr="00730E94" w:rsidRDefault="00730E94" w:rsidP="00607005">
      <w:pPr>
        <w:rPr>
          <w:b/>
          <w:bCs/>
        </w:rPr>
      </w:pPr>
      <w:r w:rsidRPr="00730E94">
        <w:rPr>
          <w:b/>
          <w:bCs/>
        </w:rPr>
        <w:t>5. Strategy Evaluation (SFA Framework</w:t>
      </w:r>
      <w:r w:rsidR="00607005">
        <w:rPr>
          <w:b/>
          <w:bCs/>
        </w:rPr>
        <w:t>)</w:t>
      </w:r>
    </w:p>
    <w:p w14:paraId="6AB64589" w14:textId="4906B3BE" w:rsidR="00730E94" w:rsidRPr="00730E94" w:rsidRDefault="00730E94" w:rsidP="00730E94">
      <w:pPr>
        <w:rPr>
          <w:b/>
          <w:bCs/>
        </w:rPr>
      </w:pPr>
      <w:r w:rsidRPr="00730E94">
        <w:rPr>
          <w:b/>
          <w:bCs/>
        </w:rPr>
        <w:t>6. Stakeholder Analysis</w:t>
      </w:r>
    </w:p>
    <w:p w14:paraId="441B89C7" w14:textId="33DDA9F2" w:rsidR="00730E94" w:rsidRPr="00730E94" w:rsidRDefault="00730E94" w:rsidP="00DB262C">
      <w:pPr>
        <w:rPr>
          <w:b/>
          <w:bCs/>
        </w:rPr>
      </w:pPr>
      <w:r w:rsidRPr="00730E94">
        <w:rPr>
          <w:b/>
          <w:bCs/>
        </w:rPr>
        <w:t>7. Implementation and Monitoring...</w:t>
      </w:r>
    </w:p>
    <w:p w14:paraId="53CCB7CC" w14:textId="700EEC6A" w:rsidR="00730E94" w:rsidRPr="00730E94" w:rsidRDefault="00730E94" w:rsidP="00DB262C">
      <w:pPr>
        <w:rPr>
          <w:b/>
          <w:bCs/>
        </w:rPr>
      </w:pPr>
      <w:r w:rsidRPr="00730E94">
        <w:rPr>
          <w:b/>
          <w:bCs/>
        </w:rPr>
        <w:t>7.1 Objectives and Actions</w:t>
      </w:r>
    </w:p>
    <w:p w14:paraId="6FB3FF39" w14:textId="77777777" w:rsidR="00730E94" w:rsidRPr="00730E94" w:rsidRDefault="00730E94" w:rsidP="00730E94">
      <w:pPr>
        <w:rPr>
          <w:b/>
          <w:bCs/>
        </w:rPr>
      </w:pPr>
      <w:r w:rsidRPr="00730E94">
        <w:rPr>
          <w:b/>
          <w:bCs/>
        </w:rPr>
        <w:t>7.2 Key Performance Indicators (KPIs)</w:t>
      </w:r>
    </w:p>
    <w:p w14:paraId="7B014D63" w14:textId="1B38F4C6" w:rsidR="00730E94" w:rsidRPr="00730E94" w:rsidRDefault="00730E94" w:rsidP="00DB262C">
      <w:pPr>
        <w:rPr>
          <w:b/>
          <w:bCs/>
        </w:rPr>
      </w:pPr>
      <w:r w:rsidRPr="00730E94">
        <w:rPr>
          <w:b/>
          <w:bCs/>
        </w:rPr>
        <w:t>7.3 Emission Reduction Targets</w:t>
      </w:r>
    </w:p>
    <w:p w14:paraId="141D0793" w14:textId="0750B296" w:rsidR="00730E94" w:rsidRPr="00730E94" w:rsidRDefault="00730E94" w:rsidP="008E6B1A">
      <w:pPr>
        <w:rPr>
          <w:b/>
          <w:bCs/>
        </w:rPr>
      </w:pPr>
      <w:r w:rsidRPr="00730E94">
        <w:rPr>
          <w:b/>
          <w:bCs/>
        </w:rPr>
        <w:t>7</w:t>
      </w:r>
      <w:r w:rsidR="008E6B1A">
        <w:rPr>
          <w:b/>
          <w:bCs/>
        </w:rPr>
        <w:t>.4</w:t>
      </w:r>
      <w:r w:rsidRPr="00730E94">
        <w:rPr>
          <w:b/>
          <w:bCs/>
        </w:rPr>
        <w:t xml:space="preserve"> Balanced Score for innocent drinks</w:t>
      </w:r>
    </w:p>
    <w:p w14:paraId="105D9A6A" w14:textId="6F693391" w:rsidR="00730E94" w:rsidRPr="00730E94" w:rsidRDefault="00730E94" w:rsidP="008E6B1A">
      <w:pPr>
        <w:rPr>
          <w:b/>
          <w:bCs/>
        </w:rPr>
      </w:pPr>
      <w:r w:rsidRPr="00730E94">
        <w:rPr>
          <w:b/>
          <w:bCs/>
        </w:rPr>
        <w:t xml:space="preserve">7.5 Innocent drinks Risk assessment and </w:t>
      </w:r>
      <w:proofErr w:type="gramStart"/>
      <w:r w:rsidRPr="00730E94">
        <w:rPr>
          <w:b/>
          <w:bCs/>
        </w:rPr>
        <w:t>Mitigation .</w:t>
      </w:r>
      <w:proofErr w:type="gramEnd"/>
    </w:p>
    <w:p w14:paraId="661A5C57" w14:textId="77777777" w:rsidR="008E6B1A" w:rsidRDefault="00730E94" w:rsidP="00730E94">
      <w:pPr>
        <w:rPr>
          <w:b/>
          <w:bCs/>
        </w:rPr>
      </w:pPr>
      <w:r w:rsidRPr="00730E94">
        <w:rPr>
          <w:b/>
          <w:bCs/>
        </w:rPr>
        <w:t>8. Conclusion</w:t>
      </w:r>
    </w:p>
    <w:p w14:paraId="5E4CECA5" w14:textId="14FFDE99" w:rsidR="00EA1A49" w:rsidRPr="00A30FEF" w:rsidRDefault="00730E94" w:rsidP="00730E94">
      <w:pPr>
        <w:rPr>
          <w:b/>
          <w:bCs/>
        </w:rPr>
      </w:pPr>
      <w:r w:rsidRPr="00730E94">
        <w:rPr>
          <w:b/>
          <w:bCs/>
        </w:rPr>
        <w:t>9.Renferences</w:t>
      </w:r>
    </w:p>
    <w:p w14:paraId="1E54600A" w14:textId="77777777" w:rsidR="00EA1A49" w:rsidRPr="00A30FEF" w:rsidRDefault="00EA1A49" w:rsidP="007F352E">
      <w:pPr>
        <w:rPr>
          <w:b/>
          <w:bCs/>
        </w:rPr>
      </w:pPr>
    </w:p>
    <w:p w14:paraId="5C713A92" w14:textId="77777777" w:rsidR="00EA1A49" w:rsidRPr="00A30FEF" w:rsidRDefault="00EA1A49" w:rsidP="007F352E">
      <w:pPr>
        <w:rPr>
          <w:b/>
          <w:bCs/>
        </w:rPr>
      </w:pPr>
    </w:p>
    <w:p w14:paraId="155694EA" w14:textId="77777777" w:rsidR="00EA1A49" w:rsidRPr="00A30FEF" w:rsidRDefault="00EA1A49" w:rsidP="007F352E">
      <w:pPr>
        <w:rPr>
          <w:b/>
          <w:bCs/>
        </w:rPr>
      </w:pPr>
    </w:p>
    <w:p w14:paraId="2EE05FE7" w14:textId="77777777" w:rsidR="00EA1A49" w:rsidRPr="00A30FEF" w:rsidRDefault="00EA1A49" w:rsidP="007F352E">
      <w:pPr>
        <w:rPr>
          <w:b/>
          <w:bCs/>
        </w:rPr>
      </w:pPr>
    </w:p>
    <w:p w14:paraId="7527B533" w14:textId="77777777" w:rsidR="00EA1A49" w:rsidRPr="00A30FEF" w:rsidRDefault="00EA1A49" w:rsidP="007F352E">
      <w:pPr>
        <w:rPr>
          <w:b/>
          <w:bCs/>
        </w:rPr>
      </w:pPr>
    </w:p>
    <w:p w14:paraId="39DCACFA" w14:textId="77777777" w:rsidR="00EA1A49" w:rsidRPr="00A30FEF" w:rsidRDefault="00EA1A49" w:rsidP="007F352E">
      <w:pPr>
        <w:rPr>
          <w:b/>
          <w:bCs/>
        </w:rPr>
      </w:pPr>
    </w:p>
    <w:p w14:paraId="25E8F5BC" w14:textId="1DCDF2E5" w:rsidR="00EA1A49" w:rsidRPr="00A30FEF" w:rsidRDefault="00EA1A49" w:rsidP="007F352E">
      <w:pPr>
        <w:rPr>
          <w:b/>
          <w:bCs/>
        </w:rPr>
      </w:pPr>
    </w:p>
    <w:p w14:paraId="1DE04B5C" w14:textId="5DBB3872" w:rsidR="00EA1A49" w:rsidRPr="00A30FEF" w:rsidRDefault="00EA1A49" w:rsidP="007F352E">
      <w:pPr>
        <w:rPr>
          <w:b/>
          <w:bCs/>
        </w:rPr>
      </w:pPr>
      <w:r w:rsidRPr="00A30FEF">
        <w:rPr>
          <w:b/>
          <w:bCs/>
        </w:rPr>
        <w:t>Executive Summary</w:t>
      </w:r>
    </w:p>
    <w:p w14:paraId="32AACE5B" w14:textId="6E31AD9A" w:rsidR="00EA1A49" w:rsidRPr="00A30FEF" w:rsidRDefault="00AE408C" w:rsidP="007F352E">
      <w:pPr>
        <w:rPr>
          <w:b/>
          <w:bCs/>
        </w:rPr>
      </w:pPr>
      <w:r w:rsidRPr="00A30FEF">
        <w:rPr>
          <w:b/>
          <w:bCs/>
        </w:rPr>
        <w:t>This report presents a strategic evaluation of Innocent Drinks and proposes a sustainable growth strategy aligned with its mission-driven identity and competitive positioning within the European fast-moving consumer goods sector. Innocent operates in an increasingly complex environment shaped by regulatory pressures, cost inflation, intensifying competition, climate-related supply risks and rising consumer expectations regarding sustainability and ethical conduct.</w:t>
      </w:r>
    </w:p>
    <w:p w14:paraId="20FFA3B2" w14:textId="472D7B73" w:rsidR="009D522E" w:rsidRPr="00A30FEF" w:rsidRDefault="009D522E" w:rsidP="007F352E">
      <w:pPr>
        <w:rPr>
          <w:b/>
          <w:bCs/>
        </w:rPr>
      </w:pPr>
      <w:r w:rsidRPr="00A30FEF">
        <w:rPr>
          <w:b/>
          <w:bCs/>
        </w:rPr>
        <w:t>Using integrated strategic frameworks including PESTEL, Porter’s Five Forces, SWOT and TOWS, the analysis identifies that Innocent’s primary competitive advantage lies in its differentiation strategy, underpinned by brand equity, B Corporation certification and sustainability credibility. However, these strengths are vulnerable to imitation, regulatory escalation and supply chain volatility. The comparative operational analysis and 4V framework further demonstrate that Innocent competes through value and volume balance rather than cost efficiency alone, reinforcing the need to sustain premium positioning.</w:t>
      </w:r>
    </w:p>
    <w:p w14:paraId="7FBBBFD5" w14:textId="0A37A9F3" w:rsidR="009D522E" w:rsidRPr="00A30FEF" w:rsidRDefault="009D522E" w:rsidP="007F352E">
      <w:pPr>
        <w:rPr>
          <w:b/>
          <w:bCs/>
        </w:rPr>
      </w:pPr>
      <w:r w:rsidRPr="00A30FEF">
        <w:rPr>
          <w:b/>
          <w:bCs/>
        </w:rPr>
        <w:t>Several strategic growth pathways are evaluated through the Ansoff Matrix and Porter’s Generic Strategies. Market penetration and diversification present either limited growth or elevated strategic risk. The report recommends a combined market development and product development strategy focused on circular packaging innovation and selective European expansion into high-growth urban markets. This approach strengthens dynamic capabilities, enhances environmental legitimacy and builds structural barriers to imitation.</w:t>
      </w:r>
    </w:p>
    <w:p w14:paraId="073AE98B" w14:textId="3B5A45F6" w:rsidR="00645392" w:rsidRPr="00A30FEF" w:rsidRDefault="00645392" w:rsidP="007F352E">
      <w:pPr>
        <w:rPr>
          <w:b/>
          <w:bCs/>
        </w:rPr>
      </w:pPr>
      <w:r w:rsidRPr="00A30FEF">
        <w:rPr>
          <w:b/>
          <w:bCs/>
        </w:rPr>
        <w:t>The strategy is evaluated using the Suitability, Feasibility, and Acceptability framework, which reveals that the strategy is aligned with the macro environment, the capabilities of the organization, and the needs of the stakeholders. The phased approach to implementation, with emission targets, the balanced scorecard, and risk mitigation, ensures strategic alignment and accountability.</w:t>
      </w:r>
    </w:p>
    <w:p w14:paraId="0CA4A509" w14:textId="7A1E3D61" w:rsidR="00645392" w:rsidRPr="00A30FEF" w:rsidRDefault="00645392" w:rsidP="007F352E">
      <w:pPr>
        <w:rPr>
          <w:b/>
          <w:bCs/>
        </w:rPr>
      </w:pPr>
      <w:r w:rsidRPr="00A30FEF">
        <w:rPr>
          <w:b/>
          <w:bCs/>
        </w:rPr>
        <w:t>The report reveals that the most strategically sound route to achieving competitive advantage in the long term, yet remaining true to its ethical values, is the route of sustainable innovation-led growth for Innocent Drinks.</w:t>
      </w:r>
    </w:p>
    <w:p w14:paraId="6459D098" w14:textId="77777777" w:rsidR="00EA1A49" w:rsidRPr="00A30FEF" w:rsidRDefault="00EA1A49" w:rsidP="007F352E">
      <w:pPr>
        <w:rPr>
          <w:b/>
          <w:bCs/>
        </w:rPr>
      </w:pPr>
    </w:p>
    <w:p w14:paraId="0DB8130F" w14:textId="77777777" w:rsidR="00EA1A49" w:rsidRPr="00A30FEF" w:rsidRDefault="00EA1A49" w:rsidP="007F352E">
      <w:pPr>
        <w:rPr>
          <w:b/>
          <w:bCs/>
        </w:rPr>
      </w:pPr>
    </w:p>
    <w:p w14:paraId="01573C6B" w14:textId="77777777" w:rsidR="00EA1A49" w:rsidRPr="00A30FEF" w:rsidRDefault="00EA1A49" w:rsidP="007F352E">
      <w:pPr>
        <w:rPr>
          <w:b/>
          <w:bCs/>
        </w:rPr>
      </w:pPr>
    </w:p>
    <w:p w14:paraId="719B6BBC" w14:textId="77777777" w:rsidR="00EA1A49" w:rsidRPr="00A30FEF" w:rsidRDefault="00EA1A49" w:rsidP="007F352E">
      <w:pPr>
        <w:rPr>
          <w:b/>
          <w:bCs/>
        </w:rPr>
      </w:pPr>
    </w:p>
    <w:p w14:paraId="5A290037" w14:textId="77777777" w:rsidR="00EA1A49" w:rsidRPr="00A30FEF" w:rsidRDefault="00EA1A49" w:rsidP="007F352E">
      <w:pPr>
        <w:rPr>
          <w:b/>
          <w:bCs/>
        </w:rPr>
      </w:pPr>
    </w:p>
    <w:p w14:paraId="22E81F41" w14:textId="77777777" w:rsidR="00CF78AE" w:rsidRPr="00A30FEF" w:rsidRDefault="00CF78AE" w:rsidP="007F352E">
      <w:pPr>
        <w:rPr>
          <w:b/>
          <w:bCs/>
        </w:rPr>
      </w:pPr>
      <w:r w:rsidRPr="00A30FEF">
        <w:rPr>
          <w:b/>
          <w:bCs/>
        </w:rPr>
        <w:lastRenderedPageBreak/>
        <w:t>2. Introduction to Innocent Drinks</w:t>
      </w:r>
    </w:p>
    <w:p w14:paraId="3E03B6F0" w14:textId="77777777" w:rsidR="00CF78AE" w:rsidRPr="00A30FEF" w:rsidRDefault="00CF78AE" w:rsidP="007F352E">
      <w:pPr>
        <w:rPr>
          <w:b/>
          <w:bCs/>
        </w:rPr>
      </w:pPr>
    </w:p>
    <w:p w14:paraId="714EA5C6" w14:textId="4FD04367" w:rsidR="00CF78AE" w:rsidRPr="00A30FEF" w:rsidRDefault="00CF78AE" w:rsidP="007F352E">
      <w:pPr>
        <w:rPr>
          <w:b/>
          <w:bCs/>
        </w:rPr>
      </w:pPr>
      <w:r w:rsidRPr="00A30FEF">
        <w:rPr>
          <w:b/>
          <w:bCs/>
        </w:rPr>
        <w:t xml:space="preserve">Innocent Drinks was founded in 1999 in the United Kingdom and has developed into one of Europe’s leading smoothie and plant-based beverage brands. Operating within the fast-moving consumer goods sector, the company positions itself as a premium health-focused brand committed to natural ingredients, environmental sustainability and ethical business practices. Innocent is a certified B Corporation and </w:t>
      </w:r>
      <w:r w:rsidR="00A30FEF" w:rsidRPr="00A30FEF">
        <w:rPr>
          <w:b/>
          <w:bCs/>
        </w:rPr>
        <w:t>majority owned</w:t>
      </w:r>
      <w:r w:rsidRPr="00A30FEF">
        <w:rPr>
          <w:b/>
          <w:bCs/>
        </w:rPr>
        <w:t xml:space="preserve"> by The Coca-Cola Company, although it maintains an independent brand identity centred on social and environmental responsibility.</w:t>
      </w:r>
    </w:p>
    <w:p w14:paraId="710F8EA5" w14:textId="567995FD" w:rsidR="00CF78AE" w:rsidRPr="00A30FEF" w:rsidRDefault="00CF78AE" w:rsidP="007F352E">
      <w:pPr>
        <w:rPr>
          <w:b/>
          <w:bCs/>
        </w:rPr>
      </w:pPr>
      <w:r w:rsidRPr="00A30FEF">
        <w:rPr>
          <w:b/>
          <w:bCs/>
        </w:rPr>
        <w:t>The organisation competes in a highly dynamic market characterised by powerful retail intermediaries, increasing private-label competition and growing sustainability expectations. Unlike cost-leadership beverage brands, Innocent relies primarily on differentiation through ethical branding, packaging transparency, product quality and sustainability commitments. Its operational model therefore balances efficiency with brand authenticity.</w:t>
      </w:r>
    </w:p>
    <w:p w14:paraId="3627FF4A" w14:textId="7CE0408E" w:rsidR="00CF78AE" w:rsidRPr="00A30FEF" w:rsidRDefault="00CF78AE" w:rsidP="007F352E">
      <w:pPr>
        <w:rPr>
          <w:b/>
          <w:bCs/>
        </w:rPr>
      </w:pPr>
      <w:r w:rsidRPr="00A30FEF">
        <w:rPr>
          <w:b/>
          <w:bCs/>
        </w:rPr>
        <w:t>To better understand Innocent’s operational positioning, a comparative operational matrix and 4V analysis are applied.</w:t>
      </w:r>
    </w:p>
    <w:p w14:paraId="00599C00" w14:textId="2C377215" w:rsidR="001D6014" w:rsidRPr="00A30FEF" w:rsidRDefault="003801F6" w:rsidP="007F352E">
      <w:pPr>
        <w:rPr>
          <w:b/>
          <w:bCs/>
          <w:color w:val="C00000"/>
        </w:rPr>
      </w:pPr>
      <w:r w:rsidRPr="00A30FEF">
        <w:rPr>
          <w:b/>
          <w:bCs/>
          <w:color w:val="C00000"/>
        </w:rPr>
        <w:t>2.1 Comparative Operational Matrix</w:t>
      </w:r>
    </w:p>
    <w:p w14:paraId="02138DB5" w14:textId="3D2B8E63" w:rsidR="00031991" w:rsidRPr="00A30FEF" w:rsidRDefault="00031991" w:rsidP="007F352E">
      <w:pPr>
        <w:rPr>
          <w:b/>
          <w:bCs/>
        </w:rPr>
      </w:pPr>
      <w:r w:rsidRPr="00A30FEF">
        <w:rPr>
          <w:b/>
          <w:bCs/>
        </w:rPr>
        <w:t xml:space="preserve">The comparative operational matrix </w:t>
      </w:r>
      <w:r w:rsidR="00133634" w:rsidRPr="00A30FEF">
        <w:rPr>
          <w:b/>
          <w:bCs/>
        </w:rPr>
        <w:t>compares</w:t>
      </w:r>
      <w:r w:rsidRPr="00A30FEF">
        <w:rPr>
          <w:b/>
          <w:bCs/>
        </w:rPr>
        <w:t xml:space="preserve"> Innocent with two broad categories of competitors: multinational beverage firms and health-focused start-ups.</w:t>
      </w:r>
    </w:p>
    <w:p w14:paraId="2751AE17" w14:textId="60193CE0" w:rsidR="00031991" w:rsidRPr="00A30FEF" w:rsidRDefault="00031991" w:rsidP="007F352E">
      <w:pPr>
        <w:rPr>
          <w:b/>
          <w:bCs/>
        </w:rPr>
      </w:pPr>
      <w:r w:rsidRPr="00A30FEF">
        <w:rPr>
          <w:b/>
          <w:bCs/>
        </w:rPr>
        <w:t xml:space="preserve">If we compare Innocent in terms of the cost structure, multinational firms enjoy the advantage of economies of scale, which allows them to produce at a lower cost. Innocent, meanwhile, has a </w:t>
      </w:r>
      <w:r w:rsidR="00133634" w:rsidRPr="00A30FEF">
        <w:rPr>
          <w:b/>
          <w:bCs/>
        </w:rPr>
        <w:t>high-cost</w:t>
      </w:r>
      <w:r w:rsidRPr="00A30FEF">
        <w:rPr>
          <w:b/>
          <w:bCs/>
        </w:rPr>
        <w:t xml:space="preserve"> structure due to sustainable sourcing and premium quality ingredients. Start-ups may also have high costs, but this is compensated by their unique differentiation.</w:t>
      </w:r>
    </w:p>
    <w:p w14:paraId="10596C57" w14:textId="03906DBE" w:rsidR="00F815E0" w:rsidRPr="00A30FEF" w:rsidRDefault="00031991" w:rsidP="007F352E">
      <w:pPr>
        <w:rPr>
          <w:b/>
          <w:bCs/>
        </w:rPr>
      </w:pPr>
      <w:r w:rsidRPr="00A30FEF">
        <w:rPr>
          <w:b/>
          <w:bCs/>
        </w:rPr>
        <w:t>If we compare Innocent in terms of brand positioning, Innocent finds a middle ground between multinational firms and health-focused start-ups. Multinationals compete purely on scale and price, while start-ups compete purely on hyper-specialization.</w:t>
      </w:r>
    </w:p>
    <w:p w14:paraId="4DCB3305" w14:textId="16AEBE6E" w:rsidR="00EC2438" w:rsidRPr="00A30FEF" w:rsidRDefault="00EC2438" w:rsidP="001075B7">
      <w:pPr>
        <w:rPr>
          <w:b/>
          <w:bCs/>
        </w:rPr>
      </w:pPr>
      <w:r w:rsidRPr="00A30FEF">
        <w:rPr>
          <w:b/>
          <w:bCs/>
        </w:rPr>
        <w:t>In operational flexibility, start-ups may adapt rapidly due to lean structures. However, Innocent’s established processes and corporate backing provide greater resource stability for innovation investment.</w:t>
      </w:r>
    </w:p>
    <w:p w14:paraId="04C0B1AB" w14:textId="77777777" w:rsidR="001075B7" w:rsidRDefault="00EC2438" w:rsidP="001075B7">
      <w:pPr>
        <w:rPr>
          <w:b/>
          <w:bCs/>
        </w:rPr>
      </w:pPr>
      <w:r w:rsidRPr="00A30FEF">
        <w:rPr>
          <w:b/>
          <w:bCs/>
        </w:rPr>
        <w:t>In terms of sustainability integration, Innocent demonstrates more embedded sustainability practices than many large competitors, although imitation risk remains high as environmental positioning becomes industry standard.</w:t>
      </w:r>
    </w:p>
    <w:p w14:paraId="408388A1" w14:textId="1EA9D7C1" w:rsidR="001D6014" w:rsidRPr="00A30FEF" w:rsidRDefault="00EC2438" w:rsidP="001075B7">
      <w:pPr>
        <w:rPr>
          <w:b/>
          <w:bCs/>
        </w:rPr>
      </w:pPr>
      <w:r w:rsidRPr="00A30FEF">
        <w:rPr>
          <w:b/>
          <w:bCs/>
        </w:rPr>
        <w:lastRenderedPageBreak/>
        <w:t>This matrix highlights that Innocent’s strategic advantage does not lie in cost leadership but in sustainable differentiation supported by scalable operations.</w:t>
      </w:r>
    </w:p>
    <w:p w14:paraId="30887439" w14:textId="1D74176B" w:rsidR="001D6014" w:rsidRPr="00A30FEF" w:rsidRDefault="00777739" w:rsidP="007F352E">
      <w:pPr>
        <w:rPr>
          <w:b/>
          <w:bCs/>
          <w:color w:val="C00000"/>
        </w:rPr>
      </w:pPr>
      <w:r w:rsidRPr="00A30FEF">
        <w:rPr>
          <w:b/>
          <w:bCs/>
          <w:color w:val="C00000"/>
        </w:rPr>
        <w:t>2.2 4V Analysis Comparison</w:t>
      </w:r>
    </w:p>
    <w:p w14:paraId="6ACF4CD0" w14:textId="5A466EA3" w:rsidR="003C6C46" w:rsidRPr="00A30FEF" w:rsidRDefault="003C6C46" w:rsidP="007F352E">
      <w:pPr>
        <w:rPr>
          <w:b/>
          <w:bCs/>
          <w:color w:val="000000" w:themeColor="text1"/>
        </w:rPr>
      </w:pPr>
      <w:r w:rsidRPr="00A30FEF">
        <w:rPr>
          <w:b/>
          <w:bCs/>
          <w:color w:val="000000" w:themeColor="text1"/>
        </w:rPr>
        <w:t>The 4V framework evaluates operations in terms of Volume, Variety, Variation and Visibility.</w:t>
      </w:r>
    </w:p>
    <w:p w14:paraId="126FF5D7" w14:textId="77777777" w:rsidR="006F234A" w:rsidRPr="00A30FEF" w:rsidRDefault="006F234A" w:rsidP="007F352E">
      <w:pPr>
        <w:rPr>
          <w:b/>
          <w:bCs/>
          <w:color w:val="D86DCB" w:themeColor="accent5" w:themeTint="99"/>
        </w:rPr>
      </w:pPr>
      <w:r w:rsidRPr="00A30FEF">
        <w:rPr>
          <w:b/>
          <w:bCs/>
          <w:color w:val="D86DCB" w:themeColor="accent5" w:themeTint="99"/>
        </w:rPr>
        <w:t>Volume</w:t>
      </w:r>
    </w:p>
    <w:p w14:paraId="124CDFBC" w14:textId="23DDCD4E" w:rsidR="006F234A" w:rsidRPr="00A30FEF" w:rsidRDefault="006F234A" w:rsidP="007F352E">
      <w:pPr>
        <w:rPr>
          <w:b/>
          <w:bCs/>
          <w:color w:val="000000" w:themeColor="text1"/>
        </w:rPr>
      </w:pPr>
      <w:r w:rsidRPr="00A30FEF">
        <w:rPr>
          <w:b/>
          <w:bCs/>
          <w:color w:val="000000" w:themeColor="text1"/>
        </w:rPr>
        <w:t>Innocent operates at relatively high volume compared to niche brands but lower than multinational beverage giants. This medium-to-high volume structure requires efficient yet flexible operations.</w:t>
      </w:r>
    </w:p>
    <w:p w14:paraId="2A2FED44" w14:textId="77777777" w:rsidR="006F234A" w:rsidRPr="00A30FEF" w:rsidRDefault="006F234A" w:rsidP="007F352E">
      <w:pPr>
        <w:rPr>
          <w:b/>
          <w:bCs/>
          <w:color w:val="D86DCB" w:themeColor="accent5" w:themeTint="99"/>
        </w:rPr>
      </w:pPr>
      <w:r w:rsidRPr="00A30FEF">
        <w:rPr>
          <w:b/>
          <w:bCs/>
          <w:color w:val="D86DCB" w:themeColor="accent5" w:themeTint="99"/>
        </w:rPr>
        <w:t>Variety</w:t>
      </w:r>
    </w:p>
    <w:p w14:paraId="2E15B107" w14:textId="02B200D9" w:rsidR="006F234A" w:rsidRPr="00A30FEF" w:rsidRDefault="006F234A" w:rsidP="007F352E">
      <w:pPr>
        <w:rPr>
          <w:b/>
          <w:bCs/>
          <w:color w:val="000000" w:themeColor="text1"/>
        </w:rPr>
      </w:pPr>
      <w:r w:rsidRPr="00A30FEF">
        <w:rPr>
          <w:b/>
          <w:bCs/>
          <w:color w:val="000000" w:themeColor="text1"/>
        </w:rPr>
        <w:t>The product portfolio includes smoothies, juices and plant-based drinks. Variety remains moderate, preserving operational simplicity while allowing targeted innovation.</w:t>
      </w:r>
    </w:p>
    <w:p w14:paraId="113535DC" w14:textId="77777777" w:rsidR="006F234A" w:rsidRPr="00A30FEF" w:rsidRDefault="006F234A" w:rsidP="007F352E">
      <w:pPr>
        <w:rPr>
          <w:b/>
          <w:bCs/>
          <w:color w:val="D86DCB" w:themeColor="accent5" w:themeTint="99"/>
        </w:rPr>
      </w:pPr>
      <w:r w:rsidRPr="00A30FEF">
        <w:rPr>
          <w:b/>
          <w:bCs/>
          <w:color w:val="D86DCB" w:themeColor="accent5" w:themeTint="99"/>
        </w:rPr>
        <w:t>Variation in Demand</w:t>
      </w:r>
    </w:p>
    <w:p w14:paraId="16BAE537" w14:textId="77B71104" w:rsidR="006F234A" w:rsidRPr="00A30FEF" w:rsidRDefault="006F234A" w:rsidP="007F352E">
      <w:pPr>
        <w:rPr>
          <w:b/>
          <w:bCs/>
          <w:color w:val="000000" w:themeColor="text1"/>
        </w:rPr>
      </w:pPr>
      <w:r w:rsidRPr="00A30FEF">
        <w:rPr>
          <w:b/>
          <w:bCs/>
          <w:color w:val="000000" w:themeColor="text1"/>
        </w:rPr>
        <w:t>Demand fluctuates seasonally and is sensitive to economic conditions. Premium pricing increases elasticity during cost-of-living pressures.</w:t>
      </w:r>
    </w:p>
    <w:p w14:paraId="1AF82335" w14:textId="77777777" w:rsidR="006F234A" w:rsidRPr="00A30FEF" w:rsidRDefault="006F234A" w:rsidP="007F352E">
      <w:pPr>
        <w:rPr>
          <w:b/>
          <w:bCs/>
          <w:color w:val="D86DCB" w:themeColor="accent5" w:themeTint="99"/>
        </w:rPr>
      </w:pPr>
      <w:r w:rsidRPr="00A30FEF">
        <w:rPr>
          <w:b/>
          <w:bCs/>
          <w:color w:val="D86DCB" w:themeColor="accent5" w:themeTint="99"/>
        </w:rPr>
        <w:t>Visibility</w:t>
      </w:r>
    </w:p>
    <w:p w14:paraId="00C79B3A" w14:textId="74909F7D" w:rsidR="005B72CE" w:rsidRPr="00A30FEF" w:rsidRDefault="006F234A" w:rsidP="007F352E">
      <w:pPr>
        <w:rPr>
          <w:b/>
          <w:bCs/>
          <w:color w:val="000000" w:themeColor="text1"/>
        </w:rPr>
      </w:pPr>
      <w:r w:rsidRPr="00A30FEF">
        <w:rPr>
          <w:b/>
          <w:bCs/>
          <w:color w:val="000000" w:themeColor="text1"/>
        </w:rPr>
        <w:t>Customer visibility is high due to strong brand communication, ethical storytelling and transparency initiatives. High visibility increases reputational risk but strengthens customer engagement.</w:t>
      </w:r>
    </w:p>
    <w:p w14:paraId="0623224C" w14:textId="049AB905" w:rsidR="005B72CE" w:rsidRPr="00A30FEF" w:rsidRDefault="005B72CE" w:rsidP="007F352E">
      <w:pPr>
        <w:rPr>
          <w:b/>
          <w:bCs/>
          <w:color w:val="000000" w:themeColor="text1"/>
        </w:rPr>
      </w:pPr>
      <w:r w:rsidRPr="00A30FEF">
        <w:rPr>
          <w:b/>
          <w:bCs/>
          <w:color w:val="000000" w:themeColor="text1"/>
        </w:rPr>
        <w:t>The 4V analysis confirms that Innocent’s operations must balance scalability with brand integrity. High visibility and moderate variety reinforce the need for consistent ethical performance, as reputational exposure is significant.</w:t>
      </w:r>
    </w:p>
    <w:p w14:paraId="2391D164" w14:textId="142F3A50" w:rsidR="00F266CE" w:rsidRPr="00A30FEF" w:rsidRDefault="00F266CE" w:rsidP="007F352E">
      <w:pPr>
        <w:rPr>
          <w:b/>
          <w:bCs/>
          <w:color w:val="000000" w:themeColor="text1"/>
        </w:rPr>
      </w:pPr>
    </w:p>
    <w:p w14:paraId="2A653943" w14:textId="73CAFAF0" w:rsidR="007E46CC" w:rsidRPr="00A30FEF" w:rsidRDefault="00A4668E" w:rsidP="007F352E">
      <w:pPr>
        <w:rPr>
          <w:b/>
          <w:bCs/>
          <w:color w:val="C00000"/>
        </w:rPr>
      </w:pPr>
      <w:r w:rsidRPr="00A30FEF">
        <w:rPr>
          <w:b/>
          <w:bCs/>
          <w:color w:val="C00000"/>
        </w:rPr>
        <w:t>3-</w:t>
      </w:r>
      <w:r w:rsidR="007E46CC" w:rsidRPr="00A30FEF">
        <w:rPr>
          <w:b/>
          <w:bCs/>
          <w:color w:val="C00000"/>
        </w:rPr>
        <w:t>Evaluation of the Current Market Situation</w:t>
      </w:r>
    </w:p>
    <w:p w14:paraId="1F9A09C0" w14:textId="7AD3A580" w:rsidR="00711761" w:rsidRPr="00A30FEF" w:rsidRDefault="00A4668E" w:rsidP="007F352E">
      <w:pPr>
        <w:rPr>
          <w:b/>
          <w:bCs/>
          <w:color w:val="000000" w:themeColor="text1"/>
        </w:rPr>
      </w:pPr>
      <w:r w:rsidRPr="00A30FEF">
        <w:rPr>
          <w:b/>
          <w:bCs/>
          <w:color w:val="000000" w:themeColor="text1"/>
        </w:rPr>
        <w:t>Innocent Drinks is a company that operates in the European fast-moving consumer goods (FMCG) market for beverages, a market known for its highly competitive environment and low customer switching costs. Today's market environment is marked by structural challenges and opportunities for Innocent Drinks.</w:t>
      </w:r>
    </w:p>
    <w:p w14:paraId="416988EE" w14:textId="04A8124A" w:rsidR="00A42979" w:rsidRPr="00A30FEF" w:rsidRDefault="00A42979" w:rsidP="007F352E">
      <w:pPr>
        <w:rPr>
          <w:b/>
          <w:bCs/>
          <w:color w:val="C00000"/>
        </w:rPr>
      </w:pPr>
      <w:r w:rsidRPr="00A30FEF">
        <w:rPr>
          <w:b/>
          <w:bCs/>
          <w:color w:val="C00000"/>
        </w:rPr>
        <w:t>3.1 PESTEL Analysis</w:t>
      </w:r>
    </w:p>
    <w:p w14:paraId="25294889" w14:textId="2449AE6D" w:rsidR="00A42979" w:rsidRPr="00A30FEF" w:rsidRDefault="00FF74D7" w:rsidP="007F352E">
      <w:pPr>
        <w:rPr>
          <w:b/>
          <w:bCs/>
          <w:color w:val="000000" w:themeColor="text1"/>
        </w:rPr>
      </w:pPr>
      <w:r w:rsidRPr="00A30FEF">
        <w:rPr>
          <w:b/>
          <w:bCs/>
          <w:color w:val="000000" w:themeColor="text1"/>
        </w:rPr>
        <w:t xml:space="preserve">A PESTEL analysis enables systematic examination of the macro-environment shaping Innocent Drinks’ strategic context (Johnson, Scholes and Whittington, </w:t>
      </w:r>
      <w:r w:rsidRPr="00A30FEF">
        <w:rPr>
          <w:b/>
          <w:bCs/>
          <w:color w:val="000000" w:themeColor="text1"/>
        </w:rPr>
        <w:lastRenderedPageBreak/>
        <w:t>2020). Rather than treating these factors descriptively, this section evaluates their strategic implications.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00"/>
        <w:gridCol w:w="3574"/>
        <w:gridCol w:w="3742"/>
      </w:tblGrid>
      <w:tr w:rsidR="00166780" w:rsidRPr="00A30FEF" w14:paraId="0FBED9F7" w14:textId="77777777" w:rsidTr="001124AC">
        <w:trPr>
          <w:tblHeader/>
          <w:tblCellSpacing w:w="15" w:type="dxa"/>
        </w:trPr>
        <w:tc>
          <w:tcPr>
            <w:tcW w:w="0" w:type="auto"/>
            <w:vAlign w:val="center"/>
            <w:hideMark/>
          </w:tcPr>
          <w:p w14:paraId="06B17199" w14:textId="77777777" w:rsidR="00166780" w:rsidRPr="00A30FEF" w:rsidRDefault="00166780" w:rsidP="007F352E">
            <w:pPr>
              <w:rPr>
                <w:b/>
                <w:bCs/>
              </w:rPr>
            </w:pPr>
            <w:r w:rsidRPr="00A30FEF">
              <w:rPr>
                <w:b/>
                <w:bCs/>
              </w:rPr>
              <w:t>Factor</w:t>
            </w:r>
          </w:p>
        </w:tc>
        <w:tc>
          <w:tcPr>
            <w:tcW w:w="0" w:type="auto"/>
            <w:vAlign w:val="center"/>
            <w:hideMark/>
          </w:tcPr>
          <w:p w14:paraId="605FA85D" w14:textId="77777777" w:rsidR="00166780" w:rsidRPr="00A30FEF" w:rsidRDefault="00166780" w:rsidP="007F352E">
            <w:pPr>
              <w:rPr>
                <w:b/>
                <w:bCs/>
              </w:rPr>
            </w:pPr>
            <w:r w:rsidRPr="00A30FEF">
              <w:rPr>
                <w:b/>
                <w:bCs/>
              </w:rPr>
              <w:t>Key Issues</w:t>
            </w:r>
          </w:p>
        </w:tc>
        <w:tc>
          <w:tcPr>
            <w:tcW w:w="0" w:type="auto"/>
            <w:vAlign w:val="center"/>
            <w:hideMark/>
          </w:tcPr>
          <w:p w14:paraId="50CAD0F3" w14:textId="77777777" w:rsidR="00166780" w:rsidRPr="00A30FEF" w:rsidRDefault="00166780" w:rsidP="007F352E">
            <w:pPr>
              <w:rPr>
                <w:b/>
                <w:bCs/>
              </w:rPr>
            </w:pPr>
            <w:r w:rsidRPr="00A30FEF">
              <w:rPr>
                <w:b/>
                <w:bCs/>
              </w:rPr>
              <w:t>Strategic Implication</w:t>
            </w:r>
          </w:p>
        </w:tc>
      </w:tr>
      <w:tr w:rsidR="00166780" w:rsidRPr="00A30FEF" w14:paraId="2A392BF9" w14:textId="77777777" w:rsidTr="001124AC">
        <w:trPr>
          <w:tblCellSpacing w:w="15" w:type="dxa"/>
        </w:trPr>
        <w:tc>
          <w:tcPr>
            <w:tcW w:w="0" w:type="auto"/>
            <w:vAlign w:val="center"/>
            <w:hideMark/>
          </w:tcPr>
          <w:p w14:paraId="27BC8A7C" w14:textId="77777777" w:rsidR="00166780" w:rsidRPr="00A30FEF" w:rsidRDefault="00166780" w:rsidP="007F352E">
            <w:pPr>
              <w:rPr>
                <w:b/>
                <w:bCs/>
              </w:rPr>
            </w:pPr>
            <w:r w:rsidRPr="00A30FEF">
              <w:rPr>
                <w:b/>
                <w:bCs/>
              </w:rPr>
              <w:t>Political / Legal</w:t>
            </w:r>
          </w:p>
        </w:tc>
        <w:tc>
          <w:tcPr>
            <w:tcW w:w="0" w:type="auto"/>
            <w:vAlign w:val="center"/>
            <w:hideMark/>
          </w:tcPr>
          <w:p w14:paraId="071981E7" w14:textId="77777777" w:rsidR="00166780" w:rsidRPr="00A30FEF" w:rsidRDefault="00166780" w:rsidP="007F352E">
            <w:pPr>
              <w:rPr>
                <w:b/>
                <w:bCs/>
              </w:rPr>
            </w:pPr>
            <w:r w:rsidRPr="00A30FEF">
              <w:rPr>
                <w:b/>
                <w:bCs/>
              </w:rPr>
              <w:t>UK sugar tax, stricter EU packaging and recycling regulations, and post-Brexit trade procedures affecting exports.</w:t>
            </w:r>
          </w:p>
        </w:tc>
        <w:tc>
          <w:tcPr>
            <w:tcW w:w="0" w:type="auto"/>
            <w:vAlign w:val="center"/>
            <w:hideMark/>
          </w:tcPr>
          <w:p w14:paraId="78994000" w14:textId="77777777" w:rsidR="00166780" w:rsidRPr="00A30FEF" w:rsidRDefault="00166780" w:rsidP="007F352E">
            <w:pPr>
              <w:rPr>
                <w:b/>
                <w:bCs/>
              </w:rPr>
            </w:pPr>
            <w:r w:rsidRPr="00A30FEF">
              <w:rPr>
                <w:b/>
                <w:bCs/>
              </w:rPr>
              <w:t>Higher compliance costs but opportunities for competitive advantage through sustainability leadership.</w:t>
            </w:r>
          </w:p>
        </w:tc>
      </w:tr>
      <w:tr w:rsidR="00166780" w:rsidRPr="00A30FEF" w14:paraId="280FCFBA" w14:textId="77777777" w:rsidTr="001124AC">
        <w:trPr>
          <w:tblCellSpacing w:w="15" w:type="dxa"/>
        </w:trPr>
        <w:tc>
          <w:tcPr>
            <w:tcW w:w="0" w:type="auto"/>
            <w:vAlign w:val="center"/>
            <w:hideMark/>
          </w:tcPr>
          <w:p w14:paraId="6E58BF8E" w14:textId="77777777" w:rsidR="00166780" w:rsidRPr="00A30FEF" w:rsidRDefault="00166780" w:rsidP="007F352E">
            <w:pPr>
              <w:rPr>
                <w:b/>
                <w:bCs/>
              </w:rPr>
            </w:pPr>
            <w:r w:rsidRPr="00A30FEF">
              <w:rPr>
                <w:b/>
                <w:bCs/>
              </w:rPr>
              <w:t>Economic</w:t>
            </w:r>
          </w:p>
        </w:tc>
        <w:tc>
          <w:tcPr>
            <w:tcW w:w="0" w:type="auto"/>
            <w:vAlign w:val="center"/>
            <w:hideMark/>
          </w:tcPr>
          <w:p w14:paraId="5DB98B18" w14:textId="77777777" w:rsidR="00166780" w:rsidRPr="00A30FEF" w:rsidRDefault="00166780" w:rsidP="007F352E">
            <w:pPr>
              <w:rPr>
                <w:b/>
                <w:bCs/>
              </w:rPr>
            </w:pPr>
            <w:r w:rsidRPr="00A30FEF">
              <w:rPr>
                <w:b/>
                <w:bCs/>
              </w:rPr>
              <w:t>Inflation and cost-of-living pressures reduce spending on premium drinks. Fruit and energy prices remain volatile.</w:t>
            </w:r>
          </w:p>
        </w:tc>
        <w:tc>
          <w:tcPr>
            <w:tcW w:w="0" w:type="auto"/>
            <w:vAlign w:val="center"/>
            <w:hideMark/>
          </w:tcPr>
          <w:p w14:paraId="3219EFC3" w14:textId="77777777" w:rsidR="00166780" w:rsidRPr="00A30FEF" w:rsidRDefault="00166780" w:rsidP="007F352E">
            <w:pPr>
              <w:rPr>
                <w:b/>
                <w:bCs/>
              </w:rPr>
            </w:pPr>
            <w:r w:rsidRPr="00A30FEF">
              <w:rPr>
                <w:b/>
                <w:bCs/>
              </w:rPr>
              <w:t>According to Michael Porter, weaker economic conditions increase price competition; strong brand differentiation is needed to justify premium pricing.</w:t>
            </w:r>
          </w:p>
        </w:tc>
      </w:tr>
      <w:tr w:rsidR="00166780" w:rsidRPr="00A30FEF" w14:paraId="01616024" w14:textId="77777777" w:rsidTr="001124AC">
        <w:trPr>
          <w:tblCellSpacing w:w="15" w:type="dxa"/>
        </w:trPr>
        <w:tc>
          <w:tcPr>
            <w:tcW w:w="0" w:type="auto"/>
            <w:vAlign w:val="center"/>
            <w:hideMark/>
          </w:tcPr>
          <w:p w14:paraId="01A0DBC8" w14:textId="77777777" w:rsidR="00166780" w:rsidRPr="00A30FEF" w:rsidRDefault="00166780" w:rsidP="007F352E">
            <w:pPr>
              <w:rPr>
                <w:b/>
                <w:bCs/>
              </w:rPr>
            </w:pPr>
            <w:r w:rsidRPr="00A30FEF">
              <w:rPr>
                <w:b/>
                <w:bCs/>
              </w:rPr>
              <w:t>Social</w:t>
            </w:r>
          </w:p>
        </w:tc>
        <w:tc>
          <w:tcPr>
            <w:tcW w:w="0" w:type="auto"/>
            <w:vAlign w:val="center"/>
            <w:hideMark/>
          </w:tcPr>
          <w:p w14:paraId="131C2688" w14:textId="77777777" w:rsidR="00166780" w:rsidRPr="00A30FEF" w:rsidRDefault="00166780" w:rsidP="007F352E">
            <w:pPr>
              <w:rPr>
                <w:b/>
                <w:bCs/>
              </w:rPr>
            </w:pPr>
            <w:r w:rsidRPr="00A30FEF">
              <w:rPr>
                <w:b/>
                <w:bCs/>
              </w:rPr>
              <w:t>Growing demand for healthy, natural and ethically produced beverages. Consumers are more sceptical of superficial environmental claims.</w:t>
            </w:r>
          </w:p>
        </w:tc>
        <w:tc>
          <w:tcPr>
            <w:tcW w:w="0" w:type="auto"/>
            <w:vAlign w:val="center"/>
            <w:hideMark/>
          </w:tcPr>
          <w:p w14:paraId="39FEDC97" w14:textId="77777777" w:rsidR="00166780" w:rsidRPr="00A30FEF" w:rsidRDefault="00166780" w:rsidP="007F352E">
            <w:pPr>
              <w:rPr>
                <w:b/>
                <w:bCs/>
              </w:rPr>
            </w:pPr>
            <w:r w:rsidRPr="00A30FEF">
              <w:rPr>
                <w:b/>
                <w:bCs/>
              </w:rPr>
              <w:t>Authentic sustainability and transparency are essential to maintain consumer trust and brand legitimacy (Mark Suchman).</w:t>
            </w:r>
          </w:p>
        </w:tc>
      </w:tr>
      <w:tr w:rsidR="00166780" w:rsidRPr="00A30FEF" w14:paraId="4C843B3D" w14:textId="77777777" w:rsidTr="001124AC">
        <w:trPr>
          <w:tblCellSpacing w:w="15" w:type="dxa"/>
        </w:trPr>
        <w:tc>
          <w:tcPr>
            <w:tcW w:w="0" w:type="auto"/>
            <w:vAlign w:val="center"/>
            <w:hideMark/>
          </w:tcPr>
          <w:p w14:paraId="0FB2079E" w14:textId="77777777" w:rsidR="00166780" w:rsidRPr="00A30FEF" w:rsidRDefault="00166780" w:rsidP="007F352E">
            <w:pPr>
              <w:rPr>
                <w:b/>
                <w:bCs/>
              </w:rPr>
            </w:pPr>
            <w:r w:rsidRPr="00A30FEF">
              <w:rPr>
                <w:b/>
                <w:bCs/>
              </w:rPr>
              <w:t>Technological</w:t>
            </w:r>
          </w:p>
        </w:tc>
        <w:tc>
          <w:tcPr>
            <w:tcW w:w="0" w:type="auto"/>
            <w:vAlign w:val="center"/>
            <w:hideMark/>
          </w:tcPr>
          <w:p w14:paraId="3BDAF744" w14:textId="77777777" w:rsidR="00166780" w:rsidRPr="00A30FEF" w:rsidRDefault="00166780" w:rsidP="007F352E">
            <w:pPr>
              <w:rPr>
                <w:b/>
                <w:bCs/>
              </w:rPr>
            </w:pPr>
            <w:r w:rsidRPr="00A30FEF">
              <w:rPr>
                <w:b/>
                <w:bCs/>
              </w:rPr>
              <w:t>Innovations in sustainable packaging, carbon tracking and digital marketing platforms.</w:t>
            </w:r>
          </w:p>
        </w:tc>
        <w:tc>
          <w:tcPr>
            <w:tcW w:w="0" w:type="auto"/>
            <w:vAlign w:val="center"/>
            <w:hideMark/>
          </w:tcPr>
          <w:p w14:paraId="5A4CB9E4" w14:textId="77777777" w:rsidR="00166780" w:rsidRPr="00A30FEF" w:rsidRDefault="00166780" w:rsidP="007F352E">
            <w:pPr>
              <w:rPr>
                <w:b/>
                <w:bCs/>
              </w:rPr>
            </w:pPr>
            <w:r w:rsidRPr="00A30FEF">
              <w:rPr>
                <w:b/>
                <w:bCs/>
              </w:rPr>
              <w:t>Investment in technology can improve efficiency and differentiation if firms build dynamic capabilities (David Teece).</w:t>
            </w:r>
          </w:p>
        </w:tc>
      </w:tr>
      <w:tr w:rsidR="00166780" w:rsidRPr="00A30FEF" w14:paraId="698CDB20" w14:textId="77777777" w:rsidTr="001124AC">
        <w:trPr>
          <w:tblCellSpacing w:w="15" w:type="dxa"/>
        </w:trPr>
        <w:tc>
          <w:tcPr>
            <w:tcW w:w="0" w:type="auto"/>
            <w:vAlign w:val="center"/>
            <w:hideMark/>
          </w:tcPr>
          <w:p w14:paraId="07E18415" w14:textId="77777777" w:rsidR="00166780" w:rsidRPr="00A30FEF" w:rsidRDefault="00166780" w:rsidP="007F352E">
            <w:pPr>
              <w:rPr>
                <w:b/>
                <w:bCs/>
              </w:rPr>
            </w:pPr>
            <w:r w:rsidRPr="00A30FEF">
              <w:rPr>
                <w:b/>
                <w:bCs/>
              </w:rPr>
              <w:t>Environmental</w:t>
            </w:r>
          </w:p>
        </w:tc>
        <w:tc>
          <w:tcPr>
            <w:tcW w:w="0" w:type="auto"/>
            <w:vAlign w:val="center"/>
            <w:hideMark/>
          </w:tcPr>
          <w:p w14:paraId="7194C2D6" w14:textId="77777777" w:rsidR="00166780" w:rsidRPr="00A30FEF" w:rsidRDefault="00166780" w:rsidP="007F352E">
            <w:pPr>
              <w:rPr>
                <w:b/>
                <w:bCs/>
              </w:rPr>
            </w:pPr>
            <w:r w:rsidRPr="00A30FEF">
              <w:rPr>
                <w:b/>
                <w:bCs/>
              </w:rPr>
              <w:t>Climate change affects fruit supply through extreme weather and agricultural instability.</w:t>
            </w:r>
          </w:p>
        </w:tc>
        <w:tc>
          <w:tcPr>
            <w:tcW w:w="0" w:type="auto"/>
            <w:vAlign w:val="center"/>
            <w:hideMark/>
          </w:tcPr>
          <w:p w14:paraId="73038832" w14:textId="77777777" w:rsidR="00166780" w:rsidRPr="00A30FEF" w:rsidRDefault="00166780" w:rsidP="007F352E">
            <w:pPr>
              <w:rPr>
                <w:b/>
                <w:bCs/>
              </w:rPr>
            </w:pPr>
            <w:r w:rsidRPr="00A30FEF">
              <w:rPr>
                <w:b/>
                <w:bCs/>
              </w:rPr>
              <w:t>Resilient and sustainable supplier networks can become strategic assets (Jay Barney).</w:t>
            </w:r>
          </w:p>
        </w:tc>
      </w:tr>
    </w:tbl>
    <w:p w14:paraId="6F9E06B8" w14:textId="77777777" w:rsidR="0008075F" w:rsidRDefault="0008075F" w:rsidP="007F352E">
      <w:pPr>
        <w:rPr>
          <w:b/>
          <w:bCs/>
          <w:color w:val="000000" w:themeColor="text1"/>
        </w:rPr>
      </w:pPr>
    </w:p>
    <w:p w14:paraId="56EFEE34" w14:textId="77777777" w:rsidR="00D37550" w:rsidRDefault="00D37550" w:rsidP="007F352E">
      <w:pPr>
        <w:rPr>
          <w:b/>
          <w:bCs/>
          <w:color w:val="000000" w:themeColor="text1"/>
        </w:rPr>
      </w:pPr>
    </w:p>
    <w:p w14:paraId="7815AC3F" w14:textId="77777777" w:rsidR="00D37550" w:rsidRPr="00A30FEF" w:rsidRDefault="00D37550" w:rsidP="007F352E">
      <w:pPr>
        <w:rPr>
          <w:b/>
          <w:bCs/>
          <w:color w:val="000000" w:themeColor="text1"/>
        </w:rPr>
      </w:pPr>
    </w:p>
    <w:p w14:paraId="09948809" w14:textId="522B33D1" w:rsidR="001D6014" w:rsidRPr="00A30FEF" w:rsidRDefault="00086FEE" w:rsidP="007F352E">
      <w:pPr>
        <w:rPr>
          <w:b/>
          <w:bCs/>
          <w:color w:val="C00000"/>
        </w:rPr>
      </w:pPr>
      <w:r w:rsidRPr="00A30FEF">
        <w:rPr>
          <w:b/>
          <w:bCs/>
          <w:color w:val="C00000"/>
        </w:rPr>
        <w:t>3.2 Porter’s Five Forces Analysis</w:t>
      </w:r>
    </w:p>
    <w:p w14:paraId="4E3DB3B1" w14:textId="6AB8E524" w:rsidR="00E112CB" w:rsidRDefault="004123C1" w:rsidP="007F352E">
      <w:pPr>
        <w:rPr>
          <w:b/>
          <w:bCs/>
          <w:color w:val="000000" w:themeColor="text1"/>
        </w:rPr>
      </w:pPr>
      <w:r w:rsidRPr="00A30FEF">
        <w:rPr>
          <w:b/>
          <w:bCs/>
          <w:color w:val="000000" w:themeColor="text1"/>
        </w:rPr>
        <w:t>Porter’s Five Forces (1980) provides structural analysis of industry profitability.</w:t>
      </w:r>
    </w:p>
    <w:p w14:paraId="60A7A396" w14:textId="77777777" w:rsidR="00D37550" w:rsidRDefault="00D37550" w:rsidP="007F352E">
      <w:pPr>
        <w:rPr>
          <w:b/>
          <w:bCs/>
          <w:color w:val="000000" w:themeColor="text1"/>
        </w:rPr>
      </w:pPr>
    </w:p>
    <w:p w14:paraId="23795BBA" w14:textId="77777777" w:rsidR="00D37550" w:rsidRPr="00A30FEF" w:rsidRDefault="00D37550" w:rsidP="007F352E">
      <w:pPr>
        <w:rPr>
          <w:b/>
          <w:bCs/>
          <w:color w:val="000000" w:themeColor="text1"/>
        </w:rPr>
      </w:pPr>
    </w:p>
    <w:p w14:paraId="16ECEA79" w14:textId="30985608" w:rsidR="00DA0896" w:rsidRPr="00A30FEF" w:rsidRDefault="00DA0896" w:rsidP="007F352E">
      <w:pPr>
        <w:rPr>
          <w:b/>
          <w:bCs/>
          <w:color w:val="A02B93" w:themeColor="accent5"/>
        </w:rPr>
      </w:pPr>
      <w:r w:rsidRPr="00A30FEF">
        <w:rPr>
          <w:b/>
          <w:bCs/>
          <w:color w:val="A02B93" w:themeColor="accent5"/>
        </w:rPr>
        <w:t>Competitive Rivalry – High</w:t>
      </w:r>
    </w:p>
    <w:p w14:paraId="080ACB1F" w14:textId="6BCD5158" w:rsidR="00DA0896" w:rsidRPr="00A30FEF" w:rsidRDefault="00DA0896" w:rsidP="007F352E">
      <w:pPr>
        <w:rPr>
          <w:b/>
          <w:bCs/>
          <w:color w:val="000000" w:themeColor="text1"/>
        </w:rPr>
      </w:pPr>
      <w:r w:rsidRPr="00A30FEF">
        <w:rPr>
          <w:b/>
          <w:bCs/>
          <w:color w:val="000000" w:themeColor="text1"/>
        </w:rPr>
        <w:t>The beverage industry is highly saturated. Global corporations, supermarket private labels and emerging health brands compete intensely. Sustainability claims are increasingly replicated, reducing differentiation power.</w:t>
      </w:r>
    </w:p>
    <w:p w14:paraId="3786E0D5" w14:textId="1BC66986" w:rsidR="00733C12" w:rsidRPr="00A30FEF" w:rsidRDefault="00DA0896" w:rsidP="003C49E1">
      <w:pPr>
        <w:rPr>
          <w:b/>
          <w:bCs/>
          <w:color w:val="000000" w:themeColor="text1"/>
        </w:rPr>
      </w:pPr>
      <w:r w:rsidRPr="00A30FEF">
        <w:rPr>
          <w:b/>
          <w:bCs/>
          <w:color w:val="000000" w:themeColor="text1"/>
        </w:rPr>
        <w:t>High fixed production costs increase pressure to maintain volume. Brand loyalty mitigates rivalry but does not eliminate substitution risk.</w:t>
      </w:r>
    </w:p>
    <w:p w14:paraId="18D30E1D" w14:textId="5512AF24" w:rsidR="00733C12" w:rsidRPr="00A30FEF" w:rsidRDefault="00733C12" w:rsidP="007F352E">
      <w:pPr>
        <w:rPr>
          <w:b/>
          <w:bCs/>
          <w:color w:val="A02B93" w:themeColor="accent5"/>
        </w:rPr>
      </w:pPr>
      <w:r w:rsidRPr="00A30FEF">
        <w:rPr>
          <w:b/>
          <w:bCs/>
          <w:color w:val="A02B93" w:themeColor="accent5"/>
        </w:rPr>
        <w:t>Threat of New Entrants – Moderate</w:t>
      </w:r>
    </w:p>
    <w:p w14:paraId="3CD59370" w14:textId="7578BF9A" w:rsidR="00733C12" w:rsidRPr="00A30FEF" w:rsidRDefault="00733C12" w:rsidP="007F352E">
      <w:pPr>
        <w:rPr>
          <w:b/>
          <w:bCs/>
          <w:color w:val="000000" w:themeColor="text1"/>
        </w:rPr>
      </w:pPr>
      <w:r w:rsidRPr="00A30FEF">
        <w:rPr>
          <w:b/>
          <w:bCs/>
          <w:color w:val="000000" w:themeColor="text1"/>
        </w:rPr>
        <w:t>Digital distribution channels lower barriers for niche entrants. However, large-scale manufacturing, distribution agreements and marketing investment remain capital-intensive.</w:t>
      </w:r>
    </w:p>
    <w:p w14:paraId="621BE3A3" w14:textId="4C7E0E3C" w:rsidR="000A375F" w:rsidRPr="00A30FEF" w:rsidRDefault="00733C12" w:rsidP="007F352E">
      <w:pPr>
        <w:rPr>
          <w:b/>
          <w:bCs/>
          <w:color w:val="000000" w:themeColor="text1"/>
        </w:rPr>
      </w:pPr>
      <w:r w:rsidRPr="00A30FEF">
        <w:rPr>
          <w:b/>
          <w:bCs/>
          <w:color w:val="000000" w:themeColor="text1"/>
        </w:rPr>
        <w:t>Brand reputation and sustainability credibility create moderate entry barriers.</w:t>
      </w:r>
    </w:p>
    <w:p w14:paraId="75573733" w14:textId="4D92FF98" w:rsidR="000A375F" w:rsidRPr="00A30FEF" w:rsidRDefault="000A375F" w:rsidP="007F352E">
      <w:pPr>
        <w:rPr>
          <w:b/>
          <w:bCs/>
          <w:color w:val="A02B93" w:themeColor="accent5"/>
        </w:rPr>
      </w:pPr>
      <w:r w:rsidRPr="00A30FEF">
        <w:rPr>
          <w:b/>
          <w:bCs/>
          <w:color w:val="A02B93" w:themeColor="accent5"/>
        </w:rPr>
        <w:t>Bargaining Power of Suppliers – Increasing</w:t>
      </w:r>
    </w:p>
    <w:p w14:paraId="101E3A5F" w14:textId="687F201D" w:rsidR="000A375F" w:rsidRPr="00A30FEF" w:rsidRDefault="000A375F" w:rsidP="007F352E">
      <w:pPr>
        <w:rPr>
          <w:b/>
          <w:bCs/>
          <w:color w:val="000000" w:themeColor="text1"/>
        </w:rPr>
      </w:pPr>
      <w:r w:rsidRPr="00A30FEF">
        <w:rPr>
          <w:b/>
          <w:bCs/>
          <w:color w:val="000000" w:themeColor="text1"/>
        </w:rPr>
        <w:t>Fruit suppliers face climate volatility. Ethical sourcing requirements limit substitution flexibility. Long-term relational contracts reduce risk but increase dependency.</w:t>
      </w:r>
    </w:p>
    <w:p w14:paraId="12462D03" w14:textId="33DBDE00" w:rsidR="00CB6F9A" w:rsidRPr="00A30FEF" w:rsidRDefault="000A375F" w:rsidP="007F352E">
      <w:pPr>
        <w:rPr>
          <w:b/>
          <w:bCs/>
          <w:color w:val="000000" w:themeColor="text1"/>
        </w:rPr>
      </w:pPr>
      <w:r w:rsidRPr="00A30FEF">
        <w:rPr>
          <w:b/>
          <w:bCs/>
          <w:color w:val="000000" w:themeColor="text1"/>
        </w:rPr>
        <w:t>Supplier power is therefore rising structurally.</w:t>
      </w:r>
    </w:p>
    <w:p w14:paraId="0B9A85C5" w14:textId="07F41FDA" w:rsidR="00990A0F" w:rsidRPr="00A30FEF" w:rsidRDefault="00990A0F" w:rsidP="007F352E">
      <w:pPr>
        <w:rPr>
          <w:b/>
          <w:bCs/>
          <w:color w:val="A02B93" w:themeColor="accent5"/>
        </w:rPr>
      </w:pPr>
      <w:r w:rsidRPr="00A30FEF">
        <w:rPr>
          <w:b/>
          <w:bCs/>
          <w:color w:val="A02B93" w:themeColor="accent5"/>
        </w:rPr>
        <w:t>Bargaining Power of Buyers – High</w:t>
      </w:r>
    </w:p>
    <w:p w14:paraId="2B2D64D9" w14:textId="5B300F4D" w:rsidR="00990A0F" w:rsidRPr="00A30FEF" w:rsidRDefault="00990A0F" w:rsidP="007F352E">
      <w:pPr>
        <w:rPr>
          <w:b/>
          <w:bCs/>
          <w:color w:val="000000" w:themeColor="text1"/>
        </w:rPr>
      </w:pPr>
      <w:r w:rsidRPr="00A30FEF">
        <w:rPr>
          <w:b/>
          <w:bCs/>
          <w:color w:val="000000" w:themeColor="text1"/>
        </w:rPr>
        <w:t>Supermarket retailers possess strong negotiating leverage. Shelf placement and pricing agreements significantly influence brand performance.</w:t>
      </w:r>
    </w:p>
    <w:p w14:paraId="4AB1B45D" w14:textId="7BA685FF" w:rsidR="00D179F0" w:rsidRPr="00A30FEF" w:rsidRDefault="00990A0F" w:rsidP="007F352E">
      <w:pPr>
        <w:rPr>
          <w:b/>
          <w:bCs/>
          <w:color w:val="000000" w:themeColor="text1"/>
        </w:rPr>
      </w:pPr>
      <w:r w:rsidRPr="00A30FEF">
        <w:rPr>
          <w:b/>
          <w:bCs/>
          <w:color w:val="000000" w:themeColor="text1"/>
        </w:rPr>
        <w:t>Direct-to-consumer channels partially reduce this dependency but do not eliminate retailer dominance.</w:t>
      </w:r>
    </w:p>
    <w:p w14:paraId="64B58D2F" w14:textId="08E36085" w:rsidR="00D179F0" w:rsidRPr="00A30FEF" w:rsidRDefault="00D179F0" w:rsidP="007F352E">
      <w:pPr>
        <w:rPr>
          <w:b/>
          <w:bCs/>
          <w:color w:val="A02B93" w:themeColor="accent5"/>
        </w:rPr>
      </w:pPr>
      <w:r w:rsidRPr="00A30FEF">
        <w:rPr>
          <w:b/>
          <w:bCs/>
          <w:color w:val="A02B93" w:themeColor="accent5"/>
        </w:rPr>
        <w:t>Threat of Substitutes – High</w:t>
      </w:r>
    </w:p>
    <w:p w14:paraId="3A49F676" w14:textId="23F62422" w:rsidR="00990A0F" w:rsidRPr="00A30FEF" w:rsidRDefault="00D179F0" w:rsidP="007F352E">
      <w:pPr>
        <w:rPr>
          <w:b/>
          <w:bCs/>
          <w:color w:val="000000" w:themeColor="text1"/>
        </w:rPr>
      </w:pPr>
      <w:r w:rsidRPr="00A30FEF">
        <w:rPr>
          <w:b/>
          <w:bCs/>
          <w:color w:val="000000" w:themeColor="text1"/>
        </w:rPr>
        <w:t>Substitutes include bottled water, functional beverages, fresh juices and homemade alternatives. Switching costs are minimal.</w:t>
      </w:r>
    </w:p>
    <w:p w14:paraId="188E9576" w14:textId="45F8C3B5" w:rsidR="000A3008" w:rsidRPr="00A30FEF" w:rsidRDefault="000A3008" w:rsidP="007F352E">
      <w:pPr>
        <w:rPr>
          <w:b/>
          <w:bCs/>
          <w:color w:val="A02B93" w:themeColor="accent5"/>
        </w:rPr>
      </w:pPr>
      <w:r w:rsidRPr="00A30FEF">
        <w:rPr>
          <w:b/>
          <w:bCs/>
          <w:color w:val="A02B93" w:themeColor="accent5"/>
        </w:rPr>
        <w:t>Five Forces Conclusion</w:t>
      </w:r>
    </w:p>
    <w:p w14:paraId="40A69F63" w14:textId="31089960" w:rsidR="000A3008" w:rsidRDefault="000A3008" w:rsidP="007F352E">
      <w:pPr>
        <w:rPr>
          <w:b/>
          <w:bCs/>
          <w:color w:val="000000" w:themeColor="text1"/>
        </w:rPr>
      </w:pPr>
      <w:r w:rsidRPr="00A30FEF">
        <w:rPr>
          <w:b/>
          <w:bCs/>
          <w:color w:val="000000" w:themeColor="text1"/>
        </w:rPr>
        <w:t>Industry structure is competitive and moderately unattractive from a pure profitability perspective. Sustainable differentiation and brand strength are therefore essential for above-average returns.</w:t>
      </w:r>
    </w:p>
    <w:p w14:paraId="3ED2A991" w14:textId="77777777" w:rsidR="003C49E1" w:rsidRPr="00A30FEF" w:rsidRDefault="003C49E1" w:rsidP="007F352E">
      <w:pPr>
        <w:rPr>
          <w:b/>
          <w:bCs/>
          <w:color w:val="000000" w:themeColor="text1"/>
        </w:rPr>
      </w:pPr>
    </w:p>
    <w:p w14:paraId="7EC4536B" w14:textId="0394118C" w:rsidR="000A3008" w:rsidRPr="00A30FEF" w:rsidRDefault="006869C2" w:rsidP="007F352E">
      <w:pPr>
        <w:rPr>
          <w:b/>
          <w:bCs/>
          <w:color w:val="C00000"/>
        </w:rPr>
      </w:pPr>
      <w:r w:rsidRPr="00A30FEF">
        <w:rPr>
          <w:b/>
          <w:bCs/>
          <w:color w:val="C00000"/>
        </w:rPr>
        <w:t>3.3 SWOT Analysis</w:t>
      </w:r>
    </w:p>
    <w:p w14:paraId="31D191D1" w14:textId="05259240" w:rsidR="005B6865" w:rsidRPr="00A30FEF" w:rsidRDefault="005B6865" w:rsidP="007F352E">
      <w:pPr>
        <w:rPr>
          <w:b/>
          <w:bCs/>
          <w:color w:val="0E2841" w:themeColor="text2"/>
        </w:rPr>
      </w:pPr>
      <w:r w:rsidRPr="00A30FEF">
        <w:rPr>
          <w:b/>
          <w:bCs/>
          <w:color w:val="0E2841" w:themeColor="text2"/>
        </w:rPr>
        <w:t>SWOT integrates internal and external dimensions (Hill and Westbrook, 1997).</w:t>
      </w:r>
    </w:p>
    <w:tbl>
      <w:tblPr>
        <w:tblW w:w="0" w:type="auto"/>
        <w:tblCellSpacing w:w="15" w:type="dxa"/>
        <w:tblInd w:w="-709" w:type="dxa"/>
        <w:tblCellMar>
          <w:top w:w="15" w:type="dxa"/>
          <w:left w:w="15" w:type="dxa"/>
          <w:bottom w:w="15" w:type="dxa"/>
          <w:right w:w="15" w:type="dxa"/>
        </w:tblCellMar>
        <w:tblLook w:val="04A0" w:firstRow="1" w:lastRow="0" w:firstColumn="1" w:lastColumn="0" w:noHBand="0" w:noVBand="1"/>
      </w:tblPr>
      <w:tblGrid>
        <w:gridCol w:w="3226"/>
        <w:gridCol w:w="2487"/>
        <w:gridCol w:w="2303"/>
        <w:gridCol w:w="1709"/>
      </w:tblGrid>
      <w:tr w:rsidR="002B1647" w:rsidRPr="00A30FEF" w14:paraId="7626F925" w14:textId="77777777" w:rsidTr="002B1647">
        <w:trPr>
          <w:tblHeader/>
          <w:tblCellSpacing w:w="15" w:type="dxa"/>
        </w:trPr>
        <w:tc>
          <w:tcPr>
            <w:tcW w:w="3180" w:type="dxa"/>
            <w:tcBorders>
              <w:top w:val="single" w:sz="4" w:space="0" w:color="auto"/>
              <w:left w:val="single" w:sz="4" w:space="0" w:color="auto"/>
              <w:bottom w:val="single" w:sz="4" w:space="0" w:color="auto"/>
              <w:right w:val="single" w:sz="4" w:space="0" w:color="auto"/>
            </w:tcBorders>
            <w:vAlign w:val="center"/>
            <w:hideMark/>
          </w:tcPr>
          <w:p w14:paraId="2B5D3BFC" w14:textId="77777777" w:rsidR="00DA733F" w:rsidRPr="00A30FEF" w:rsidRDefault="00DA733F" w:rsidP="007F352E">
            <w:pPr>
              <w:rPr>
                <w:b/>
                <w:bCs/>
                <w:color w:val="000000" w:themeColor="text1"/>
              </w:rPr>
            </w:pPr>
            <w:r w:rsidRPr="00A30FEF">
              <w:rPr>
                <w:b/>
                <w:bCs/>
                <w:color w:val="000000" w:themeColor="text1"/>
              </w:rPr>
              <w:lastRenderedPageBreak/>
              <w:t>Strengths</w:t>
            </w:r>
          </w:p>
        </w:tc>
        <w:tc>
          <w:tcPr>
            <w:tcW w:w="0" w:type="auto"/>
            <w:tcBorders>
              <w:top w:val="single" w:sz="4" w:space="0" w:color="auto"/>
              <w:left w:val="single" w:sz="4" w:space="0" w:color="auto"/>
              <w:bottom w:val="single" w:sz="4" w:space="0" w:color="auto"/>
              <w:right w:val="single" w:sz="4" w:space="0" w:color="auto"/>
            </w:tcBorders>
            <w:vAlign w:val="center"/>
            <w:hideMark/>
          </w:tcPr>
          <w:p w14:paraId="32D2F1A3" w14:textId="77777777" w:rsidR="00DA733F" w:rsidRPr="00A30FEF" w:rsidRDefault="00DA733F" w:rsidP="007F352E">
            <w:pPr>
              <w:rPr>
                <w:b/>
                <w:bCs/>
                <w:color w:val="000000" w:themeColor="text1"/>
              </w:rPr>
            </w:pPr>
            <w:r w:rsidRPr="00A30FEF">
              <w:rPr>
                <w:b/>
                <w:bCs/>
                <w:color w:val="000000" w:themeColor="text1"/>
              </w:rPr>
              <w:t>Weaknesses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8CD1CE" w14:textId="77777777" w:rsidR="00DA733F" w:rsidRPr="00A30FEF" w:rsidRDefault="00DA733F" w:rsidP="007F352E">
            <w:pPr>
              <w:rPr>
                <w:b/>
                <w:bCs/>
                <w:color w:val="000000" w:themeColor="text1"/>
              </w:rPr>
            </w:pPr>
            <w:r w:rsidRPr="00A30FEF">
              <w:rPr>
                <w:b/>
                <w:bCs/>
                <w:color w:val="000000" w:themeColor="text1"/>
              </w:rPr>
              <w:t>Opportunities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259B2A3" w14:textId="77777777" w:rsidR="00DA733F" w:rsidRPr="00A30FEF" w:rsidRDefault="00DA733F" w:rsidP="007F352E">
            <w:pPr>
              <w:rPr>
                <w:b/>
                <w:bCs/>
                <w:color w:val="000000" w:themeColor="text1"/>
              </w:rPr>
            </w:pPr>
            <w:r w:rsidRPr="00A30FEF">
              <w:rPr>
                <w:b/>
                <w:bCs/>
                <w:color w:val="000000" w:themeColor="text1"/>
              </w:rPr>
              <w:t>Threats</w:t>
            </w:r>
          </w:p>
        </w:tc>
      </w:tr>
      <w:tr w:rsidR="00DA733F" w:rsidRPr="00A30FEF" w14:paraId="530A882C" w14:textId="77777777" w:rsidTr="002B1647">
        <w:trPr>
          <w:tblCellSpacing w:w="15" w:type="dxa"/>
        </w:trPr>
        <w:tc>
          <w:tcPr>
            <w:tcW w:w="3180" w:type="dxa"/>
            <w:tcBorders>
              <w:top w:val="single" w:sz="4" w:space="0" w:color="auto"/>
              <w:left w:val="single" w:sz="4" w:space="0" w:color="auto"/>
              <w:bottom w:val="single" w:sz="4" w:space="0" w:color="auto"/>
              <w:right w:val="single" w:sz="4" w:space="0" w:color="auto"/>
            </w:tcBorders>
            <w:vAlign w:val="center"/>
            <w:hideMark/>
          </w:tcPr>
          <w:p w14:paraId="5030E9DD" w14:textId="77777777" w:rsidR="00DA733F" w:rsidRPr="00A30FEF" w:rsidRDefault="00DA733F" w:rsidP="007F352E">
            <w:pPr>
              <w:rPr>
                <w:b/>
                <w:bCs/>
                <w:color w:val="000000" w:themeColor="text1"/>
              </w:rPr>
            </w:pPr>
            <w:r w:rsidRPr="00A30FEF">
              <w:rPr>
                <w:b/>
                <w:bCs/>
                <w:color w:val="000000" w:themeColor="text1"/>
              </w:rPr>
              <w:t>Strong brand equity and emotional engagement</w:t>
            </w:r>
          </w:p>
        </w:tc>
        <w:tc>
          <w:tcPr>
            <w:tcW w:w="0" w:type="auto"/>
            <w:tcBorders>
              <w:top w:val="single" w:sz="4" w:space="0" w:color="auto"/>
              <w:left w:val="single" w:sz="4" w:space="0" w:color="auto"/>
              <w:bottom w:val="single" w:sz="4" w:space="0" w:color="auto"/>
              <w:right w:val="single" w:sz="4" w:space="0" w:color="auto"/>
            </w:tcBorders>
            <w:vAlign w:val="center"/>
            <w:hideMark/>
          </w:tcPr>
          <w:p w14:paraId="7F88B300" w14:textId="77777777" w:rsidR="00DA733F" w:rsidRPr="00A30FEF" w:rsidRDefault="00DA733F" w:rsidP="007F352E">
            <w:pPr>
              <w:rPr>
                <w:b/>
                <w:bCs/>
                <w:color w:val="000000" w:themeColor="text1"/>
              </w:rPr>
            </w:pPr>
            <w:r w:rsidRPr="00A30FEF">
              <w:rPr>
                <w:b/>
                <w:bCs/>
                <w:color w:val="000000" w:themeColor="text1"/>
              </w:rPr>
              <w:t>Premium pricing sensitivity</w:t>
            </w:r>
          </w:p>
        </w:tc>
        <w:tc>
          <w:tcPr>
            <w:tcW w:w="0" w:type="auto"/>
            <w:tcBorders>
              <w:top w:val="single" w:sz="4" w:space="0" w:color="auto"/>
              <w:left w:val="single" w:sz="4" w:space="0" w:color="auto"/>
              <w:bottom w:val="single" w:sz="4" w:space="0" w:color="auto"/>
              <w:right w:val="single" w:sz="4" w:space="0" w:color="auto"/>
            </w:tcBorders>
            <w:vAlign w:val="center"/>
            <w:hideMark/>
          </w:tcPr>
          <w:p w14:paraId="3A480089" w14:textId="77777777" w:rsidR="00DA733F" w:rsidRPr="00A30FEF" w:rsidRDefault="00DA733F" w:rsidP="007F352E">
            <w:pPr>
              <w:rPr>
                <w:b/>
                <w:bCs/>
                <w:color w:val="000000" w:themeColor="text1"/>
              </w:rPr>
            </w:pPr>
            <w:r w:rsidRPr="00A30FEF">
              <w:rPr>
                <w:b/>
                <w:bCs/>
                <w:color w:val="000000" w:themeColor="text1"/>
              </w:rPr>
              <w:t>Circular packaging innovation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77495338" w14:textId="77777777" w:rsidR="00DA733F" w:rsidRPr="00A30FEF" w:rsidRDefault="00DA733F" w:rsidP="007F352E">
            <w:pPr>
              <w:rPr>
                <w:b/>
                <w:bCs/>
                <w:color w:val="000000" w:themeColor="text1"/>
              </w:rPr>
            </w:pPr>
            <w:r w:rsidRPr="00A30FEF">
              <w:rPr>
                <w:b/>
                <w:bCs/>
                <w:color w:val="000000" w:themeColor="text1"/>
              </w:rPr>
              <w:t>Regulatory tightening</w:t>
            </w:r>
          </w:p>
        </w:tc>
      </w:tr>
      <w:tr w:rsidR="00DA733F" w:rsidRPr="00A30FEF" w14:paraId="3509E190" w14:textId="77777777" w:rsidTr="002B1647">
        <w:trPr>
          <w:tblCellSpacing w:w="15" w:type="dxa"/>
        </w:trPr>
        <w:tc>
          <w:tcPr>
            <w:tcW w:w="3180" w:type="dxa"/>
            <w:tcBorders>
              <w:top w:val="single" w:sz="4" w:space="0" w:color="auto"/>
              <w:left w:val="single" w:sz="4" w:space="0" w:color="auto"/>
              <w:bottom w:val="single" w:sz="4" w:space="0" w:color="auto"/>
              <w:right w:val="single" w:sz="4" w:space="0" w:color="auto"/>
            </w:tcBorders>
            <w:vAlign w:val="center"/>
            <w:hideMark/>
          </w:tcPr>
          <w:p w14:paraId="5616F180" w14:textId="77777777" w:rsidR="00DA733F" w:rsidRPr="00A30FEF" w:rsidRDefault="00DA733F" w:rsidP="007F352E">
            <w:pPr>
              <w:rPr>
                <w:b/>
                <w:bCs/>
                <w:color w:val="000000" w:themeColor="text1"/>
              </w:rPr>
            </w:pPr>
            <w:r w:rsidRPr="00A30FEF">
              <w:rPr>
                <w:b/>
                <w:bCs/>
                <w:color w:val="000000" w:themeColor="text1"/>
              </w:rPr>
              <w:t>B Corporation certification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493B9C75" w14:textId="77777777" w:rsidR="00DA733F" w:rsidRPr="00A30FEF" w:rsidRDefault="00DA733F" w:rsidP="007F352E">
            <w:pPr>
              <w:rPr>
                <w:b/>
                <w:bCs/>
                <w:color w:val="000000" w:themeColor="text1"/>
              </w:rPr>
            </w:pPr>
            <w:r w:rsidRPr="00A30FEF">
              <w:rPr>
                <w:b/>
                <w:bCs/>
                <w:color w:val="000000" w:themeColor="text1"/>
              </w:rPr>
              <w:t>Exposure to climate-affected agricultural inputs</w:t>
            </w:r>
          </w:p>
        </w:tc>
        <w:tc>
          <w:tcPr>
            <w:tcW w:w="0" w:type="auto"/>
            <w:tcBorders>
              <w:top w:val="single" w:sz="4" w:space="0" w:color="auto"/>
              <w:left w:val="single" w:sz="4" w:space="0" w:color="auto"/>
              <w:bottom w:val="single" w:sz="4" w:space="0" w:color="auto"/>
              <w:right w:val="single" w:sz="4" w:space="0" w:color="auto"/>
            </w:tcBorders>
            <w:vAlign w:val="center"/>
            <w:hideMark/>
          </w:tcPr>
          <w:p w14:paraId="0EEE0FFF" w14:textId="77777777" w:rsidR="00DA733F" w:rsidRPr="00A30FEF" w:rsidRDefault="00DA733F" w:rsidP="007F352E">
            <w:pPr>
              <w:rPr>
                <w:b/>
                <w:bCs/>
                <w:color w:val="000000" w:themeColor="text1"/>
              </w:rPr>
            </w:pPr>
            <w:r w:rsidRPr="00A30FEF">
              <w:rPr>
                <w:b/>
                <w:bCs/>
                <w:color w:val="000000" w:themeColor="text1"/>
              </w:rPr>
              <w:t>European urban market expansion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5DE854CB" w14:textId="77777777" w:rsidR="00DA733F" w:rsidRPr="00A30FEF" w:rsidRDefault="00DA733F" w:rsidP="007F352E">
            <w:pPr>
              <w:rPr>
                <w:b/>
                <w:bCs/>
                <w:color w:val="000000" w:themeColor="text1"/>
              </w:rPr>
            </w:pPr>
            <w:r w:rsidRPr="00A30FEF">
              <w:rPr>
                <w:b/>
                <w:bCs/>
                <w:color w:val="000000" w:themeColor="text1"/>
              </w:rPr>
              <w:t>Competitive imitation</w:t>
            </w:r>
          </w:p>
        </w:tc>
      </w:tr>
      <w:tr w:rsidR="00DA733F" w:rsidRPr="00A30FEF" w14:paraId="413D5EEF" w14:textId="77777777" w:rsidTr="002B1647">
        <w:trPr>
          <w:tblCellSpacing w:w="15" w:type="dxa"/>
        </w:trPr>
        <w:tc>
          <w:tcPr>
            <w:tcW w:w="3180" w:type="dxa"/>
            <w:tcBorders>
              <w:top w:val="single" w:sz="4" w:space="0" w:color="auto"/>
              <w:left w:val="single" w:sz="4" w:space="0" w:color="auto"/>
              <w:bottom w:val="single" w:sz="4" w:space="0" w:color="auto"/>
              <w:right w:val="single" w:sz="4" w:space="0" w:color="auto"/>
            </w:tcBorders>
            <w:vAlign w:val="center"/>
            <w:hideMark/>
          </w:tcPr>
          <w:p w14:paraId="571F27C7" w14:textId="77777777" w:rsidR="00DA733F" w:rsidRPr="00A30FEF" w:rsidRDefault="00DA733F" w:rsidP="007F352E">
            <w:pPr>
              <w:rPr>
                <w:b/>
                <w:bCs/>
                <w:color w:val="000000" w:themeColor="text1"/>
              </w:rPr>
            </w:pPr>
            <w:r w:rsidRPr="00A30FEF">
              <w:rPr>
                <w:b/>
                <w:bCs/>
                <w:color w:val="000000" w:themeColor="text1"/>
              </w:rPr>
              <w:t>Established European distribution network</w:t>
            </w:r>
          </w:p>
        </w:tc>
        <w:tc>
          <w:tcPr>
            <w:tcW w:w="0" w:type="auto"/>
            <w:tcBorders>
              <w:top w:val="single" w:sz="4" w:space="0" w:color="auto"/>
              <w:left w:val="single" w:sz="4" w:space="0" w:color="auto"/>
              <w:bottom w:val="single" w:sz="4" w:space="0" w:color="auto"/>
              <w:right w:val="single" w:sz="4" w:space="0" w:color="auto"/>
            </w:tcBorders>
            <w:vAlign w:val="center"/>
            <w:hideMark/>
          </w:tcPr>
          <w:p w14:paraId="6145EEA8" w14:textId="77777777" w:rsidR="00DA733F" w:rsidRPr="00A30FEF" w:rsidRDefault="00DA733F" w:rsidP="007F352E">
            <w:pPr>
              <w:rPr>
                <w:b/>
                <w:bCs/>
                <w:color w:val="000000" w:themeColor="text1"/>
              </w:rPr>
            </w:pPr>
            <w:r w:rsidRPr="00A30FEF">
              <w:rPr>
                <w:b/>
                <w:bCs/>
                <w:color w:val="000000" w:themeColor="text1"/>
              </w:rPr>
              <w:t>Reputational vulnerability due to corporate ownership</w:t>
            </w:r>
          </w:p>
        </w:tc>
        <w:tc>
          <w:tcPr>
            <w:tcW w:w="0" w:type="auto"/>
            <w:tcBorders>
              <w:top w:val="single" w:sz="4" w:space="0" w:color="auto"/>
              <w:left w:val="single" w:sz="4" w:space="0" w:color="auto"/>
              <w:bottom w:val="single" w:sz="4" w:space="0" w:color="auto"/>
              <w:right w:val="single" w:sz="4" w:space="0" w:color="auto"/>
            </w:tcBorders>
            <w:vAlign w:val="center"/>
            <w:hideMark/>
          </w:tcPr>
          <w:p w14:paraId="52E19C6A" w14:textId="77777777" w:rsidR="00DA733F" w:rsidRPr="00A30FEF" w:rsidRDefault="00DA733F" w:rsidP="007F352E">
            <w:pPr>
              <w:rPr>
                <w:b/>
                <w:bCs/>
                <w:color w:val="000000" w:themeColor="text1"/>
              </w:rPr>
            </w:pPr>
            <w:r w:rsidRPr="00A30FEF">
              <w:rPr>
                <w:b/>
                <w:bCs/>
                <w:color w:val="000000" w:themeColor="text1"/>
              </w:rPr>
              <w:t>Digital engagement and transparency tools</w:t>
            </w:r>
          </w:p>
        </w:tc>
        <w:tc>
          <w:tcPr>
            <w:tcW w:w="0" w:type="auto"/>
            <w:tcBorders>
              <w:top w:val="single" w:sz="4" w:space="0" w:color="auto"/>
              <w:left w:val="single" w:sz="4" w:space="0" w:color="auto"/>
              <w:bottom w:val="single" w:sz="4" w:space="0" w:color="auto"/>
              <w:right w:val="single" w:sz="4" w:space="0" w:color="auto"/>
            </w:tcBorders>
            <w:vAlign w:val="center"/>
            <w:hideMark/>
          </w:tcPr>
          <w:p w14:paraId="343A723D" w14:textId="77777777" w:rsidR="00DA733F" w:rsidRPr="00A30FEF" w:rsidRDefault="00DA733F" w:rsidP="007F352E">
            <w:pPr>
              <w:rPr>
                <w:b/>
                <w:bCs/>
                <w:color w:val="000000" w:themeColor="text1"/>
              </w:rPr>
            </w:pPr>
            <w:r w:rsidRPr="00A30FEF">
              <w:rPr>
                <w:b/>
                <w:bCs/>
                <w:color w:val="000000" w:themeColor="text1"/>
              </w:rPr>
              <w:t>Supply chain instability</w:t>
            </w:r>
          </w:p>
        </w:tc>
      </w:tr>
      <w:tr w:rsidR="00DA733F" w:rsidRPr="00A30FEF" w14:paraId="533F9D53" w14:textId="77777777" w:rsidTr="002B1647">
        <w:trPr>
          <w:tblCellSpacing w:w="15" w:type="dxa"/>
        </w:trPr>
        <w:tc>
          <w:tcPr>
            <w:tcW w:w="3180" w:type="dxa"/>
            <w:tcBorders>
              <w:top w:val="single" w:sz="4" w:space="0" w:color="auto"/>
              <w:left w:val="single" w:sz="4" w:space="0" w:color="auto"/>
              <w:bottom w:val="single" w:sz="4" w:space="0" w:color="auto"/>
              <w:right w:val="single" w:sz="4" w:space="0" w:color="auto"/>
            </w:tcBorders>
            <w:vAlign w:val="center"/>
            <w:hideMark/>
          </w:tcPr>
          <w:p w14:paraId="6A6FC951" w14:textId="77777777" w:rsidR="00DA733F" w:rsidRPr="00A30FEF" w:rsidRDefault="00DA733F" w:rsidP="007F352E">
            <w:pPr>
              <w:rPr>
                <w:b/>
                <w:bCs/>
                <w:color w:val="000000" w:themeColor="text1"/>
              </w:rPr>
            </w:pPr>
            <w:r w:rsidRPr="00A30FEF">
              <w:rPr>
                <w:b/>
                <w:bCs/>
                <w:color w:val="000000" w:themeColor="text1"/>
              </w:rPr>
              <w:t>Sustainability commitments embedded in strategy</w:t>
            </w:r>
          </w:p>
        </w:tc>
        <w:tc>
          <w:tcPr>
            <w:tcW w:w="0" w:type="auto"/>
            <w:tcBorders>
              <w:top w:val="single" w:sz="4" w:space="0" w:color="auto"/>
              <w:left w:val="single" w:sz="4" w:space="0" w:color="auto"/>
              <w:bottom w:val="single" w:sz="4" w:space="0" w:color="auto"/>
              <w:right w:val="single" w:sz="4" w:space="0" w:color="auto"/>
            </w:tcBorders>
            <w:vAlign w:val="center"/>
            <w:hideMark/>
          </w:tcPr>
          <w:p w14:paraId="5D8B281A" w14:textId="77777777" w:rsidR="00DA733F" w:rsidRPr="00A30FEF" w:rsidRDefault="00DA733F" w:rsidP="007F352E">
            <w:pPr>
              <w:rPr>
                <w:b/>
                <w:bCs/>
                <w:color w:val="000000" w:themeColor="text1"/>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E8E5B11" w14:textId="77777777" w:rsidR="00DA733F" w:rsidRPr="00A30FEF" w:rsidRDefault="00DA733F" w:rsidP="007F352E">
            <w:pPr>
              <w:rPr>
                <w:b/>
                <w:bCs/>
                <w:color w:val="000000" w:themeColor="text1"/>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6486B0C" w14:textId="77777777" w:rsidR="00DA733F" w:rsidRPr="00A30FEF" w:rsidRDefault="00DA733F" w:rsidP="007F352E">
            <w:pPr>
              <w:rPr>
                <w:b/>
                <w:bCs/>
                <w:color w:val="000000" w:themeColor="text1"/>
              </w:rPr>
            </w:pPr>
          </w:p>
        </w:tc>
      </w:tr>
    </w:tbl>
    <w:p w14:paraId="7E01533C" w14:textId="77777777" w:rsidR="002B0631" w:rsidRPr="00A30FEF" w:rsidRDefault="002B0631" w:rsidP="007F352E">
      <w:pPr>
        <w:rPr>
          <w:b/>
          <w:bCs/>
          <w:color w:val="C00000"/>
        </w:rPr>
      </w:pPr>
    </w:p>
    <w:p w14:paraId="2C3AF5D2" w14:textId="77777777" w:rsidR="001D3A90" w:rsidRPr="00A30FEF" w:rsidRDefault="00E627D7" w:rsidP="007F352E">
      <w:pPr>
        <w:rPr>
          <w:b/>
          <w:bCs/>
          <w:color w:val="0E2841" w:themeColor="text2"/>
        </w:rPr>
      </w:pPr>
      <w:r w:rsidRPr="00A30FEF">
        <w:rPr>
          <w:b/>
          <w:bCs/>
          <w:color w:val="0E2841" w:themeColor="text2"/>
        </w:rPr>
        <w:t>SWOT indicates that Innocent’s differentiation advantage is real but increasingly contested.</w:t>
      </w:r>
    </w:p>
    <w:p w14:paraId="2C5D2630" w14:textId="5F932D3A" w:rsidR="001D6014" w:rsidRPr="00A30FEF" w:rsidRDefault="00D4538B" w:rsidP="007F352E">
      <w:pPr>
        <w:rPr>
          <w:b/>
          <w:bCs/>
          <w:color w:val="0E2841" w:themeColor="text2"/>
        </w:rPr>
      </w:pPr>
      <w:r w:rsidRPr="00A30FEF">
        <w:rPr>
          <w:b/>
          <w:bCs/>
          <w:color w:val="C00000"/>
        </w:rPr>
        <w:t>3.4 TOWS Analysis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88"/>
        <w:gridCol w:w="6728"/>
      </w:tblGrid>
      <w:tr w:rsidR="00B94AB8" w:rsidRPr="00A30FEF" w14:paraId="46380049" w14:textId="77777777" w:rsidTr="00B94AB8">
        <w:trPr>
          <w:tblHeader/>
          <w:tblCellSpacing w:w="15" w:type="dxa"/>
        </w:trPr>
        <w:tc>
          <w:tcPr>
            <w:tcW w:w="0" w:type="auto"/>
            <w:vAlign w:val="center"/>
            <w:hideMark/>
          </w:tcPr>
          <w:p w14:paraId="25E55E20" w14:textId="77777777" w:rsidR="00B94AB8" w:rsidRPr="00A30FEF" w:rsidRDefault="00B94AB8" w:rsidP="007F352E">
            <w:pPr>
              <w:rPr>
                <w:b/>
                <w:bCs/>
              </w:rPr>
            </w:pPr>
            <w:r w:rsidRPr="00A30FEF">
              <w:rPr>
                <w:b/>
                <w:bCs/>
              </w:rPr>
              <w:t>Strategy Type</w:t>
            </w:r>
          </w:p>
        </w:tc>
        <w:tc>
          <w:tcPr>
            <w:tcW w:w="0" w:type="auto"/>
            <w:vAlign w:val="center"/>
            <w:hideMark/>
          </w:tcPr>
          <w:p w14:paraId="6B58BC2D" w14:textId="77777777" w:rsidR="00B94AB8" w:rsidRPr="00A30FEF" w:rsidRDefault="00B94AB8" w:rsidP="007F352E">
            <w:pPr>
              <w:rPr>
                <w:b/>
                <w:bCs/>
              </w:rPr>
            </w:pPr>
            <w:r w:rsidRPr="00A30FEF">
              <w:rPr>
                <w:b/>
                <w:bCs/>
              </w:rPr>
              <w:t>Strategic Direction</w:t>
            </w:r>
          </w:p>
        </w:tc>
      </w:tr>
      <w:tr w:rsidR="00B94AB8" w:rsidRPr="00A30FEF" w14:paraId="64708081" w14:textId="77777777" w:rsidTr="00B94AB8">
        <w:trPr>
          <w:tblCellSpacing w:w="15" w:type="dxa"/>
        </w:trPr>
        <w:tc>
          <w:tcPr>
            <w:tcW w:w="0" w:type="auto"/>
            <w:vAlign w:val="center"/>
            <w:hideMark/>
          </w:tcPr>
          <w:p w14:paraId="6D6FC6C2" w14:textId="51A3A009" w:rsidR="00B94AB8" w:rsidRPr="00A30FEF" w:rsidRDefault="00B94AB8" w:rsidP="007F352E">
            <w:pPr>
              <w:rPr>
                <w:b/>
                <w:bCs/>
              </w:rPr>
            </w:pPr>
            <w:r w:rsidRPr="00A30FEF">
              <w:rPr>
                <w:b/>
                <w:bCs/>
              </w:rPr>
              <w:t xml:space="preserve"> Strength–Opportunity</w:t>
            </w:r>
          </w:p>
        </w:tc>
        <w:tc>
          <w:tcPr>
            <w:tcW w:w="0" w:type="auto"/>
            <w:vAlign w:val="center"/>
            <w:hideMark/>
          </w:tcPr>
          <w:p w14:paraId="7429034C" w14:textId="77777777" w:rsidR="00B94AB8" w:rsidRPr="00A30FEF" w:rsidRDefault="00B94AB8" w:rsidP="007F352E">
            <w:pPr>
              <w:rPr>
                <w:b/>
                <w:bCs/>
              </w:rPr>
            </w:pPr>
            <w:r w:rsidRPr="00A30FEF">
              <w:rPr>
                <w:b/>
                <w:bCs/>
              </w:rPr>
              <w:t>Use sustainability credibility to lead circular packaging innovation in EU markets.</w:t>
            </w:r>
          </w:p>
        </w:tc>
      </w:tr>
      <w:tr w:rsidR="00B94AB8" w:rsidRPr="00A30FEF" w14:paraId="0EB05AF8" w14:textId="77777777" w:rsidTr="00B94AB8">
        <w:trPr>
          <w:tblCellSpacing w:w="15" w:type="dxa"/>
        </w:trPr>
        <w:tc>
          <w:tcPr>
            <w:tcW w:w="0" w:type="auto"/>
            <w:vAlign w:val="center"/>
            <w:hideMark/>
          </w:tcPr>
          <w:p w14:paraId="4AFEC57B" w14:textId="5894C689" w:rsidR="00B94AB8" w:rsidRPr="00A30FEF" w:rsidRDefault="00B94AB8" w:rsidP="007F352E">
            <w:pPr>
              <w:rPr>
                <w:b/>
                <w:bCs/>
              </w:rPr>
            </w:pPr>
            <w:r w:rsidRPr="00A30FEF">
              <w:rPr>
                <w:b/>
                <w:bCs/>
              </w:rPr>
              <w:t>Weakness–Opportunity</w:t>
            </w:r>
          </w:p>
        </w:tc>
        <w:tc>
          <w:tcPr>
            <w:tcW w:w="0" w:type="auto"/>
            <w:vAlign w:val="center"/>
            <w:hideMark/>
          </w:tcPr>
          <w:p w14:paraId="2AEAD9C0" w14:textId="77777777" w:rsidR="00B94AB8" w:rsidRPr="00A30FEF" w:rsidRDefault="00B94AB8" w:rsidP="007F352E">
            <w:pPr>
              <w:rPr>
                <w:b/>
                <w:bCs/>
              </w:rPr>
            </w:pPr>
            <w:r w:rsidRPr="00A30FEF">
              <w:rPr>
                <w:b/>
                <w:bCs/>
              </w:rPr>
              <w:t>Invest in dynamic capabilities to reduce supply chain vulnerability.</w:t>
            </w:r>
          </w:p>
        </w:tc>
      </w:tr>
      <w:tr w:rsidR="00B94AB8" w:rsidRPr="00A30FEF" w14:paraId="3F375534" w14:textId="77777777" w:rsidTr="00B94AB8">
        <w:trPr>
          <w:tblCellSpacing w:w="15" w:type="dxa"/>
        </w:trPr>
        <w:tc>
          <w:tcPr>
            <w:tcW w:w="0" w:type="auto"/>
            <w:vAlign w:val="center"/>
            <w:hideMark/>
          </w:tcPr>
          <w:p w14:paraId="1E9E82C2" w14:textId="41848C2F" w:rsidR="00B94AB8" w:rsidRPr="00A30FEF" w:rsidRDefault="00B94AB8" w:rsidP="007F352E">
            <w:pPr>
              <w:rPr>
                <w:b/>
                <w:bCs/>
              </w:rPr>
            </w:pPr>
            <w:r w:rsidRPr="00A30FEF">
              <w:rPr>
                <w:b/>
                <w:bCs/>
              </w:rPr>
              <w:t>Strength–Threat</w:t>
            </w:r>
          </w:p>
        </w:tc>
        <w:tc>
          <w:tcPr>
            <w:tcW w:w="0" w:type="auto"/>
            <w:vAlign w:val="center"/>
            <w:hideMark/>
          </w:tcPr>
          <w:p w14:paraId="420B1BD3" w14:textId="77777777" w:rsidR="00B94AB8" w:rsidRPr="00A30FEF" w:rsidRDefault="00B94AB8" w:rsidP="007F352E">
            <w:pPr>
              <w:rPr>
                <w:b/>
                <w:bCs/>
              </w:rPr>
            </w:pPr>
            <w:r w:rsidRPr="00A30FEF">
              <w:rPr>
                <w:b/>
                <w:bCs/>
              </w:rPr>
              <w:t>Leverage brand authenticity to counter competitive imitation.</w:t>
            </w:r>
          </w:p>
        </w:tc>
      </w:tr>
      <w:tr w:rsidR="00B94AB8" w:rsidRPr="00A30FEF" w14:paraId="7283662A" w14:textId="77777777" w:rsidTr="00B94AB8">
        <w:trPr>
          <w:tblCellSpacing w:w="15" w:type="dxa"/>
        </w:trPr>
        <w:tc>
          <w:tcPr>
            <w:tcW w:w="0" w:type="auto"/>
            <w:vAlign w:val="center"/>
            <w:hideMark/>
          </w:tcPr>
          <w:p w14:paraId="48CC86C7" w14:textId="32EC082D" w:rsidR="00B94AB8" w:rsidRPr="00A30FEF" w:rsidRDefault="00B94AB8" w:rsidP="007F352E">
            <w:pPr>
              <w:rPr>
                <w:b/>
                <w:bCs/>
              </w:rPr>
            </w:pPr>
            <w:r w:rsidRPr="00A30FEF">
              <w:rPr>
                <w:b/>
                <w:bCs/>
              </w:rPr>
              <w:t>Weakness–Threat</w:t>
            </w:r>
          </w:p>
        </w:tc>
        <w:tc>
          <w:tcPr>
            <w:tcW w:w="0" w:type="auto"/>
            <w:vAlign w:val="center"/>
            <w:hideMark/>
          </w:tcPr>
          <w:p w14:paraId="695B66CB" w14:textId="77777777" w:rsidR="00B94AB8" w:rsidRPr="00A30FEF" w:rsidRDefault="00B94AB8" w:rsidP="007F352E">
            <w:pPr>
              <w:rPr>
                <w:b/>
                <w:bCs/>
              </w:rPr>
            </w:pPr>
            <w:r w:rsidRPr="00A30FEF">
              <w:rPr>
                <w:b/>
                <w:bCs/>
              </w:rPr>
              <w:t>Develop risk mitigation mechanisms against regulatory and climate exposure.</w:t>
            </w:r>
          </w:p>
        </w:tc>
      </w:tr>
    </w:tbl>
    <w:p w14:paraId="5D18C2A6" w14:textId="77777777" w:rsidR="001D6014" w:rsidRPr="00A30FEF" w:rsidRDefault="001D6014" w:rsidP="007F352E">
      <w:pPr>
        <w:rPr>
          <w:b/>
          <w:bCs/>
        </w:rPr>
      </w:pPr>
    </w:p>
    <w:p w14:paraId="0A60D7C1" w14:textId="1B3910D4" w:rsidR="009B2DCA" w:rsidRPr="00A30FEF" w:rsidRDefault="009B2DCA" w:rsidP="007F352E">
      <w:pPr>
        <w:rPr>
          <w:b/>
          <w:bCs/>
        </w:rPr>
      </w:pPr>
      <w:r w:rsidRPr="00A30FEF">
        <w:rPr>
          <w:b/>
          <w:bCs/>
        </w:rPr>
        <w:t>Develop risk mitigation mechanisms against regulatory and climate exposure.</w:t>
      </w:r>
    </w:p>
    <w:p w14:paraId="4D0A2F19" w14:textId="6AF59FEC" w:rsidR="000E2354" w:rsidRDefault="009B2DCA" w:rsidP="007F352E">
      <w:pPr>
        <w:rPr>
          <w:b/>
          <w:bCs/>
        </w:rPr>
      </w:pPr>
      <w:r w:rsidRPr="00A30FEF">
        <w:rPr>
          <w:b/>
          <w:bCs/>
        </w:rPr>
        <w:t>TOWS confirms that proactive sustainability innovation represents the strongest strategic pathway.</w:t>
      </w:r>
    </w:p>
    <w:p w14:paraId="53942E33" w14:textId="77777777" w:rsidR="003C49E1" w:rsidRDefault="003C49E1" w:rsidP="007F352E">
      <w:pPr>
        <w:rPr>
          <w:b/>
          <w:bCs/>
        </w:rPr>
      </w:pPr>
    </w:p>
    <w:p w14:paraId="567A2A32" w14:textId="77777777" w:rsidR="003C49E1" w:rsidRPr="00A30FEF" w:rsidRDefault="003C49E1" w:rsidP="007F352E">
      <w:pPr>
        <w:rPr>
          <w:b/>
          <w:bCs/>
        </w:rPr>
      </w:pPr>
    </w:p>
    <w:p w14:paraId="37BA603B" w14:textId="6C06518C" w:rsidR="001D6014" w:rsidRPr="00A30FEF" w:rsidRDefault="000E2354" w:rsidP="007F352E">
      <w:pPr>
        <w:rPr>
          <w:b/>
          <w:bCs/>
          <w:color w:val="C00000"/>
        </w:rPr>
      </w:pPr>
      <w:r w:rsidRPr="00A30FEF">
        <w:rPr>
          <w:b/>
          <w:bCs/>
          <w:color w:val="C00000"/>
        </w:rPr>
        <w:lastRenderedPageBreak/>
        <w:t>4</w:t>
      </w:r>
      <w:r w:rsidR="003E116A" w:rsidRPr="00A30FEF">
        <w:rPr>
          <w:b/>
          <w:bCs/>
          <w:color w:val="C00000"/>
        </w:rPr>
        <w:t>-Strategic Growth Options and Proposed Strategy</w:t>
      </w:r>
    </w:p>
    <w:p w14:paraId="24C4787B" w14:textId="60E2D3EB" w:rsidR="001D6014" w:rsidRPr="00A30FEF" w:rsidRDefault="00177758" w:rsidP="007F352E">
      <w:pPr>
        <w:rPr>
          <w:b/>
          <w:bCs/>
        </w:rPr>
      </w:pPr>
      <w:r w:rsidRPr="00A30FEF">
        <w:rPr>
          <w:b/>
          <w:bCs/>
        </w:rPr>
        <w:t xml:space="preserve">Strategic growth options for Innocent Drinks are evaluated using Ansoff’s Product–Market Matrix (Ansoff, 1957) alongside Porter’s Generic Strategies framework (Porter, 1985). The purpose is not merely to identify </w:t>
      </w:r>
      <w:r w:rsidR="00FB1254" w:rsidRPr="00A30FEF">
        <w:rPr>
          <w:b/>
          <w:bCs/>
        </w:rPr>
        <w:t>Strategic</w:t>
      </w:r>
      <w:r w:rsidR="00603E4B" w:rsidRPr="00A30FEF">
        <w:rPr>
          <w:b/>
          <w:bCs/>
        </w:rPr>
        <w:t xml:space="preserve"> limitation: Market penetration strengthens volume but does not strengthen competitive </w:t>
      </w:r>
      <w:r w:rsidR="00FB1254" w:rsidRPr="00A30FEF">
        <w:rPr>
          <w:b/>
          <w:bCs/>
        </w:rPr>
        <w:t>advantageous</w:t>
      </w:r>
      <w:r w:rsidRPr="00A30FEF">
        <w:rPr>
          <w:b/>
          <w:bCs/>
        </w:rPr>
        <w:t xml:space="preserve"> directions, but to critically compare their strategic coherence, risk profile and alignment with Innocent’s differentiation positioning.</w:t>
      </w:r>
    </w:p>
    <w:p w14:paraId="3BFCDF1D" w14:textId="5841F738" w:rsidR="00F55955" w:rsidRPr="00A30FEF" w:rsidRDefault="00BA3540" w:rsidP="007F352E">
      <w:pPr>
        <w:rPr>
          <w:b/>
          <w:bCs/>
          <w:color w:val="D86DCB" w:themeColor="accent5" w:themeTint="99"/>
        </w:rPr>
      </w:pPr>
      <w:r w:rsidRPr="00A30FEF">
        <w:rPr>
          <w:b/>
          <w:bCs/>
          <w:color w:val="D86DCB" w:themeColor="accent5" w:themeTint="99"/>
        </w:rPr>
        <w:t xml:space="preserve">4.1 Option 1: Market </w:t>
      </w:r>
      <w:r w:rsidR="00E069BD" w:rsidRPr="00A30FEF">
        <w:rPr>
          <w:b/>
          <w:bCs/>
          <w:color w:val="D86DCB" w:themeColor="accent5" w:themeTint="99"/>
        </w:rPr>
        <w:t>Penetration</w:t>
      </w:r>
    </w:p>
    <w:p w14:paraId="6C24E2D4" w14:textId="6888573E" w:rsidR="00E67F43" w:rsidRPr="00A30FEF" w:rsidRDefault="00013F51" w:rsidP="007F352E">
      <w:pPr>
        <w:rPr>
          <w:b/>
          <w:bCs/>
          <w:color w:val="D86DCB" w:themeColor="accent5" w:themeTint="99"/>
        </w:rPr>
      </w:pPr>
      <w:r w:rsidRPr="00A30FEF">
        <w:rPr>
          <w:b/>
          <w:bCs/>
        </w:rPr>
        <w:t xml:space="preserve">Market </w:t>
      </w:r>
      <w:r w:rsidR="00E67F43" w:rsidRPr="00A30FEF">
        <w:rPr>
          <w:b/>
          <w:bCs/>
        </w:rPr>
        <w:t xml:space="preserve">penetration </w:t>
      </w:r>
      <w:r w:rsidR="003A191F" w:rsidRPr="00A30FEF">
        <w:rPr>
          <w:b/>
          <w:bCs/>
        </w:rPr>
        <w:t>involves</w:t>
      </w:r>
      <w:r w:rsidR="00E67F43" w:rsidRPr="00A30FEF">
        <w:rPr>
          <w:b/>
          <w:bCs/>
        </w:rPr>
        <w:t xml:space="preserve"> increasing market shares of existing UK and established European markets through more intense marketing efforts, pricing strategies, and distribution.</w:t>
      </w:r>
    </w:p>
    <w:p w14:paraId="5CB1CF34" w14:textId="49AF16B1" w:rsidR="00E67F43" w:rsidRPr="00A30FEF" w:rsidRDefault="00E67F43" w:rsidP="007F352E">
      <w:pPr>
        <w:rPr>
          <w:b/>
          <w:bCs/>
        </w:rPr>
      </w:pPr>
      <w:r w:rsidRPr="00A30FEF">
        <w:rPr>
          <w:b/>
          <w:bCs/>
        </w:rPr>
        <w:t>This option would pose the lowest level of risk according to Ansoff's matrix, as it is working with familiar markets and products. However, it is worth noting that the smoothie market is mature and highly competitive in the UK. More intense marketing efforts would likely prompt retaliatory pricing actions from competitors and private labels. According to Porter (1980), retaliatory pricing would lead to a decline in profitability for businesses operating in highly competitive and low switching cost environments.</w:t>
      </w:r>
    </w:p>
    <w:p w14:paraId="0CEB87A6" w14:textId="41D3E053" w:rsidR="001D6014" w:rsidRPr="00A30FEF" w:rsidRDefault="00E67F43" w:rsidP="007F352E">
      <w:pPr>
        <w:rPr>
          <w:b/>
          <w:bCs/>
        </w:rPr>
      </w:pPr>
      <w:r w:rsidRPr="00A30FEF">
        <w:rPr>
          <w:b/>
          <w:bCs/>
        </w:rPr>
        <w:t>Additionally, Innocent is a premium brand, and its market positioning would suggest limited scope for price reduction without compromising brand equity. Keller (2013) suggests that premium brands risk brand erosion over time if they engage in price-based competitive strategies that are not aligned with brand positioning.</w:t>
      </w:r>
      <w:r w:rsidR="00603E4B" w:rsidRPr="00A30FEF">
        <w:rPr>
          <w:b/>
          <w:bCs/>
        </w:rPr>
        <w:t xml:space="preserve"> </w:t>
      </w:r>
    </w:p>
    <w:p w14:paraId="6F0A716B" w14:textId="01F6FA8C" w:rsidR="00603E4B" w:rsidRPr="00A30FEF" w:rsidRDefault="00603E4B" w:rsidP="007F352E">
      <w:pPr>
        <w:rPr>
          <w:b/>
          <w:bCs/>
        </w:rPr>
      </w:pPr>
      <w:r w:rsidRPr="00A30FEF">
        <w:rPr>
          <w:b/>
          <w:bCs/>
        </w:rPr>
        <w:t>Strategic limitation: Market penetration strengthens volume but does not strengthen competitive advantage.</w:t>
      </w:r>
    </w:p>
    <w:p w14:paraId="03EF7EC6" w14:textId="379226FB" w:rsidR="002D610A" w:rsidRPr="00A30FEF" w:rsidRDefault="002D610A" w:rsidP="007F352E">
      <w:pPr>
        <w:rPr>
          <w:b/>
          <w:bCs/>
          <w:color w:val="D86DCB" w:themeColor="accent5" w:themeTint="99"/>
        </w:rPr>
      </w:pPr>
      <w:r w:rsidRPr="00A30FEF">
        <w:rPr>
          <w:b/>
          <w:bCs/>
          <w:color w:val="D86DCB" w:themeColor="accent5" w:themeTint="99"/>
        </w:rPr>
        <w:t>4.2 Option 2: Diversification</w:t>
      </w:r>
    </w:p>
    <w:p w14:paraId="45A58376" w14:textId="0B89B3A3" w:rsidR="00E036A6" w:rsidRPr="00A30FEF" w:rsidRDefault="00E036A6" w:rsidP="009B6F65">
      <w:pPr>
        <w:rPr>
          <w:b/>
          <w:bCs/>
        </w:rPr>
      </w:pPr>
      <w:r w:rsidRPr="00A30FEF">
        <w:rPr>
          <w:b/>
          <w:bCs/>
        </w:rPr>
        <w:t>Diversification involves entering new product categories beyond smoothies and juices, such as functional supplements or adjacent food categories.</w:t>
      </w:r>
    </w:p>
    <w:p w14:paraId="79B1276C" w14:textId="77777777" w:rsidR="00E036A6" w:rsidRPr="00A30FEF" w:rsidRDefault="00E036A6" w:rsidP="007F352E">
      <w:pPr>
        <w:rPr>
          <w:b/>
          <w:bCs/>
        </w:rPr>
      </w:pPr>
      <w:r w:rsidRPr="00A30FEF">
        <w:rPr>
          <w:b/>
          <w:bCs/>
        </w:rPr>
        <w:t>While diversification may provide revenue expansion, it introduces higher strategic risk due to unfamiliar product domains. According to Johnson et al. (2020), unrelated diversification often suffers from capability overstretch and weak strategic fit.</w:t>
      </w:r>
    </w:p>
    <w:p w14:paraId="1C42471C" w14:textId="77777777" w:rsidR="00E036A6" w:rsidRPr="00A30FEF" w:rsidRDefault="00E036A6" w:rsidP="007F352E">
      <w:pPr>
        <w:rPr>
          <w:b/>
          <w:bCs/>
        </w:rPr>
      </w:pPr>
    </w:p>
    <w:p w14:paraId="094E66E5" w14:textId="36BC7C45" w:rsidR="00E036A6" w:rsidRPr="00A30FEF" w:rsidRDefault="00E036A6" w:rsidP="009B6F65">
      <w:pPr>
        <w:rPr>
          <w:b/>
          <w:bCs/>
        </w:rPr>
      </w:pPr>
      <w:r w:rsidRPr="00A30FEF">
        <w:rPr>
          <w:b/>
          <w:bCs/>
        </w:rPr>
        <w:t xml:space="preserve">Innocent’s brand identity is closely tied to simplicity, natural ingredients and ethical storytelling. Expanding into highly processed or complex functional categories risks mission dilution and reduced authenticity. Prahalad and Hamel </w:t>
      </w:r>
      <w:r w:rsidRPr="00A30FEF">
        <w:rPr>
          <w:b/>
          <w:bCs/>
        </w:rPr>
        <w:lastRenderedPageBreak/>
        <w:t>(1990) argue that sustainable success derives from leveraging core competencies rather than dispersing strategic focus.</w:t>
      </w:r>
    </w:p>
    <w:p w14:paraId="5B0294F9" w14:textId="6C176F07" w:rsidR="00E67F43" w:rsidRPr="00A30FEF" w:rsidRDefault="00E036A6" w:rsidP="007F352E">
      <w:pPr>
        <w:rPr>
          <w:b/>
          <w:bCs/>
        </w:rPr>
      </w:pPr>
      <w:r w:rsidRPr="00A30FEF">
        <w:rPr>
          <w:b/>
          <w:bCs/>
        </w:rPr>
        <w:t>Strategic limitation: Diversification risks diluting core brand competence without guaranteeing structural advantage.</w:t>
      </w:r>
      <w:r w:rsidR="00281CF0" w:rsidRPr="00A30FEF">
        <w:rPr>
          <w:b/>
          <w:bCs/>
        </w:rPr>
        <w:t xml:space="preserve"> </w:t>
      </w:r>
    </w:p>
    <w:p w14:paraId="4FC12E3E" w14:textId="768659BB" w:rsidR="0084077B" w:rsidRPr="00A30FEF" w:rsidRDefault="0084077B" w:rsidP="007F352E">
      <w:pPr>
        <w:rPr>
          <w:b/>
          <w:bCs/>
          <w:color w:val="D86DCB" w:themeColor="accent5" w:themeTint="99"/>
        </w:rPr>
      </w:pPr>
      <w:r w:rsidRPr="00A30FEF">
        <w:rPr>
          <w:b/>
          <w:bCs/>
          <w:color w:val="D86DCB" w:themeColor="accent5" w:themeTint="99"/>
        </w:rPr>
        <w:t>4.3 Option 3: Product Development</w:t>
      </w:r>
      <w:r w:rsidR="00D81A34" w:rsidRPr="00A30FEF">
        <w:rPr>
          <w:b/>
          <w:bCs/>
          <w:color w:val="D86DCB" w:themeColor="accent5" w:themeTint="99"/>
        </w:rPr>
        <w:t xml:space="preserve"> </w:t>
      </w:r>
    </w:p>
    <w:p w14:paraId="1093C309" w14:textId="37DC7863" w:rsidR="009536B2" w:rsidRPr="00A30FEF" w:rsidRDefault="009536B2" w:rsidP="007F352E">
      <w:pPr>
        <w:rPr>
          <w:b/>
          <w:bCs/>
          <w:color w:val="000000" w:themeColor="text1"/>
        </w:rPr>
      </w:pPr>
      <w:r w:rsidRPr="00A30FEF">
        <w:rPr>
          <w:b/>
          <w:bCs/>
          <w:color w:val="000000" w:themeColor="text1"/>
        </w:rPr>
        <w:t>Product development involves introducing new beverage variants within existing markets, such as fortified or functional drinks.</w:t>
      </w:r>
    </w:p>
    <w:p w14:paraId="1E7F771F" w14:textId="2C9519C1" w:rsidR="009536B2" w:rsidRPr="00A30FEF" w:rsidRDefault="009536B2" w:rsidP="007F352E">
      <w:pPr>
        <w:rPr>
          <w:b/>
          <w:bCs/>
          <w:color w:val="000000" w:themeColor="text1"/>
        </w:rPr>
      </w:pPr>
      <w:r w:rsidRPr="00A30FEF">
        <w:rPr>
          <w:b/>
          <w:bCs/>
          <w:color w:val="000000" w:themeColor="text1"/>
        </w:rPr>
        <w:t>This strategy aligns with growing health awareness trends. However, functional claims introduce increased regulatory scrutiny and reputational risk. Additionally, the functional beverage segment is already crowded, intensifying rivalry.</w:t>
      </w:r>
    </w:p>
    <w:p w14:paraId="58F9F0E4" w14:textId="0905027B" w:rsidR="009536B2" w:rsidRPr="00A30FEF" w:rsidRDefault="009536B2" w:rsidP="007F352E">
      <w:pPr>
        <w:rPr>
          <w:b/>
          <w:bCs/>
          <w:color w:val="000000" w:themeColor="text1"/>
        </w:rPr>
      </w:pPr>
      <w:r w:rsidRPr="00A30FEF">
        <w:rPr>
          <w:b/>
          <w:bCs/>
          <w:color w:val="000000" w:themeColor="text1"/>
        </w:rPr>
        <w:t xml:space="preserve">From a </w:t>
      </w:r>
      <w:r w:rsidR="007E5E78" w:rsidRPr="00A30FEF">
        <w:rPr>
          <w:b/>
          <w:bCs/>
          <w:color w:val="000000" w:themeColor="text1"/>
        </w:rPr>
        <w:t>Potterian</w:t>
      </w:r>
      <w:r w:rsidRPr="00A30FEF">
        <w:rPr>
          <w:b/>
          <w:bCs/>
          <w:color w:val="000000" w:themeColor="text1"/>
        </w:rPr>
        <w:t xml:space="preserve"> perspective, product development without structural differentiation risks incremental competition rather than transformative advantage.</w:t>
      </w:r>
    </w:p>
    <w:p w14:paraId="64BABF00" w14:textId="079B4BF9" w:rsidR="009536B2" w:rsidRPr="00A30FEF" w:rsidRDefault="009536B2" w:rsidP="007F352E">
      <w:pPr>
        <w:rPr>
          <w:b/>
          <w:bCs/>
          <w:color w:val="000000" w:themeColor="text1"/>
        </w:rPr>
      </w:pPr>
      <w:r w:rsidRPr="00A30FEF">
        <w:rPr>
          <w:b/>
          <w:bCs/>
          <w:color w:val="000000" w:themeColor="text1"/>
        </w:rPr>
        <w:t>Strategic limitation: While feasible, product development alone does not create strong entry barriers.</w:t>
      </w:r>
    </w:p>
    <w:p w14:paraId="5C4C663E" w14:textId="397F5BB8" w:rsidR="007E5E78" w:rsidRPr="00A30FEF" w:rsidRDefault="007E5E78" w:rsidP="007F352E">
      <w:pPr>
        <w:rPr>
          <w:b/>
          <w:bCs/>
          <w:color w:val="D86DCB" w:themeColor="accent5" w:themeTint="99"/>
        </w:rPr>
      </w:pPr>
      <w:r w:rsidRPr="00A30FEF">
        <w:rPr>
          <w:b/>
          <w:bCs/>
          <w:color w:val="D86DCB" w:themeColor="accent5" w:themeTint="99"/>
        </w:rPr>
        <w:t>4.4 Option 4: Market Development Combined with Sustainable Innovation</w:t>
      </w:r>
    </w:p>
    <w:p w14:paraId="390E6288" w14:textId="79B74382" w:rsidR="009456F8" w:rsidRPr="00A30FEF" w:rsidRDefault="009456F8" w:rsidP="0093078D">
      <w:pPr>
        <w:rPr>
          <w:b/>
          <w:bCs/>
          <w:color w:val="000000" w:themeColor="text1"/>
        </w:rPr>
      </w:pPr>
      <w:r w:rsidRPr="00A30FEF">
        <w:rPr>
          <w:b/>
          <w:bCs/>
          <w:color w:val="000000" w:themeColor="text1"/>
        </w:rPr>
        <w:t>This strategy involves entering some high-growth urban markets in Europe, together with investing in circular packaging innovation and carbon-neutral production methods.</w:t>
      </w:r>
    </w:p>
    <w:p w14:paraId="6ACC835F" w14:textId="08894484" w:rsidR="009456F8" w:rsidRPr="00A30FEF" w:rsidRDefault="009456F8" w:rsidP="0093078D">
      <w:pPr>
        <w:rPr>
          <w:b/>
          <w:bCs/>
          <w:color w:val="000000" w:themeColor="text1"/>
        </w:rPr>
      </w:pPr>
      <w:r w:rsidRPr="00A30FEF">
        <w:rPr>
          <w:b/>
          <w:bCs/>
          <w:color w:val="000000" w:themeColor="text1"/>
        </w:rPr>
        <w:t>This option draws on some market development and product development aspects of the Ansoff Matrix but is still strategically relevant because the sustainability innovation complements the existing value proposition.</w:t>
      </w:r>
    </w:p>
    <w:p w14:paraId="1AB06B9B" w14:textId="054A8988" w:rsidR="00674BE8" w:rsidRPr="00A30FEF" w:rsidRDefault="009456F8" w:rsidP="0093078D">
      <w:pPr>
        <w:rPr>
          <w:b/>
          <w:bCs/>
          <w:color w:val="000000" w:themeColor="text1"/>
        </w:rPr>
      </w:pPr>
      <w:r w:rsidRPr="00A30FEF">
        <w:rPr>
          <w:b/>
          <w:bCs/>
          <w:color w:val="000000" w:themeColor="text1"/>
        </w:rPr>
        <w:t>Applying Porter’s theory of Generic Competitive Strategies (1985), this strategy entails focused differentiation because, instead of competing in all markets, Innocent can compete in the urban market with high sustainability standards.</w:t>
      </w:r>
    </w:p>
    <w:p w14:paraId="59753850" w14:textId="0FA442AD" w:rsidR="00674BE8" w:rsidRPr="00A30FEF" w:rsidRDefault="009456F8" w:rsidP="0093078D">
      <w:pPr>
        <w:rPr>
          <w:b/>
          <w:bCs/>
          <w:color w:val="000000" w:themeColor="text1"/>
        </w:rPr>
      </w:pPr>
      <w:r w:rsidRPr="00A30FEF">
        <w:rPr>
          <w:b/>
          <w:bCs/>
          <w:color w:val="000000" w:themeColor="text1"/>
        </w:rPr>
        <w:t>According to Porter and Kramer (2011), firms achieve sustainable competitive advantage by aligning societal value creation with economic success. Circular packaging innovation not only ensures regulatory compliance but may also create reputational capital and brand insulation.</w:t>
      </w:r>
    </w:p>
    <w:p w14:paraId="35230585" w14:textId="0BD160CB" w:rsidR="00674BE8" w:rsidRPr="00A30FEF" w:rsidRDefault="009456F8" w:rsidP="0093078D">
      <w:pPr>
        <w:rPr>
          <w:b/>
          <w:bCs/>
          <w:color w:val="000000" w:themeColor="text1"/>
        </w:rPr>
      </w:pPr>
      <w:r w:rsidRPr="00A30FEF">
        <w:rPr>
          <w:b/>
          <w:bCs/>
          <w:color w:val="000000" w:themeColor="text1"/>
        </w:rPr>
        <w:t>From the perspective of the Resource-Based View (RBV) theory (Barney, 1991), sustainability infrastructure and strong supplier relationships may become inimitable strategic assets if embedded organisationally.</w:t>
      </w:r>
    </w:p>
    <w:p w14:paraId="087BAE3F" w14:textId="5E15C988" w:rsidR="00EA1A49" w:rsidRPr="00A30FEF" w:rsidRDefault="002412E7" w:rsidP="007F352E">
      <w:pPr>
        <w:rPr>
          <w:b/>
          <w:bCs/>
          <w:color w:val="000000" w:themeColor="text1"/>
        </w:rPr>
      </w:pPr>
      <w:r w:rsidRPr="00A30FEF">
        <w:rPr>
          <w:b/>
          <w:bCs/>
          <w:color w:val="000000" w:themeColor="text1"/>
        </w:rPr>
        <w:t>Moreover, Teece (2018) highlights that dynamic capabilities enabling firms to sense, seize and reconfigure in response to environmental change determine long-</w:t>
      </w:r>
      <w:r w:rsidRPr="00A30FEF">
        <w:rPr>
          <w:b/>
          <w:bCs/>
          <w:color w:val="000000" w:themeColor="text1"/>
        </w:rPr>
        <w:lastRenderedPageBreak/>
        <w:t>term performance. Investing in circular packaging and carbon reduction builds adaptive capacity rather than short-term volume growth.</w:t>
      </w:r>
    </w:p>
    <w:p w14:paraId="3A2A93D0" w14:textId="77777777" w:rsidR="00694A18" w:rsidRPr="00A30FEF" w:rsidRDefault="00694A18" w:rsidP="007F352E">
      <w:pPr>
        <w:rPr>
          <w:b/>
          <w:bCs/>
          <w:color w:val="000000" w:themeColor="text1"/>
        </w:rPr>
      </w:pPr>
    </w:p>
    <w:p w14:paraId="06E429E4" w14:textId="17D2033C" w:rsidR="00EA1A49" w:rsidRPr="0093078D" w:rsidRDefault="00CE52F3" w:rsidP="0093078D">
      <w:pPr>
        <w:rPr>
          <w:b/>
          <w:bCs/>
          <w:color w:val="D86DCB" w:themeColor="accent5" w:themeTint="99"/>
        </w:rPr>
      </w:pPr>
      <w:r w:rsidRPr="00A30FEF">
        <w:rPr>
          <w:b/>
          <w:bCs/>
          <w:color w:val="D86DCB" w:themeColor="accent5" w:themeTint="99"/>
        </w:rPr>
        <w:t>4.5 Comparative Strategic Evaluation</w:t>
      </w:r>
    </w:p>
    <w:p w14:paraId="457B15AB" w14:textId="28A0E2E4" w:rsidR="00C602D3" w:rsidRPr="00A30FEF" w:rsidRDefault="00C602D3" w:rsidP="007F352E">
      <w:pPr>
        <w:rPr>
          <w:b/>
          <w:bCs/>
          <w:color w:val="000000" w:themeColor="text1"/>
        </w:rPr>
      </w:pPr>
      <w:r w:rsidRPr="00A30FEF">
        <w:rPr>
          <w:b/>
          <w:bCs/>
          <w:color w:val="000000" w:themeColor="text1"/>
        </w:rPr>
        <w:t>When comparing options across three dimensions — strategic coherence, risk profile and long-term competitive advantage — clear differences emerge:</w:t>
      </w:r>
    </w:p>
    <w:p w14:paraId="40E758D4" w14:textId="77777777" w:rsidR="00C602D3" w:rsidRPr="00A30FEF" w:rsidRDefault="00C602D3" w:rsidP="007F352E">
      <w:pPr>
        <w:rPr>
          <w:b/>
          <w:bCs/>
          <w:color w:val="000000" w:themeColor="text1"/>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80"/>
        <w:gridCol w:w="1672"/>
        <w:gridCol w:w="1175"/>
        <w:gridCol w:w="3668"/>
      </w:tblGrid>
      <w:tr w:rsidR="00AE3204" w:rsidRPr="00A30FEF" w14:paraId="2E70DC20" w14:textId="77777777" w:rsidTr="001F799C">
        <w:trPr>
          <w:tblHeader/>
          <w:tblCellSpacing w:w="15" w:type="dxa"/>
        </w:trPr>
        <w:tc>
          <w:tcPr>
            <w:tcW w:w="0" w:type="auto"/>
            <w:vAlign w:val="center"/>
            <w:hideMark/>
          </w:tcPr>
          <w:p w14:paraId="1265E5FA" w14:textId="77777777" w:rsidR="00AE3204" w:rsidRPr="00A30FEF" w:rsidRDefault="00AE3204" w:rsidP="007F352E">
            <w:pPr>
              <w:rPr>
                <w:b/>
                <w:bCs/>
                <w:color w:val="000000" w:themeColor="text1"/>
              </w:rPr>
            </w:pPr>
            <w:r w:rsidRPr="00A30FEF">
              <w:rPr>
                <w:b/>
                <w:bCs/>
                <w:color w:val="000000" w:themeColor="text1"/>
              </w:rPr>
              <w:t>Option</w:t>
            </w:r>
          </w:p>
        </w:tc>
        <w:tc>
          <w:tcPr>
            <w:tcW w:w="0" w:type="auto"/>
            <w:vAlign w:val="center"/>
            <w:hideMark/>
          </w:tcPr>
          <w:p w14:paraId="6A346FF9" w14:textId="77777777" w:rsidR="00AE3204" w:rsidRPr="00A30FEF" w:rsidRDefault="00AE3204" w:rsidP="007F352E">
            <w:pPr>
              <w:rPr>
                <w:b/>
                <w:bCs/>
                <w:color w:val="000000" w:themeColor="text1"/>
              </w:rPr>
            </w:pPr>
            <w:r w:rsidRPr="00A30FEF">
              <w:rPr>
                <w:b/>
                <w:bCs/>
                <w:color w:val="000000" w:themeColor="text1"/>
              </w:rPr>
              <w:t>Strategic Fit</w:t>
            </w:r>
          </w:p>
        </w:tc>
        <w:tc>
          <w:tcPr>
            <w:tcW w:w="0" w:type="auto"/>
            <w:vAlign w:val="center"/>
            <w:hideMark/>
          </w:tcPr>
          <w:p w14:paraId="78B8A096" w14:textId="77777777" w:rsidR="00AE3204" w:rsidRPr="00A30FEF" w:rsidRDefault="00AE3204" w:rsidP="007F352E">
            <w:pPr>
              <w:rPr>
                <w:b/>
                <w:bCs/>
                <w:color w:val="000000" w:themeColor="text1"/>
              </w:rPr>
            </w:pPr>
            <w:r w:rsidRPr="00A30FEF">
              <w:rPr>
                <w:b/>
                <w:bCs/>
                <w:color w:val="000000" w:themeColor="text1"/>
              </w:rPr>
              <w:t>Risk Level</w:t>
            </w:r>
          </w:p>
        </w:tc>
        <w:tc>
          <w:tcPr>
            <w:tcW w:w="0" w:type="auto"/>
            <w:vAlign w:val="center"/>
            <w:hideMark/>
          </w:tcPr>
          <w:p w14:paraId="5DF5815E" w14:textId="77777777" w:rsidR="00AE3204" w:rsidRPr="00A30FEF" w:rsidRDefault="00AE3204" w:rsidP="007F352E">
            <w:pPr>
              <w:rPr>
                <w:b/>
                <w:bCs/>
                <w:color w:val="000000" w:themeColor="text1"/>
              </w:rPr>
            </w:pPr>
            <w:r w:rsidRPr="00A30FEF">
              <w:rPr>
                <w:b/>
                <w:bCs/>
                <w:color w:val="000000" w:themeColor="text1"/>
              </w:rPr>
              <w:t>Competitive Advantage Potential</w:t>
            </w:r>
          </w:p>
        </w:tc>
      </w:tr>
      <w:tr w:rsidR="00AE3204" w:rsidRPr="00A30FEF" w14:paraId="64001211" w14:textId="77777777" w:rsidTr="001F799C">
        <w:trPr>
          <w:tblCellSpacing w:w="15" w:type="dxa"/>
        </w:trPr>
        <w:tc>
          <w:tcPr>
            <w:tcW w:w="0" w:type="auto"/>
            <w:vAlign w:val="center"/>
            <w:hideMark/>
          </w:tcPr>
          <w:p w14:paraId="3AB97D75" w14:textId="77777777" w:rsidR="00AE3204" w:rsidRPr="00A30FEF" w:rsidRDefault="00AE3204" w:rsidP="007F352E">
            <w:pPr>
              <w:rPr>
                <w:b/>
                <w:bCs/>
                <w:color w:val="000000" w:themeColor="text1"/>
              </w:rPr>
            </w:pPr>
            <w:r w:rsidRPr="00A30FEF">
              <w:rPr>
                <w:b/>
                <w:bCs/>
                <w:color w:val="000000" w:themeColor="text1"/>
              </w:rPr>
              <w:t>Market Penetration</w:t>
            </w:r>
          </w:p>
        </w:tc>
        <w:tc>
          <w:tcPr>
            <w:tcW w:w="0" w:type="auto"/>
            <w:vAlign w:val="center"/>
            <w:hideMark/>
          </w:tcPr>
          <w:p w14:paraId="790ED66E" w14:textId="77777777" w:rsidR="00AE3204" w:rsidRPr="00A30FEF" w:rsidRDefault="00AE3204" w:rsidP="007F352E">
            <w:pPr>
              <w:rPr>
                <w:b/>
                <w:bCs/>
                <w:color w:val="000000" w:themeColor="text1"/>
              </w:rPr>
            </w:pPr>
            <w:r w:rsidRPr="00A30FEF">
              <w:rPr>
                <w:b/>
                <w:bCs/>
                <w:color w:val="000000" w:themeColor="text1"/>
              </w:rPr>
              <w:t>Moderate</w:t>
            </w:r>
          </w:p>
        </w:tc>
        <w:tc>
          <w:tcPr>
            <w:tcW w:w="0" w:type="auto"/>
            <w:vAlign w:val="center"/>
            <w:hideMark/>
          </w:tcPr>
          <w:p w14:paraId="49452D80" w14:textId="77777777" w:rsidR="00AE3204" w:rsidRPr="00A30FEF" w:rsidRDefault="00AE3204" w:rsidP="007F352E">
            <w:pPr>
              <w:rPr>
                <w:b/>
                <w:bCs/>
                <w:color w:val="000000" w:themeColor="text1"/>
              </w:rPr>
            </w:pPr>
            <w:r w:rsidRPr="00A30FEF">
              <w:rPr>
                <w:b/>
                <w:bCs/>
                <w:color w:val="000000" w:themeColor="text1"/>
              </w:rPr>
              <w:t>Low</w:t>
            </w:r>
          </w:p>
        </w:tc>
        <w:tc>
          <w:tcPr>
            <w:tcW w:w="0" w:type="auto"/>
            <w:vAlign w:val="center"/>
            <w:hideMark/>
          </w:tcPr>
          <w:p w14:paraId="7DEF64EF" w14:textId="77777777" w:rsidR="00AE3204" w:rsidRPr="00A30FEF" w:rsidRDefault="00AE3204" w:rsidP="007F352E">
            <w:pPr>
              <w:rPr>
                <w:b/>
                <w:bCs/>
                <w:color w:val="000000" w:themeColor="text1"/>
              </w:rPr>
            </w:pPr>
            <w:r w:rsidRPr="00A30FEF">
              <w:rPr>
                <w:b/>
                <w:bCs/>
                <w:color w:val="000000" w:themeColor="text1"/>
              </w:rPr>
              <w:t>Weak</w:t>
            </w:r>
          </w:p>
        </w:tc>
      </w:tr>
      <w:tr w:rsidR="00AE3204" w:rsidRPr="00A30FEF" w14:paraId="5B2FC3AC" w14:textId="77777777" w:rsidTr="001F799C">
        <w:trPr>
          <w:tblCellSpacing w:w="15" w:type="dxa"/>
        </w:trPr>
        <w:tc>
          <w:tcPr>
            <w:tcW w:w="0" w:type="auto"/>
            <w:vAlign w:val="center"/>
            <w:hideMark/>
          </w:tcPr>
          <w:p w14:paraId="71C21015" w14:textId="77777777" w:rsidR="00AE3204" w:rsidRPr="00A30FEF" w:rsidRDefault="00AE3204" w:rsidP="007F352E">
            <w:pPr>
              <w:rPr>
                <w:b/>
                <w:bCs/>
                <w:color w:val="000000" w:themeColor="text1"/>
              </w:rPr>
            </w:pPr>
            <w:r w:rsidRPr="00A30FEF">
              <w:rPr>
                <w:b/>
                <w:bCs/>
                <w:color w:val="000000" w:themeColor="text1"/>
              </w:rPr>
              <w:t>Diversification</w:t>
            </w:r>
          </w:p>
        </w:tc>
        <w:tc>
          <w:tcPr>
            <w:tcW w:w="0" w:type="auto"/>
            <w:vAlign w:val="center"/>
            <w:hideMark/>
          </w:tcPr>
          <w:p w14:paraId="3CEFE3C6" w14:textId="77777777" w:rsidR="00AE3204" w:rsidRPr="00A30FEF" w:rsidRDefault="00AE3204" w:rsidP="007F352E">
            <w:pPr>
              <w:rPr>
                <w:b/>
                <w:bCs/>
                <w:color w:val="000000" w:themeColor="text1"/>
              </w:rPr>
            </w:pPr>
            <w:r w:rsidRPr="00A30FEF">
              <w:rPr>
                <w:b/>
                <w:bCs/>
                <w:color w:val="000000" w:themeColor="text1"/>
              </w:rPr>
              <w:t>Low–Moderate</w:t>
            </w:r>
          </w:p>
        </w:tc>
        <w:tc>
          <w:tcPr>
            <w:tcW w:w="0" w:type="auto"/>
            <w:vAlign w:val="center"/>
            <w:hideMark/>
          </w:tcPr>
          <w:p w14:paraId="5A01FD5E" w14:textId="77777777" w:rsidR="00AE3204" w:rsidRPr="00A30FEF" w:rsidRDefault="00AE3204" w:rsidP="007F352E">
            <w:pPr>
              <w:rPr>
                <w:b/>
                <w:bCs/>
                <w:color w:val="000000" w:themeColor="text1"/>
              </w:rPr>
            </w:pPr>
            <w:r w:rsidRPr="00A30FEF">
              <w:rPr>
                <w:b/>
                <w:bCs/>
                <w:color w:val="000000" w:themeColor="text1"/>
              </w:rPr>
              <w:t>High</w:t>
            </w:r>
          </w:p>
        </w:tc>
        <w:tc>
          <w:tcPr>
            <w:tcW w:w="0" w:type="auto"/>
            <w:vAlign w:val="center"/>
            <w:hideMark/>
          </w:tcPr>
          <w:p w14:paraId="1961E235" w14:textId="77777777" w:rsidR="00AE3204" w:rsidRPr="00A30FEF" w:rsidRDefault="00AE3204" w:rsidP="007F352E">
            <w:pPr>
              <w:rPr>
                <w:b/>
                <w:bCs/>
                <w:color w:val="000000" w:themeColor="text1"/>
              </w:rPr>
            </w:pPr>
            <w:r w:rsidRPr="00A30FEF">
              <w:rPr>
                <w:b/>
                <w:bCs/>
                <w:color w:val="000000" w:themeColor="text1"/>
              </w:rPr>
              <w:t>Uncertain</w:t>
            </w:r>
          </w:p>
        </w:tc>
      </w:tr>
      <w:tr w:rsidR="00AE3204" w:rsidRPr="00A30FEF" w14:paraId="21181BF4" w14:textId="77777777" w:rsidTr="001F799C">
        <w:trPr>
          <w:tblCellSpacing w:w="15" w:type="dxa"/>
        </w:trPr>
        <w:tc>
          <w:tcPr>
            <w:tcW w:w="0" w:type="auto"/>
            <w:vAlign w:val="center"/>
            <w:hideMark/>
          </w:tcPr>
          <w:p w14:paraId="52729512" w14:textId="77777777" w:rsidR="00AE3204" w:rsidRPr="00A30FEF" w:rsidRDefault="00AE3204" w:rsidP="007F352E">
            <w:pPr>
              <w:rPr>
                <w:b/>
                <w:bCs/>
                <w:color w:val="000000" w:themeColor="text1"/>
              </w:rPr>
            </w:pPr>
            <w:r w:rsidRPr="00A30FEF">
              <w:rPr>
                <w:b/>
                <w:bCs/>
                <w:color w:val="000000" w:themeColor="text1"/>
              </w:rPr>
              <w:t>Product Development</w:t>
            </w:r>
          </w:p>
        </w:tc>
        <w:tc>
          <w:tcPr>
            <w:tcW w:w="0" w:type="auto"/>
            <w:vAlign w:val="center"/>
            <w:hideMark/>
          </w:tcPr>
          <w:p w14:paraId="10CDA97C" w14:textId="77777777" w:rsidR="00AE3204" w:rsidRPr="00A30FEF" w:rsidRDefault="00AE3204" w:rsidP="007F352E">
            <w:pPr>
              <w:rPr>
                <w:b/>
                <w:bCs/>
                <w:color w:val="000000" w:themeColor="text1"/>
              </w:rPr>
            </w:pPr>
            <w:r w:rsidRPr="00A30FEF">
              <w:rPr>
                <w:b/>
                <w:bCs/>
                <w:color w:val="000000" w:themeColor="text1"/>
              </w:rPr>
              <w:t>Moderate</w:t>
            </w:r>
          </w:p>
        </w:tc>
        <w:tc>
          <w:tcPr>
            <w:tcW w:w="0" w:type="auto"/>
            <w:vAlign w:val="center"/>
            <w:hideMark/>
          </w:tcPr>
          <w:p w14:paraId="3CEBBAA3" w14:textId="77777777" w:rsidR="00AE3204" w:rsidRPr="00A30FEF" w:rsidRDefault="00AE3204" w:rsidP="007F352E">
            <w:pPr>
              <w:rPr>
                <w:b/>
                <w:bCs/>
                <w:color w:val="000000" w:themeColor="text1"/>
              </w:rPr>
            </w:pPr>
            <w:r w:rsidRPr="00A30FEF">
              <w:rPr>
                <w:b/>
                <w:bCs/>
                <w:color w:val="000000" w:themeColor="text1"/>
              </w:rPr>
              <w:t>Moderate</w:t>
            </w:r>
          </w:p>
        </w:tc>
        <w:tc>
          <w:tcPr>
            <w:tcW w:w="0" w:type="auto"/>
            <w:vAlign w:val="center"/>
            <w:hideMark/>
          </w:tcPr>
          <w:p w14:paraId="3A63C8B8" w14:textId="77777777" w:rsidR="00AE3204" w:rsidRPr="00A30FEF" w:rsidRDefault="00AE3204" w:rsidP="007F352E">
            <w:pPr>
              <w:rPr>
                <w:b/>
                <w:bCs/>
                <w:color w:val="000000" w:themeColor="text1"/>
              </w:rPr>
            </w:pPr>
            <w:r w:rsidRPr="00A30FEF">
              <w:rPr>
                <w:b/>
                <w:bCs/>
                <w:color w:val="000000" w:themeColor="text1"/>
              </w:rPr>
              <w:t>Limited</w:t>
            </w:r>
          </w:p>
        </w:tc>
      </w:tr>
    </w:tbl>
    <w:p w14:paraId="7829F073" w14:textId="7EEFCA8C" w:rsidR="00EA1A49" w:rsidRPr="00A30FEF" w:rsidRDefault="00CD0495" w:rsidP="007F352E">
      <w:pPr>
        <w:rPr>
          <w:b/>
          <w:bCs/>
          <w:color w:val="000000" w:themeColor="text1"/>
        </w:rPr>
      </w:pPr>
      <w:r w:rsidRPr="00A30FEF">
        <w:rPr>
          <w:b/>
          <w:bCs/>
          <w:color w:val="000000" w:themeColor="text1"/>
        </w:rPr>
        <w:t xml:space="preserve"> </w:t>
      </w:r>
    </w:p>
    <w:p w14:paraId="67A6FC4A" w14:textId="20F11617" w:rsidR="00CD0495" w:rsidRPr="00A30FEF" w:rsidRDefault="00C27E74" w:rsidP="007F352E">
      <w:pPr>
        <w:rPr>
          <w:b/>
          <w:bCs/>
          <w:color w:val="000000" w:themeColor="text1"/>
        </w:rPr>
      </w:pPr>
      <w:r w:rsidRPr="00A30FEF">
        <w:rPr>
          <w:b/>
          <w:bCs/>
          <w:color w:val="000000" w:themeColor="text1"/>
        </w:rPr>
        <w:t>The recommended strategy offers higher initial investment risk but stronger structural advantage. Unlike market penetration, it strengthens differentiation. Unlike diversification, it maintains brand coherence. Unlike incremental product development, it builds capability-based barriers to imitation.</w:t>
      </w:r>
    </w:p>
    <w:p w14:paraId="5ADADD7D" w14:textId="77777777" w:rsidR="00C27E74" w:rsidRPr="00A30FEF" w:rsidRDefault="00C27E74" w:rsidP="007F352E">
      <w:pPr>
        <w:rPr>
          <w:b/>
          <w:bCs/>
          <w:color w:val="000000" w:themeColor="text1"/>
        </w:rPr>
      </w:pPr>
    </w:p>
    <w:p w14:paraId="73497372" w14:textId="1ED21456" w:rsidR="00C27E74" w:rsidRPr="00A30FEF" w:rsidRDefault="00C27E74" w:rsidP="007F352E">
      <w:pPr>
        <w:rPr>
          <w:b/>
          <w:bCs/>
          <w:color w:val="D86DCB" w:themeColor="accent5" w:themeTint="99"/>
        </w:rPr>
      </w:pPr>
      <w:r w:rsidRPr="00A30FEF">
        <w:rPr>
          <w:b/>
          <w:bCs/>
          <w:color w:val="D86DCB" w:themeColor="accent5" w:themeTint="99"/>
        </w:rPr>
        <w:t>4.6 Proposed Strategic Direction</w:t>
      </w:r>
    </w:p>
    <w:p w14:paraId="3B499681" w14:textId="515B3AF6" w:rsidR="008A3F49" w:rsidRPr="00A30FEF" w:rsidRDefault="008A3F49" w:rsidP="007F352E">
      <w:pPr>
        <w:rPr>
          <w:b/>
          <w:bCs/>
          <w:color w:val="000000" w:themeColor="text1"/>
        </w:rPr>
      </w:pPr>
      <w:r w:rsidRPr="00A30FEF">
        <w:rPr>
          <w:b/>
          <w:bCs/>
          <w:color w:val="000000" w:themeColor="text1"/>
        </w:rPr>
        <w:t>The recommended strategy is therefore:</w:t>
      </w:r>
    </w:p>
    <w:p w14:paraId="1EED22B3" w14:textId="111FB5FF" w:rsidR="00BD3039" w:rsidRPr="00A30FEF" w:rsidRDefault="008A3F49" w:rsidP="007F352E">
      <w:pPr>
        <w:rPr>
          <w:b/>
          <w:bCs/>
          <w:color w:val="D86DCB" w:themeColor="accent5" w:themeTint="99"/>
        </w:rPr>
      </w:pPr>
      <w:r w:rsidRPr="00A30FEF">
        <w:rPr>
          <w:b/>
          <w:bCs/>
          <w:color w:val="000000" w:themeColor="text1"/>
        </w:rPr>
        <w:t>A focused differentiation strategy centred on circular packaging leadership and selective European market development</w:t>
      </w:r>
      <w:r w:rsidRPr="00A30FEF">
        <w:rPr>
          <w:b/>
          <w:bCs/>
          <w:color w:val="D86DCB" w:themeColor="accent5" w:themeTint="99"/>
        </w:rPr>
        <w:t>.</w:t>
      </w:r>
    </w:p>
    <w:p w14:paraId="74524262" w14:textId="77777777" w:rsidR="007444EB" w:rsidRPr="00A30FEF" w:rsidRDefault="007444EB" w:rsidP="007F352E">
      <w:pPr>
        <w:rPr>
          <w:b/>
          <w:bCs/>
          <w:color w:val="D86DCB" w:themeColor="accent5" w:themeTint="99"/>
        </w:rPr>
      </w:pPr>
    </w:p>
    <w:p w14:paraId="49BF0ECE" w14:textId="57664A8D" w:rsidR="007444EB" w:rsidRPr="00A30FEF" w:rsidRDefault="007444EB" w:rsidP="00F574AA">
      <w:pPr>
        <w:rPr>
          <w:b/>
          <w:bCs/>
          <w:color w:val="000000" w:themeColor="text1"/>
        </w:rPr>
      </w:pPr>
      <w:r w:rsidRPr="00A30FEF">
        <w:rPr>
          <w:b/>
          <w:bCs/>
          <w:color w:val="000000" w:themeColor="text1"/>
        </w:rPr>
        <w:t>This strategy will:</w:t>
      </w:r>
    </w:p>
    <w:p w14:paraId="41A7C8FB" w14:textId="77777777" w:rsidR="007444EB" w:rsidRPr="00F574AA" w:rsidRDefault="007444EB" w:rsidP="007F352E">
      <w:pPr>
        <w:rPr>
          <w:b/>
          <w:bCs/>
          <w:color w:val="0F4761" w:themeColor="accent1" w:themeShade="BF"/>
        </w:rPr>
      </w:pPr>
      <w:r w:rsidRPr="00F574AA">
        <w:rPr>
          <w:b/>
          <w:bCs/>
          <w:color w:val="0F4761" w:themeColor="accent1" w:themeShade="BF"/>
        </w:rPr>
        <w:t>* Reinforce Innocent’s sustainability credibility</w:t>
      </w:r>
    </w:p>
    <w:p w14:paraId="5CD61E59" w14:textId="77777777" w:rsidR="007444EB" w:rsidRPr="00F574AA" w:rsidRDefault="007444EB" w:rsidP="007F352E">
      <w:pPr>
        <w:rPr>
          <w:b/>
          <w:bCs/>
          <w:color w:val="0F4761" w:themeColor="accent1" w:themeShade="BF"/>
        </w:rPr>
      </w:pPr>
      <w:r w:rsidRPr="00F574AA">
        <w:rPr>
          <w:b/>
          <w:bCs/>
          <w:color w:val="0F4761" w:themeColor="accent1" w:themeShade="BF"/>
        </w:rPr>
        <w:t>* Address regulatory and environmental pressures proactively</w:t>
      </w:r>
    </w:p>
    <w:p w14:paraId="1D571C05" w14:textId="77777777" w:rsidR="007444EB" w:rsidRPr="00F574AA" w:rsidRDefault="007444EB" w:rsidP="007F352E">
      <w:pPr>
        <w:rPr>
          <w:b/>
          <w:bCs/>
          <w:color w:val="0F4761" w:themeColor="accent1" w:themeShade="BF"/>
        </w:rPr>
      </w:pPr>
      <w:r w:rsidRPr="00F574AA">
        <w:rPr>
          <w:b/>
          <w:bCs/>
          <w:color w:val="0F4761" w:themeColor="accent1" w:themeShade="BF"/>
        </w:rPr>
        <w:t>* Build dynamic capabilities</w:t>
      </w:r>
    </w:p>
    <w:p w14:paraId="31DA9D92" w14:textId="77777777" w:rsidR="007444EB" w:rsidRPr="00F574AA" w:rsidRDefault="007444EB" w:rsidP="007F352E">
      <w:pPr>
        <w:rPr>
          <w:b/>
          <w:bCs/>
          <w:color w:val="0F4761" w:themeColor="accent1" w:themeShade="BF"/>
        </w:rPr>
      </w:pPr>
      <w:r w:rsidRPr="00F574AA">
        <w:rPr>
          <w:b/>
          <w:bCs/>
          <w:color w:val="0F4761" w:themeColor="accent1" w:themeShade="BF"/>
        </w:rPr>
        <w:t>* Strengthen long-term brand legitimacy</w:t>
      </w:r>
    </w:p>
    <w:p w14:paraId="6ED5C3D3" w14:textId="77777777" w:rsidR="00361875" w:rsidRDefault="007444EB" w:rsidP="00664762">
      <w:pPr>
        <w:rPr>
          <w:b/>
          <w:bCs/>
          <w:color w:val="0F4761" w:themeColor="accent1" w:themeShade="BF"/>
        </w:rPr>
      </w:pPr>
      <w:r w:rsidRPr="00F574AA">
        <w:rPr>
          <w:b/>
          <w:bCs/>
          <w:color w:val="0F4761" w:themeColor="accent1" w:themeShade="BF"/>
        </w:rPr>
        <w:t>* Support premium pricing justification</w:t>
      </w:r>
      <w:r w:rsidR="00664762">
        <w:rPr>
          <w:b/>
          <w:bCs/>
          <w:color w:val="0F4761" w:themeColor="accent1" w:themeShade="BF"/>
        </w:rPr>
        <w:t xml:space="preserve">  </w:t>
      </w:r>
    </w:p>
    <w:p w14:paraId="5B93B0A4" w14:textId="788058A6" w:rsidR="00401AF2" w:rsidRPr="00664762" w:rsidRDefault="007444EB" w:rsidP="00664762">
      <w:pPr>
        <w:rPr>
          <w:b/>
          <w:bCs/>
          <w:color w:val="0F4761" w:themeColor="accent1" w:themeShade="BF"/>
        </w:rPr>
      </w:pPr>
      <w:r w:rsidRPr="00A30FEF">
        <w:rPr>
          <w:b/>
          <w:bCs/>
          <w:color w:val="000000" w:themeColor="text1"/>
        </w:rPr>
        <w:lastRenderedPageBreak/>
        <w:t>This integrated growth pathway aligns external pressures with internal capabilities and stakeholder expectations.</w:t>
      </w:r>
    </w:p>
    <w:p w14:paraId="68B2F358" w14:textId="7CA8D7EF" w:rsidR="00A574FB" w:rsidRPr="00A30FEF" w:rsidRDefault="000C33CE" w:rsidP="00361875">
      <w:pPr>
        <w:rPr>
          <w:b/>
          <w:bCs/>
          <w:color w:val="C00000"/>
        </w:rPr>
      </w:pPr>
      <w:r w:rsidRPr="00A30FEF">
        <w:rPr>
          <w:b/>
          <w:bCs/>
          <w:color w:val="C00000"/>
        </w:rPr>
        <w:t>5-</w:t>
      </w:r>
      <w:r w:rsidR="00412262" w:rsidRPr="00A30FEF">
        <w:rPr>
          <w:b/>
          <w:bCs/>
          <w:color w:val="C00000"/>
        </w:rPr>
        <w:t>Strategy Evaluation (SFA Framework)</w:t>
      </w:r>
    </w:p>
    <w:p w14:paraId="3ED604F2" w14:textId="7DFEAEDB" w:rsidR="00EB6B95" w:rsidRPr="00A30FEF" w:rsidRDefault="002B4B06" w:rsidP="00FB2603">
      <w:pPr>
        <w:rPr>
          <w:b/>
          <w:bCs/>
          <w:color w:val="0E2841" w:themeColor="text2"/>
        </w:rPr>
      </w:pPr>
      <w:r w:rsidRPr="00A30FEF">
        <w:rPr>
          <w:b/>
          <w:bCs/>
          <w:color w:val="000000" w:themeColor="text1"/>
        </w:rPr>
        <w:t>The</w:t>
      </w:r>
      <w:r w:rsidR="00A574FB" w:rsidRPr="00A30FEF">
        <w:rPr>
          <w:b/>
          <w:bCs/>
          <w:color w:val="000000" w:themeColor="text1"/>
        </w:rPr>
        <w:t xml:space="preserve"> </w:t>
      </w:r>
      <w:r w:rsidR="00A574FB" w:rsidRPr="00A30FEF">
        <w:rPr>
          <w:b/>
          <w:bCs/>
          <w:color w:val="0E2841" w:themeColor="text2"/>
        </w:rPr>
        <w:t>proposed strategy of focused differentiation through circular packaging innovation and selective European expansion is evaluated using the Suitability, Feasibility and Acceptability framework (Johnson, Scholes and Whittington, 2020).</w:t>
      </w:r>
    </w:p>
    <w:p w14:paraId="67CACA4C" w14:textId="77777777" w:rsidR="00401AF2" w:rsidRPr="00A30FEF" w:rsidRDefault="00401AF2" w:rsidP="007F352E">
      <w:pPr>
        <w:rPr>
          <w:b/>
          <w:bCs/>
          <w:color w:val="0E2841" w:themeColor="text2"/>
        </w:rPr>
      </w:pPr>
      <w:r w:rsidRPr="00A30FEF">
        <w:rPr>
          <w:b/>
          <w:bCs/>
          <w:color w:val="0E2841" w:themeColor="text2"/>
        </w:rPr>
        <w:t>SAF Analysis – Innocent Drinks</w:t>
      </w:r>
    </w:p>
    <w:p w14:paraId="1774FFFF" w14:textId="77777777" w:rsidR="00EB6B95" w:rsidRPr="00A30FEF" w:rsidRDefault="00EB6B95" w:rsidP="007F352E">
      <w:pPr>
        <w:rPr>
          <w:b/>
          <w:bCs/>
          <w:color w:val="0E2841" w:themeColor="text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44"/>
        <w:gridCol w:w="4381"/>
        <w:gridCol w:w="3091"/>
      </w:tblGrid>
      <w:tr w:rsidR="00EB6B95" w:rsidRPr="00A30FEF" w14:paraId="6C93E9D9" w14:textId="77777777" w:rsidTr="001124AC">
        <w:trPr>
          <w:tblHeader/>
          <w:tblCellSpacing w:w="15" w:type="dxa"/>
        </w:trPr>
        <w:tc>
          <w:tcPr>
            <w:tcW w:w="0" w:type="auto"/>
            <w:vAlign w:val="center"/>
            <w:hideMark/>
          </w:tcPr>
          <w:p w14:paraId="170DFBC0" w14:textId="77777777" w:rsidR="00EB6B95" w:rsidRPr="00A30FEF" w:rsidRDefault="00EB6B95" w:rsidP="007F352E">
            <w:pPr>
              <w:rPr>
                <w:b/>
                <w:bCs/>
              </w:rPr>
            </w:pPr>
            <w:r w:rsidRPr="00A30FEF">
              <w:rPr>
                <w:b/>
                <w:bCs/>
              </w:rPr>
              <w:t>SAF Criteria</w:t>
            </w:r>
          </w:p>
        </w:tc>
        <w:tc>
          <w:tcPr>
            <w:tcW w:w="0" w:type="auto"/>
            <w:vAlign w:val="center"/>
            <w:hideMark/>
          </w:tcPr>
          <w:p w14:paraId="0E7FC407" w14:textId="77777777" w:rsidR="00EB6B95" w:rsidRPr="00A30FEF" w:rsidRDefault="00EB6B95" w:rsidP="007F352E">
            <w:pPr>
              <w:rPr>
                <w:b/>
                <w:bCs/>
              </w:rPr>
            </w:pPr>
            <w:r w:rsidRPr="00A30FEF">
              <w:rPr>
                <w:b/>
                <w:bCs/>
              </w:rPr>
              <w:t>Key Points</w:t>
            </w:r>
          </w:p>
        </w:tc>
        <w:tc>
          <w:tcPr>
            <w:tcW w:w="0" w:type="auto"/>
            <w:vAlign w:val="center"/>
            <w:hideMark/>
          </w:tcPr>
          <w:p w14:paraId="568FFAC3" w14:textId="77777777" w:rsidR="00EB6B95" w:rsidRPr="00A30FEF" w:rsidRDefault="00EB6B95" w:rsidP="007F352E">
            <w:pPr>
              <w:rPr>
                <w:b/>
                <w:bCs/>
              </w:rPr>
            </w:pPr>
            <w:r w:rsidRPr="00A30FEF">
              <w:rPr>
                <w:b/>
                <w:bCs/>
              </w:rPr>
              <w:t>Strategic Assessment</w:t>
            </w:r>
          </w:p>
        </w:tc>
      </w:tr>
      <w:tr w:rsidR="00EB6B95" w:rsidRPr="00A30FEF" w14:paraId="3A74849B" w14:textId="77777777" w:rsidTr="001124AC">
        <w:trPr>
          <w:tblCellSpacing w:w="15" w:type="dxa"/>
        </w:trPr>
        <w:tc>
          <w:tcPr>
            <w:tcW w:w="0" w:type="auto"/>
            <w:vAlign w:val="center"/>
            <w:hideMark/>
          </w:tcPr>
          <w:p w14:paraId="017F0FF7" w14:textId="77777777" w:rsidR="00EB6B95" w:rsidRPr="00A30FEF" w:rsidRDefault="00EB6B95" w:rsidP="007F352E">
            <w:pPr>
              <w:rPr>
                <w:b/>
                <w:bCs/>
              </w:rPr>
            </w:pPr>
            <w:r w:rsidRPr="00A30FEF">
              <w:rPr>
                <w:b/>
                <w:bCs/>
              </w:rPr>
              <w:t>Suitability</w:t>
            </w:r>
          </w:p>
        </w:tc>
        <w:tc>
          <w:tcPr>
            <w:tcW w:w="0" w:type="auto"/>
            <w:vAlign w:val="center"/>
            <w:hideMark/>
          </w:tcPr>
          <w:p w14:paraId="02941A07" w14:textId="77777777" w:rsidR="00EB6B95" w:rsidRPr="00A30FEF" w:rsidRDefault="00EB6B95" w:rsidP="007F352E">
            <w:pPr>
              <w:rPr>
                <w:b/>
                <w:bCs/>
              </w:rPr>
            </w:pPr>
            <w:r w:rsidRPr="00A30FEF">
              <w:rPr>
                <w:b/>
                <w:bCs/>
              </w:rPr>
              <w:t>Responds to external pressures such as stricter packaging regulations, growing consumer sustainability expectations and increasing industry competition. Strengthens sustainability leadership instead of competing on price. Aligns with Innocent’s mission and its commitments as a B Corporation.</w:t>
            </w:r>
          </w:p>
        </w:tc>
        <w:tc>
          <w:tcPr>
            <w:tcW w:w="0" w:type="auto"/>
            <w:vAlign w:val="center"/>
            <w:hideMark/>
          </w:tcPr>
          <w:p w14:paraId="06B720DD" w14:textId="77777777" w:rsidR="00EB6B95" w:rsidRPr="00A30FEF" w:rsidRDefault="00EB6B95" w:rsidP="007F352E">
            <w:pPr>
              <w:rPr>
                <w:b/>
                <w:bCs/>
              </w:rPr>
            </w:pPr>
            <w:r w:rsidRPr="00A30FEF">
              <w:rPr>
                <w:b/>
                <w:bCs/>
              </w:rPr>
              <w:t>Strong strategic fit with both the external environment and internal brand identity, reducing the risk of brand dilution and reinforcing differentiation.</w:t>
            </w:r>
          </w:p>
        </w:tc>
      </w:tr>
      <w:tr w:rsidR="00EB6B95" w:rsidRPr="00A30FEF" w14:paraId="662AC7BD" w14:textId="77777777" w:rsidTr="001124AC">
        <w:trPr>
          <w:tblCellSpacing w:w="15" w:type="dxa"/>
        </w:trPr>
        <w:tc>
          <w:tcPr>
            <w:tcW w:w="0" w:type="auto"/>
            <w:vAlign w:val="center"/>
            <w:hideMark/>
          </w:tcPr>
          <w:p w14:paraId="230FEFFF" w14:textId="77777777" w:rsidR="00EB6B95" w:rsidRPr="00A30FEF" w:rsidRDefault="00EB6B95" w:rsidP="007F352E">
            <w:pPr>
              <w:rPr>
                <w:b/>
                <w:bCs/>
              </w:rPr>
            </w:pPr>
            <w:r w:rsidRPr="00A30FEF">
              <w:rPr>
                <w:b/>
                <w:bCs/>
              </w:rPr>
              <w:t>Feasibility</w:t>
            </w:r>
          </w:p>
        </w:tc>
        <w:tc>
          <w:tcPr>
            <w:tcW w:w="0" w:type="auto"/>
            <w:vAlign w:val="center"/>
            <w:hideMark/>
          </w:tcPr>
          <w:p w14:paraId="3576C129" w14:textId="77777777" w:rsidR="00EB6B95" w:rsidRPr="00A30FEF" w:rsidRDefault="00EB6B95" w:rsidP="007F352E">
            <w:pPr>
              <w:rPr>
                <w:b/>
                <w:bCs/>
              </w:rPr>
            </w:pPr>
            <w:r w:rsidRPr="00A30FEF">
              <w:rPr>
                <w:b/>
                <w:bCs/>
              </w:rPr>
              <w:t>Financial support from parent company The Coca-Cola Company increases investment capacity for sustainable packaging innovation and European expansion. Existing European distribution networks support operational implementation. Requires development of capabilities in sustainable sourcing, carbon tracking and circular logistics.</w:t>
            </w:r>
          </w:p>
        </w:tc>
        <w:tc>
          <w:tcPr>
            <w:tcW w:w="0" w:type="auto"/>
            <w:vAlign w:val="center"/>
            <w:hideMark/>
          </w:tcPr>
          <w:p w14:paraId="27DD0C3A" w14:textId="77777777" w:rsidR="00EB6B95" w:rsidRPr="00A30FEF" w:rsidRDefault="00EB6B95" w:rsidP="007F352E">
            <w:pPr>
              <w:rPr>
                <w:b/>
                <w:bCs/>
              </w:rPr>
            </w:pPr>
            <w:r w:rsidRPr="00A30FEF">
              <w:rPr>
                <w:b/>
                <w:bCs/>
              </w:rPr>
              <w:t>Moderately high feasibility, provided the company develops required technological and operational capabilities through phased implementation.</w:t>
            </w:r>
          </w:p>
        </w:tc>
      </w:tr>
      <w:tr w:rsidR="00EB6B95" w:rsidRPr="00A30FEF" w14:paraId="3084986B" w14:textId="77777777" w:rsidTr="001124AC">
        <w:trPr>
          <w:tblCellSpacing w:w="15" w:type="dxa"/>
        </w:trPr>
        <w:tc>
          <w:tcPr>
            <w:tcW w:w="0" w:type="auto"/>
            <w:vAlign w:val="center"/>
            <w:hideMark/>
          </w:tcPr>
          <w:p w14:paraId="123D801E" w14:textId="77777777" w:rsidR="00EB6B95" w:rsidRPr="00A30FEF" w:rsidRDefault="00EB6B95" w:rsidP="007F352E">
            <w:pPr>
              <w:rPr>
                <w:b/>
                <w:bCs/>
              </w:rPr>
            </w:pPr>
            <w:r w:rsidRPr="00A30FEF">
              <w:rPr>
                <w:b/>
                <w:bCs/>
              </w:rPr>
              <w:t>Acceptability</w:t>
            </w:r>
          </w:p>
        </w:tc>
        <w:tc>
          <w:tcPr>
            <w:tcW w:w="0" w:type="auto"/>
            <w:vAlign w:val="center"/>
            <w:hideMark/>
          </w:tcPr>
          <w:p w14:paraId="5C68CC4C" w14:textId="5FCC01BB" w:rsidR="00EB6B95" w:rsidRPr="00A30FEF" w:rsidRDefault="00EB6B95" w:rsidP="007F352E">
            <w:pPr>
              <w:rPr>
                <w:b/>
                <w:bCs/>
              </w:rPr>
            </w:pPr>
            <w:r w:rsidRPr="00A30FEF">
              <w:rPr>
                <w:b/>
                <w:bCs/>
              </w:rPr>
              <w:t xml:space="preserve">Growing </w:t>
            </w:r>
            <w:r w:rsidR="00664DF3" w:rsidRPr="00A30FEF">
              <w:rPr>
                <w:b/>
                <w:bCs/>
              </w:rPr>
              <w:t>investors</w:t>
            </w:r>
            <w:r w:rsidRPr="00A30FEF">
              <w:rPr>
                <w:b/>
                <w:bCs/>
              </w:rPr>
              <w:t xml:space="preserve"> focus on ESG performance and strong consumer demand for authentic sustainability initiatives. Potential risks include high capital investment and short-term margin pressure.</w:t>
            </w:r>
          </w:p>
        </w:tc>
        <w:tc>
          <w:tcPr>
            <w:tcW w:w="0" w:type="auto"/>
            <w:vAlign w:val="center"/>
            <w:hideMark/>
          </w:tcPr>
          <w:p w14:paraId="3B7271CD" w14:textId="5A4BED92" w:rsidR="00EB6B95" w:rsidRPr="00A30FEF" w:rsidRDefault="00664DF3" w:rsidP="007F352E">
            <w:pPr>
              <w:rPr>
                <w:b/>
                <w:bCs/>
              </w:rPr>
            </w:pPr>
            <w:r w:rsidRPr="00A30FEF">
              <w:rPr>
                <w:b/>
                <w:bCs/>
              </w:rPr>
              <w:t>Stakeholders</w:t>
            </w:r>
            <w:r w:rsidR="00EB6B95" w:rsidRPr="00A30FEF">
              <w:rPr>
                <w:b/>
                <w:bCs/>
              </w:rPr>
              <w:t xml:space="preserve"> support likely to be positive due to long-term reputational benefits and improved regulatory compliance.</w:t>
            </w:r>
          </w:p>
        </w:tc>
      </w:tr>
    </w:tbl>
    <w:p w14:paraId="69D81DA1" w14:textId="77777777" w:rsidR="00EB6B95" w:rsidRPr="00A30FEF" w:rsidRDefault="00EB6B95" w:rsidP="007F352E">
      <w:pPr>
        <w:rPr>
          <w:b/>
          <w:bCs/>
        </w:rPr>
      </w:pPr>
    </w:p>
    <w:p w14:paraId="31B6DEA5" w14:textId="77777777" w:rsidR="005F2496" w:rsidRPr="00A30FEF" w:rsidRDefault="005F2496" w:rsidP="007F352E">
      <w:pPr>
        <w:rPr>
          <w:b/>
          <w:bCs/>
        </w:rPr>
      </w:pPr>
      <w:r w:rsidRPr="00A30FEF">
        <w:rPr>
          <w:b/>
          <w:bCs/>
        </w:rPr>
        <w:lastRenderedPageBreak/>
        <w:t>Overall Assessment</w:t>
      </w:r>
    </w:p>
    <w:p w14:paraId="4F88246D" w14:textId="77777777" w:rsidR="005F2496" w:rsidRPr="00A30FEF" w:rsidRDefault="005F2496" w:rsidP="007F352E">
      <w:pPr>
        <w:rPr>
          <w:b/>
          <w:bCs/>
        </w:rPr>
      </w:pPr>
      <w:r w:rsidRPr="00A30FEF">
        <w:rPr>
          <w:b/>
          <w:bCs/>
        </w:rPr>
        <w:t>Suitability: Strong</w:t>
      </w:r>
    </w:p>
    <w:p w14:paraId="34EA4430" w14:textId="77777777" w:rsidR="005F2496" w:rsidRPr="00A30FEF" w:rsidRDefault="005F2496" w:rsidP="007F352E">
      <w:pPr>
        <w:rPr>
          <w:b/>
          <w:bCs/>
        </w:rPr>
      </w:pPr>
      <w:r w:rsidRPr="00A30FEF">
        <w:rPr>
          <w:b/>
          <w:bCs/>
        </w:rPr>
        <w:t>Feasibility: Moderate to High</w:t>
      </w:r>
    </w:p>
    <w:p w14:paraId="1A46B012" w14:textId="77777777" w:rsidR="005F2496" w:rsidRPr="00A30FEF" w:rsidRDefault="005F2496" w:rsidP="007F352E">
      <w:pPr>
        <w:rPr>
          <w:b/>
          <w:bCs/>
        </w:rPr>
      </w:pPr>
      <w:r w:rsidRPr="00A30FEF">
        <w:rPr>
          <w:b/>
          <w:bCs/>
        </w:rPr>
        <w:t>Acceptability: Favourable</w:t>
      </w:r>
    </w:p>
    <w:p w14:paraId="24DD52B8" w14:textId="77777777" w:rsidR="005F2496" w:rsidRPr="00A30FEF" w:rsidRDefault="005F2496" w:rsidP="007F352E">
      <w:pPr>
        <w:rPr>
          <w:b/>
          <w:bCs/>
        </w:rPr>
      </w:pPr>
      <w:r w:rsidRPr="00A30FEF">
        <w:rPr>
          <w:b/>
          <w:bCs/>
        </w:rPr>
        <w:t>The proposed sustainability-led strategy is therefore strategically viable and consistent with Innocent’s long-term competitive positioning.</w:t>
      </w:r>
    </w:p>
    <w:p w14:paraId="629B4574" w14:textId="77777777" w:rsidR="00177ED5" w:rsidRPr="00A30FEF" w:rsidRDefault="00177ED5" w:rsidP="007F352E">
      <w:pPr>
        <w:rPr>
          <w:b/>
          <w:bCs/>
        </w:rPr>
      </w:pPr>
    </w:p>
    <w:p w14:paraId="1AE67B1E" w14:textId="724CEF47" w:rsidR="00EB6B95" w:rsidRPr="00A30FEF" w:rsidRDefault="005A1C2F" w:rsidP="00D4461A">
      <w:pPr>
        <w:rPr>
          <w:b/>
          <w:bCs/>
          <w:color w:val="A02B93" w:themeColor="accent5"/>
        </w:rPr>
      </w:pPr>
      <w:r w:rsidRPr="00A30FEF">
        <w:rPr>
          <w:b/>
          <w:bCs/>
          <w:color w:val="A02B93" w:themeColor="accent5"/>
        </w:rPr>
        <w:t>6-Stakeholder Analysis</w:t>
      </w:r>
    </w:p>
    <w:p w14:paraId="2A18C72E" w14:textId="1A0F4CE5" w:rsidR="00B04795" w:rsidRPr="00A30FEF" w:rsidRDefault="00B04795" w:rsidP="00D4461A">
      <w:pPr>
        <w:rPr>
          <w:b/>
          <w:bCs/>
          <w:color w:val="000000" w:themeColor="text1"/>
        </w:rPr>
      </w:pPr>
      <w:r w:rsidRPr="00A30FEF">
        <w:rPr>
          <w:b/>
          <w:bCs/>
          <w:color w:val="000000" w:themeColor="text1"/>
        </w:rPr>
        <w:t>Applying Stakeholder Theory (Freeman, 1984) and Mendelow’s power-interest matrix, Innocent must manage multiple stakeholder groups.</w:t>
      </w:r>
    </w:p>
    <w:p w14:paraId="139DFACB" w14:textId="77777777" w:rsidR="00B04795" w:rsidRPr="00A30FEF" w:rsidRDefault="00B04795" w:rsidP="00D4461A">
      <w:pPr>
        <w:rPr>
          <w:b/>
          <w:bCs/>
          <w:color w:val="000000" w:themeColor="text1"/>
        </w:rPr>
      </w:pPr>
      <w:r w:rsidRPr="00A30FEF">
        <w:rPr>
          <w:b/>
          <w:bCs/>
          <w:color w:val="000000" w:themeColor="text1"/>
        </w:rPr>
        <w:t>High Power, High Interest</w:t>
      </w:r>
    </w:p>
    <w:p w14:paraId="2EAAF160" w14:textId="77777777" w:rsidR="00B04795" w:rsidRPr="00A30FEF" w:rsidRDefault="00B04795" w:rsidP="00D4461A">
      <w:pPr>
        <w:rPr>
          <w:b/>
          <w:bCs/>
          <w:color w:val="000000" w:themeColor="text1"/>
        </w:rPr>
      </w:pPr>
      <w:r w:rsidRPr="00A30FEF">
        <w:rPr>
          <w:b/>
          <w:bCs/>
          <w:color w:val="000000" w:themeColor="text1"/>
        </w:rPr>
        <w:tab/>
        <w:t>•</w:t>
      </w:r>
      <w:r w:rsidRPr="00A30FEF">
        <w:rPr>
          <w:b/>
          <w:bCs/>
          <w:color w:val="000000" w:themeColor="text1"/>
        </w:rPr>
        <w:tab/>
        <w:t>The Coca-Cola Company</w:t>
      </w:r>
    </w:p>
    <w:p w14:paraId="6EFAA91E" w14:textId="77777777" w:rsidR="00B04795" w:rsidRPr="00A30FEF" w:rsidRDefault="00B04795" w:rsidP="00D4461A">
      <w:pPr>
        <w:rPr>
          <w:b/>
          <w:bCs/>
          <w:color w:val="000000" w:themeColor="text1"/>
        </w:rPr>
      </w:pPr>
      <w:r w:rsidRPr="00A30FEF">
        <w:rPr>
          <w:b/>
          <w:bCs/>
          <w:color w:val="000000" w:themeColor="text1"/>
        </w:rPr>
        <w:tab/>
        <w:t>•</w:t>
      </w:r>
      <w:r w:rsidRPr="00A30FEF">
        <w:rPr>
          <w:b/>
          <w:bCs/>
          <w:color w:val="000000" w:themeColor="text1"/>
        </w:rPr>
        <w:tab/>
        <w:t>Major retail partners</w:t>
      </w:r>
    </w:p>
    <w:p w14:paraId="2136DB69" w14:textId="77777777" w:rsidR="00B04795" w:rsidRPr="00A30FEF" w:rsidRDefault="00B04795" w:rsidP="00D4461A">
      <w:pPr>
        <w:rPr>
          <w:b/>
          <w:bCs/>
          <w:color w:val="000000" w:themeColor="text1"/>
        </w:rPr>
      </w:pPr>
      <w:r w:rsidRPr="00A30FEF">
        <w:rPr>
          <w:b/>
          <w:bCs/>
          <w:color w:val="000000" w:themeColor="text1"/>
        </w:rPr>
        <w:tab/>
        <w:t>•</w:t>
      </w:r>
      <w:r w:rsidRPr="00A30FEF">
        <w:rPr>
          <w:b/>
          <w:bCs/>
          <w:color w:val="000000" w:themeColor="text1"/>
        </w:rPr>
        <w:tab/>
        <w:t>Institutional investors</w:t>
      </w:r>
    </w:p>
    <w:p w14:paraId="508C1A31" w14:textId="77777777" w:rsidR="00B04795" w:rsidRPr="00A30FEF" w:rsidRDefault="00B04795" w:rsidP="00D4461A">
      <w:pPr>
        <w:rPr>
          <w:b/>
          <w:bCs/>
          <w:color w:val="000000" w:themeColor="text1"/>
        </w:rPr>
      </w:pPr>
    </w:p>
    <w:p w14:paraId="0794127B" w14:textId="07485E51" w:rsidR="00B04795" w:rsidRPr="00A30FEF" w:rsidRDefault="00B04795" w:rsidP="00D4461A">
      <w:pPr>
        <w:rPr>
          <w:b/>
          <w:bCs/>
          <w:color w:val="000000" w:themeColor="text1"/>
        </w:rPr>
      </w:pPr>
      <w:r w:rsidRPr="00A30FEF">
        <w:rPr>
          <w:b/>
          <w:bCs/>
          <w:color w:val="000000" w:themeColor="text1"/>
        </w:rPr>
        <w:t>These stakeholders influence capital allocation, pricing negotiations and strategic direction. Transparent sustainability reporting and measurable performance indicators are essential.</w:t>
      </w:r>
    </w:p>
    <w:p w14:paraId="5695B753" w14:textId="77777777" w:rsidR="00B04795" w:rsidRPr="00A30FEF" w:rsidRDefault="00B04795" w:rsidP="00D4461A">
      <w:pPr>
        <w:rPr>
          <w:b/>
          <w:bCs/>
          <w:color w:val="000000" w:themeColor="text1"/>
        </w:rPr>
      </w:pPr>
      <w:r w:rsidRPr="00A30FEF">
        <w:rPr>
          <w:b/>
          <w:bCs/>
          <w:color w:val="000000" w:themeColor="text1"/>
        </w:rPr>
        <w:t>High Interest, Moderate Power</w:t>
      </w:r>
    </w:p>
    <w:p w14:paraId="48A6BF4C" w14:textId="77777777" w:rsidR="00B04795" w:rsidRPr="00A30FEF" w:rsidRDefault="00B04795" w:rsidP="00D4461A">
      <w:pPr>
        <w:rPr>
          <w:b/>
          <w:bCs/>
          <w:color w:val="000000" w:themeColor="text1"/>
        </w:rPr>
      </w:pPr>
      <w:r w:rsidRPr="00A30FEF">
        <w:rPr>
          <w:b/>
          <w:bCs/>
          <w:color w:val="000000" w:themeColor="text1"/>
        </w:rPr>
        <w:tab/>
        <w:t>•</w:t>
      </w:r>
      <w:r w:rsidRPr="00A30FEF">
        <w:rPr>
          <w:b/>
          <w:bCs/>
          <w:color w:val="000000" w:themeColor="text1"/>
        </w:rPr>
        <w:tab/>
        <w:t>Consumers</w:t>
      </w:r>
    </w:p>
    <w:p w14:paraId="40059FC6" w14:textId="77777777" w:rsidR="00B04795" w:rsidRPr="00A30FEF" w:rsidRDefault="00B04795" w:rsidP="00D4461A">
      <w:pPr>
        <w:rPr>
          <w:b/>
          <w:bCs/>
          <w:color w:val="000000" w:themeColor="text1"/>
        </w:rPr>
      </w:pPr>
      <w:r w:rsidRPr="00A30FEF">
        <w:rPr>
          <w:b/>
          <w:bCs/>
          <w:color w:val="000000" w:themeColor="text1"/>
        </w:rPr>
        <w:tab/>
        <w:t>•</w:t>
      </w:r>
      <w:r w:rsidRPr="00A30FEF">
        <w:rPr>
          <w:b/>
          <w:bCs/>
          <w:color w:val="000000" w:themeColor="text1"/>
        </w:rPr>
        <w:tab/>
        <w:t>Environmental advocacy groups</w:t>
      </w:r>
    </w:p>
    <w:p w14:paraId="32CF4E9D" w14:textId="77777777" w:rsidR="00B04795" w:rsidRPr="00A30FEF" w:rsidRDefault="00B04795" w:rsidP="00D4461A">
      <w:pPr>
        <w:rPr>
          <w:b/>
          <w:bCs/>
          <w:color w:val="000000" w:themeColor="text1"/>
        </w:rPr>
      </w:pPr>
      <w:r w:rsidRPr="00A30FEF">
        <w:rPr>
          <w:b/>
          <w:bCs/>
          <w:color w:val="000000" w:themeColor="text1"/>
        </w:rPr>
        <w:tab/>
        <w:t>•</w:t>
      </w:r>
      <w:r w:rsidRPr="00A30FEF">
        <w:rPr>
          <w:b/>
          <w:bCs/>
          <w:color w:val="000000" w:themeColor="text1"/>
        </w:rPr>
        <w:tab/>
        <w:t>Local communities</w:t>
      </w:r>
    </w:p>
    <w:p w14:paraId="5607B526" w14:textId="77777777" w:rsidR="00B04795" w:rsidRPr="00A30FEF" w:rsidRDefault="00B04795" w:rsidP="00D4461A">
      <w:pPr>
        <w:rPr>
          <w:b/>
          <w:bCs/>
          <w:color w:val="000000" w:themeColor="text1"/>
        </w:rPr>
      </w:pPr>
    </w:p>
    <w:p w14:paraId="7CB2FF43" w14:textId="34E5E137" w:rsidR="00B04795" w:rsidRPr="00A30FEF" w:rsidRDefault="00B04795" w:rsidP="00D4461A">
      <w:pPr>
        <w:rPr>
          <w:b/>
          <w:bCs/>
          <w:color w:val="000000" w:themeColor="text1"/>
        </w:rPr>
      </w:pPr>
      <w:r w:rsidRPr="00A30FEF">
        <w:rPr>
          <w:b/>
          <w:bCs/>
          <w:color w:val="000000" w:themeColor="text1"/>
        </w:rPr>
        <w:t>These groups influence brand legitimacy and reputation. According to legitimacy theory (Suchman, 1995), continued societal approval depends on visible alignment between corporate claims and actions.</w:t>
      </w:r>
    </w:p>
    <w:p w14:paraId="2F05EE8D" w14:textId="77777777" w:rsidR="00D4461A" w:rsidRPr="00A30FEF" w:rsidRDefault="00D4461A" w:rsidP="00D4461A">
      <w:pPr>
        <w:rPr>
          <w:b/>
          <w:bCs/>
          <w:color w:val="000000" w:themeColor="text1"/>
        </w:rPr>
      </w:pPr>
    </w:p>
    <w:p w14:paraId="79F7994F" w14:textId="77777777" w:rsidR="00B04795" w:rsidRPr="00A30FEF" w:rsidRDefault="00B04795" w:rsidP="00D4461A">
      <w:pPr>
        <w:rPr>
          <w:b/>
          <w:bCs/>
          <w:color w:val="BF4E14" w:themeColor="accent2" w:themeShade="BF"/>
        </w:rPr>
      </w:pPr>
      <w:r w:rsidRPr="00A30FEF">
        <w:rPr>
          <w:b/>
          <w:bCs/>
          <w:color w:val="BF4E14" w:themeColor="accent2" w:themeShade="BF"/>
        </w:rPr>
        <w:t>Internal Stakeholders</w:t>
      </w:r>
    </w:p>
    <w:p w14:paraId="599A4B8F" w14:textId="24ADEA6C" w:rsidR="00B04795" w:rsidRPr="00A30FEF" w:rsidRDefault="00B04795" w:rsidP="00E30D31">
      <w:pPr>
        <w:rPr>
          <w:b/>
          <w:bCs/>
          <w:color w:val="000000" w:themeColor="text1"/>
        </w:rPr>
      </w:pPr>
      <w:r w:rsidRPr="00A30FEF">
        <w:rPr>
          <w:b/>
          <w:bCs/>
          <w:color w:val="000000" w:themeColor="text1"/>
        </w:rPr>
        <w:tab/>
        <w:t>•</w:t>
      </w:r>
      <w:r w:rsidRPr="00A30FEF">
        <w:rPr>
          <w:b/>
          <w:bCs/>
          <w:color w:val="000000" w:themeColor="text1"/>
        </w:rPr>
        <w:tab/>
        <w:t>Employees and supply chain partners</w:t>
      </w:r>
    </w:p>
    <w:p w14:paraId="4913BDDE" w14:textId="28693B75" w:rsidR="00B04795" w:rsidRPr="00A30FEF" w:rsidRDefault="00B04795" w:rsidP="00D4461A">
      <w:pPr>
        <w:rPr>
          <w:b/>
          <w:bCs/>
          <w:color w:val="000000" w:themeColor="text1"/>
        </w:rPr>
      </w:pPr>
      <w:r w:rsidRPr="00A30FEF">
        <w:rPr>
          <w:b/>
          <w:bCs/>
          <w:color w:val="000000" w:themeColor="text1"/>
        </w:rPr>
        <w:lastRenderedPageBreak/>
        <w:t>Employee</w:t>
      </w:r>
      <w:r w:rsidR="00386F04" w:rsidRPr="00A30FEF">
        <w:rPr>
          <w:b/>
          <w:bCs/>
          <w:color w:val="000000" w:themeColor="text1"/>
        </w:rPr>
        <w:t xml:space="preserve"> </w:t>
      </w:r>
      <w:r w:rsidRPr="00A30FEF">
        <w:rPr>
          <w:b/>
          <w:bCs/>
          <w:color w:val="000000" w:themeColor="text1"/>
        </w:rPr>
        <w:t>engagement is critical to embedding sustainability initiatives operationally. Supplier collaboration ensures ethical sourcing resilience.</w:t>
      </w:r>
    </w:p>
    <w:p w14:paraId="32FC2047" w14:textId="1567D859" w:rsidR="005A1C2F" w:rsidRPr="00A30FEF" w:rsidRDefault="00B04795" w:rsidP="00D4461A">
      <w:pPr>
        <w:rPr>
          <w:b/>
          <w:bCs/>
        </w:rPr>
      </w:pPr>
      <w:r w:rsidRPr="00A30FEF">
        <w:rPr>
          <w:b/>
          <w:bCs/>
          <w:color w:val="000000" w:themeColor="text1"/>
        </w:rPr>
        <w:t>Stakeholder alignment enhances long-term strategic stability. The proposed sustainability-led strategy strengthens legitimacy across high-interest groups while maintaining investor confidence through structured performance monitoring</w:t>
      </w:r>
      <w:r w:rsidRPr="00A30FEF">
        <w:rPr>
          <w:b/>
          <w:bCs/>
        </w:rPr>
        <w:t>.</w:t>
      </w:r>
    </w:p>
    <w:p w14:paraId="4523A164" w14:textId="77777777" w:rsidR="00B90C78" w:rsidRPr="00A30FEF" w:rsidRDefault="00B90C78" w:rsidP="00D4461A">
      <w:pPr>
        <w:rPr>
          <w:b/>
          <w:bCs/>
        </w:rPr>
      </w:pPr>
    </w:p>
    <w:p w14:paraId="23820064" w14:textId="77777777" w:rsidR="008C07B6" w:rsidRPr="00A30FEF" w:rsidRDefault="00D35874" w:rsidP="00E30D31">
      <w:pPr>
        <w:rPr>
          <w:b/>
          <w:bCs/>
          <w:color w:val="A02B93" w:themeColor="accent5"/>
        </w:rPr>
      </w:pPr>
      <w:r w:rsidRPr="00A30FEF">
        <w:rPr>
          <w:b/>
          <w:bCs/>
          <w:color w:val="A02B93" w:themeColor="accent5"/>
        </w:rPr>
        <w:t>7. Implementation and Monitoring</w:t>
      </w:r>
    </w:p>
    <w:p w14:paraId="2ABE7B38" w14:textId="56775B41" w:rsidR="003C5B39" w:rsidRPr="002500D5" w:rsidRDefault="003C5B39" w:rsidP="002500D5">
      <w:pPr>
        <w:rPr>
          <w:b/>
          <w:bCs/>
          <w:color w:val="A02B93" w:themeColor="accent5"/>
        </w:rPr>
      </w:pPr>
      <w:r w:rsidRPr="00A30FEF">
        <w:rPr>
          <w:b/>
          <w:bCs/>
          <w:color w:val="000000" w:themeColor="text1"/>
        </w:rPr>
        <w:t>Effective</w:t>
      </w:r>
      <w:r w:rsidR="00E86EA3" w:rsidRPr="00A30FEF">
        <w:rPr>
          <w:b/>
          <w:bCs/>
          <w:color w:val="000000" w:themeColor="text1"/>
        </w:rPr>
        <w:t xml:space="preserve"> </w:t>
      </w:r>
      <w:r w:rsidRPr="00A30FEF">
        <w:rPr>
          <w:b/>
          <w:bCs/>
          <w:color w:val="000000" w:themeColor="text1"/>
        </w:rPr>
        <w:t>strategy requires disciplined execution supported by measurable objectives.</w:t>
      </w:r>
    </w:p>
    <w:p w14:paraId="0BED31D0" w14:textId="4EFA12A7" w:rsidR="003C5B39" w:rsidRPr="00F94991" w:rsidRDefault="00ED1BC9" w:rsidP="007F352E">
      <w:pPr>
        <w:rPr>
          <w:b/>
          <w:bCs/>
          <w:color w:val="A02B93" w:themeColor="accent5"/>
        </w:rPr>
      </w:pPr>
      <w:r w:rsidRPr="00F94991">
        <w:rPr>
          <w:b/>
          <w:bCs/>
          <w:color w:val="A02B93" w:themeColor="accent5"/>
        </w:rPr>
        <w:t xml:space="preserve">    </w:t>
      </w:r>
      <w:r w:rsidR="003C5B39" w:rsidRPr="00F94991">
        <w:rPr>
          <w:b/>
          <w:bCs/>
          <w:color w:val="A02B93" w:themeColor="accent5"/>
        </w:rPr>
        <w:t>7.1 Objectives and Actions</w:t>
      </w:r>
    </w:p>
    <w:p w14:paraId="259CB781" w14:textId="77777777" w:rsidR="003C5B39" w:rsidRPr="00A30FEF" w:rsidRDefault="003C5B39" w:rsidP="007F352E">
      <w:pPr>
        <w:rPr>
          <w:b/>
          <w:bCs/>
          <w:color w:val="000000" w:themeColor="text1"/>
        </w:rPr>
      </w:pPr>
      <w:r w:rsidRPr="00A30FEF">
        <w:rPr>
          <w:b/>
          <w:bCs/>
          <w:color w:val="000000" w:themeColor="text1"/>
        </w:rPr>
        <w:t>Year 1:</w:t>
      </w:r>
    </w:p>
    <w:p w14:paraId="08389986" w14:textId="07691A37" w:rsidR="003C5B39" w:rsidRPr="00A30FEF" w:rsidRDefault="003C5B39" w:rsidP="007F352E">
      <w:pPr>
        <w:rPr>
          <w:b/>
          <w:bCs/>
          <w:color w:val="000000" w:themeColor="text1"/>
        </w:rPr>
      </w:pPr>
      <w:r w:rsidRPr="00A30FEF">
        <w:rPr>
          <w:b/>
          <w:bCs/>
          <w:color w:val="000000" w:themeColor="text1"/>
        </w:rPr>
        <w:t>Invest in sustainable packaging research</w:t>
      </w:r>
    </w:p>
    <w:p w14:paraId="7E664BFE" w14:textId="326CFCB2" w:rsidR="003C5B39" w:rsidRPr="00A30FEF" w:rsidRDefault="003C5B39" w:rsidP="007F352E">
      <w:pPr>
        <w:rPr>
          <w:b/>
          <w:bCs/>
          <w:color w:val="000000" w:themeColor="text1"/>
        </w:rPr>
      </w:pPr>
      <w:r w:rsidRPr="00A30FEF">
        <w:rPr>
          <w:b/>
          <w:bCs/>
          <w:color w:val="000000" w:themeColor="text1"/>
        </w:rPr>
        <w:t>Conduct lifecycle assessment analysis</w:t>
      </w:r>
    </w:p>
    <w:p w14:paraId="4AD58065" w14:textId="70BC2BD7" w:rsidR="003C5B39" w:rsidRPr="002500D5" w:rsidRDefault="003C5B39" w:rsidP="002500D5">
      <w:pPr>
        <w:rPr>
          <w:b/>
          <w:bCs/>
          <w:color w:val="000000" w:themeColor="text1"/>
        </w:rPr>
      </w:pPr>
      <w:r w:rsidRPr="00A30FEF">
        <w:rPr>
          <w:b/>
          <w:bCs/>
          <w:color w:val="000000" w:themeColor="text1"/>
        </w:rPr>
        <w:t>Establish strategic supplier partnerships</w:t>
      </w:r>
    </w:p>
    <w:p w14:paraId="7BAB6ED1" w14:textId="77777777" w:rsidR="003C5B39" w:rsidRPr="00A30FEF" w:rsidRDefault="003C5B39" w:rsidP="007F352E">
      <w:pPr>
        <w:rPr>
          <w:b/>
          <w:bCs/>
          <w:color w:val="000000" w:themeColor="text1"/>
        </w:rPr>
      </w:pPr>
      <w:r w:rsidRPr="00A30FEF">
        <w:rPr>
          <w:b/>
          <w:bCs/>
          <w:color w:val="000000" w:themeColor="text1"/>
        </w:rPr>
        <w:t>Year 2:</w:t>
      </w:r>
    </w:p>
    <w:p w14:paraId="7AC736BE" w14:textId="11A96E50" w:rsidR="003C5B39" w:rsidRPr="00A30FEF" w:rsidRDefault="003C5B39" w:rsidP="007F352E">
      <w:pPr>
        <w:rPr>
          <w:b/>
          <w:bCs/>
          <w:color w:val="000000" w:themeColor="text1"/>
        </w:rPr>
      </w:pPr>
      <w:r w:rsidRPr="00A30FEF">
        <w:rPr>
          <w:b/>
          <w:bCs/>
          <w:color w:val="000000" w:themeColor="text1"/>
        </w:rPr>
        <w:t>Pilot circular packaging in selected EU markets</w:t>
      </w:r>
    </w:p>
    <w:p w14:paraId="625E7518" w14:textId="2BF3A4A2" w:rsidR="003C5B39" w:rsidRPr="00A30FEF" w:rsidRDefault="003C5B39" w:rsidP="002500D5">
      <w:pPr>
        <w:rPr>
          <w:b/>
          <w:bCs/>
          <w:color w:val="000000" w:themeColor="text1"/>
        </w:rPr>
      </w:pPr>
      <w:r w:rsidRPr="00A30FEF">
        <w:rPr>
          <w:b/>
          <w:bCs/>
          <w:color w:val="000000" w:themeColor="text1"/>
        </w:rPr>
        <w:t>Launch sustainability-focused marketing campaigns</w:t>
      </w:r>
    </w:p>
    <w:p w14:paraId="5CBF06F6" w14:textId="77777777" w:rsidR="003C5B39" w:rsidRPr="00A30FEF" w:rsidRDefault="003C5B39" w:rsidP="007F352E">
      <w:pPr>
        <w:rPr>
          <w:b/>
          <w:bCs/>
          <w:color w:val="000000" w:themeColor="text1"/>
        </w:rPr>
      </w:pPr>
      <w:r w:rsidRPr="00A30FEF">
        <w:rPr>
          <w:b/>
          <w:bCs/>
          <w:color w:val="000000" w:themeColor="text1"/>
        </w:rPr>
        <w:t>Year 3–4:</w:t>
      </w:r>
    </w:p>
    <w:p w14:paraId="277B0521" w14:textId="23E5B718" w:rsidR="003C5B39" w:rsidRPr="00A30FEF" w:rsidRDefault="003C5B39" w:rsidP="007F352E">
      <w:pPr>
        <w:rPr>
          <w:b/>
          <w:bCs/>
          <w:color w:val="000000" w:themeColor="text1"/>
        </w:rPr>
      </w:pPr>
      <w:r w:rsidRPr="00A30FEF">
        <w:rPr>
          <w:b/>
          <w:bCs/>
          <w:color w:val="000000" w:themeColor="text1"/>
        </w:rPr>
        <w:t>Scale circular packaging adoption</w:t>
      </w:r>
    </w:p>
    <w:p w14:paraId="1E9054FA" w14:textId="77777777" w:rsidR="00A04824" w:rsidRPr="00A30FEF" w:rsidRDefault="003C5B39" w:rsidP="00CF3E8A">
      <w:pPr>
        <w:rPr>
          <w:b/>
          <w:bCs/>
          <w:color w:val="000000" w:themeColor="text1"/>
        </w:rPr>
      </w:pPr>
      <w:r w:rsidRPr="00A30FEF">
        <w:rPr>
          <w:b/>
          <w:bCs/>
          <w:color w:val="000000" w:themeColor="text1"/>
        </w:rPr>
        <w:t>Expand into additional high-growth European urban centres</w:t>
      </w:r>
    </w:p>
    <w:p w14:paraId="1D38BD01" w14:textId="6EF8C78C" w:rsidR="00CF3E8A" w:rsidRPr="00A30FEF" w:rsidRDefault="00F94991" w:rsidP="00CF3E8A">
      <w:pPr>
        <w:rPr>
          <w:b/>
          <w:bCs/>
          <w:color w:val="000000" w:themeColor="text1"/>
        </w:rPr>
      </w:pPr>
      <w:r>
        <w:rPr>
          <w:b/>
          <w:bCs/>
          <w:color w:val="A02B93" w:themeColor="accent5"/>
        </w:rPr>
        <w:t xml:space="preserve">      </w:t>
      </w:r>
      <w:r w:rsidR="00CF3E8A" w:rsidRPr="00A30FEF">
        <w:rPr>
          <w:b/>
          <w:bCs/>
          <w:color w:val="A02B93" w:themeColor="accent5"/>
        </w:rPr>
        <w:t>7.2 Key Performance Indicators (KPIs)</w:t>
      </w:r>
    </w:p>
    <w:p w14:paraId="24B790A1" w14:textId="7BD56A86" w:rsidR="00CF3E8A" w:rsidRPr="00A30FEF" w:rsidRDefault="00CF3E8A" w:rsidP="00A04824">
      <w:pPr>
        <w:pStyle w:val="ListParagraph"/>
        <w:numPr>
          <w:ilvl w:val="0"/>
          <w:numId w:val="8"/>
        </w:numPr>
        <w:rPr>
          <w:b/>
          <w:bCs/>
          <w:color w:val="000000" w:themeColor="text1"/>
        </w:rPr>
      </w:pPr>
      <w:r w:rsidRPr="00A30FEF">
        <w:rPr>
          <w:b/>
          <w:bCs/>
          <w:color w:val="000000" w:themeColor="text1"/>
        </w:rPr>
        <w:t>Percentage reduction in packaging-related emissions</w:t>
      </w:r>
    </w:p>
    <w:p w14:paraId="31342BFC" w14:textId="6ED99C33" w:rsidR="00CF3E8A" w:rsidRPr="00A30FEF" w:rsidRDefault="00CF3E8A" w:rsidP="00A04824">
      <w:pPr>
        <w:pStyle w:val="ListParagraph"/>
        <w:numPr>
          <w:ilvl w:val="0"/>
          <w:numId w:val="8"/>
        </w:numPr>
        <w:rPr>
          <w:b/>
          <w:bCs/>
          <w:color w:val="000000" w:themeColor="text1"/>
        </w:rPr>
      </w:pPr>
      <w:r w:rsidRPr="00A30FEF">
        <w:rPr>
          <w:b/>
          <w:bCs/>
          <w:color w:val="000000" w:themeColor="text1"/>
        </w:rPr>
        <w:t>Revenue growth in new European markets</w:t>
      </w:r>
    </w:p>
    <w:p w14:paraId="39881E91" w14:textId="47690C7B" w:rsidR="00CF3E8A" w:rsidRPr="00A30FEF" w:rsidRDefault="00CF3E8A" w:rsidP="00A04824">
      <w:pPr>
        <w:pStyle w:val="ListParagraph"/>
        <w:numPr>
          <w:ilvl w:val="0"/>
          <w:numId w:val="8"/>
        </w:numPr>
        <w:rPr>
          <w:b/>
          <w:bCs/>
          <w:color w:val="000000" w:themeColor="text1"/>
        </w:rPr>
      </w:pPr>
      <w:r w:rsidRPr="00A30FEF">
        <w:rPr>
          <w:b/>
          <w:bCs/>
          <w:color w:val="000000" w:themeColor="text1"/>
        </w:rPr>
        <w:t>Market share within target segments</w:t>
      </w:r>
    </w:p>
    <w:p w14:paraId="3609671C" w14:textId="55861A55" w:rsidR="00CF3E8A" w:rsidRPr="00A30FEF" w:rsidRDefault="00CF3E8A" w:rsidP="00A04824">
      <w:pPr>
        <w:pStyle w:val="ListParagraph"/>
        <w:numPr>
          <w:ilvl w:val="0"/>
          <w:numId w:val="8"/>
        </w:numPr>
        <w:rPr>
          <w:b/>
          <w:bCs/>
          <w:color w:val="000000" w:themeColor="text1"/>
        </w:rPr>
      </w:pPr>
      <w:r w:rsidRPr="00A30FEF">
        <w:rPr>
          <w:b/>
          <w:bCs/>
          <w:color w:val="000000" w:themeColor="text1"/>
        </w:rPr>
        <w:t>Brand trust index scores</w:t>
      </w:r>
    </w:p>
    <w:p w14:paraId="0E8517B0" w14:textId="3A7C7D9B" w:rsidR="00CF3E8A" w:rsidRDefault="00CF3E8A" w:rsidP="00A04824">
      <w:pPr>
        <w:pStyle w:val="ListParagraph"/>
        <w:numPr>
          <w:ilvl w:val="0"/>
          <w:numId w:val="8"/>
        </w:numPr>
        <w:rPr>
          <w:b/>
          <w:bCs/>
          <w:color w:val="000000" w:themeColor="text1"/>
        </w:rPr>
      </w:pPr>
      <w:r w:rsidRPr="00A30FEF">
        <w:rPr>
          <w:b/>
          <w:bCs/>
          <w:color w:val="000000" w:themeColor="text1"/>
        </w:rPr>
        <w:t>Return on sustainability investment</w:t>
      </w:r>
    </w:p>
    <w:p w14:paraId="10CF679D" w14:textId="77777777" w:rsidR="00D55DCE" w:rsidRPr="00A30FEF" w:rsidRDefault="00D55DCE" w:rsidP="00D55DCE">
      <w:pPr>
        <w:pStyle w:val="ListParagraph"/>
        <w:rPr>
          <w:b/>
          <w:bCs/>
          <w:color w:val="000000" w:themeColor="text1"/>
        </w:rPr>
      </w:pPr>
    </w:p>
    <w:p w14:paraId="51682E3C" w14:textId="77777777" w:rsidR="00E64DC1" w:rsidRPr="00A30FEF" w:rsidRDefault="00E64DC1" w:rsidP="00E64DC1">
      <w:pPr>
        <w:pStyle w:val="ListParagraph"/>
        <w:rPr>
          <w:b/>
          <w:bCs/>
          <w:color w:val="000000" w:themeColor="text1"/>
        </w:rPr>
      </w:pPr>
    </w:p>
    <w:p w14:paraId="425DCFE0" w14:textId="77777777" w:rsidR="00E64DC1" w:rsidRDefault="00E64DC1" w:rsidP="00E64DC1">
      <w:pPr>
        <w:rPr>
          <w:b/>
          <w:bCs/>
          <w:color w:val="A02B93" w:themeColor="accent5"/>
        </w:rPr>
      </w:pPr>
      <w:r w:rsidRPr="00A30FEF">
        <w:rPr>
          <w:b/>
          <w:bCs/>
          <w:color w:val="A02B93" w:themeColor="accent5"/>
        </w:rPr>
        <w:t>7.3 Emission Reduction Targets</w:t>
      </w:r>
    </w:p>
    <w:p w14:paraId="29B19C16" w14:textId="77777777" w:rsidR="00D55DCE" w:rsidRDefault="00D55DCE" w:rsidP="00E64DC1">
      <w:pPr>
        <w:rPr>
          <w:b/>
          <w:bCs/>
          <w:color w:val="A02B93" w:themeColor="accent5"/>
        </w:rPr>
      </w:pPr>
    </w:p>
    <w:p w14:paraId="5E299744" w14:textId="5B6097FD" w:rsidR="00D55DCE" w:rsidRPr="00D00299" w:rsidRDefault="00E64DC1" w:rsidP="00D00299">
      <w:pPr>
        <w:rPr>
          <w:b/>
          <w:bCs/>
          <w:color w:val="000000" w:themeColor="text1"/>
        </w:rPr>
      </w:pPr>
      <w:r w:rsidRPr="00D55DCE">
        <w:rPr>
          <w:b/>
          <w:bCs/>
          <w:color w:val="000000" w:themeColor="text1"/>
        </w:rPr>
        <w:t>The strategy should align with Science Based Targets principles by:</w:t>
      </w:r>
    </w:p>
    <w:p w14:paraId="42E8799B" w14:textId="638EEB2A" w:rsidR="00E64DC1" w:rsidRPr="00A30FEF" w:rsidRDefault="00E64DC1" w:rsidP="006D50DF">
      <w:pPr>
        <w:pStyle w:val="ListParagraph"/>
        <w:numPr>
          <w:ilvl w:val="0"/>
          <w:numId w:val="8"/>
        </w:numPr>
        <w:rPr>
          <w:b/>
          <w:bCs/>
          <w:color w:val="000000" w:themeColor="text1"/>
        </w:rPr>
      </w:pPr>
      <w:r w:rsidRPr="00A30FEF">
        <w:rPr>
          <w:b/>
          <w:bCs/>
          <w:color w:val="000000" w:themeColor="text1"/>
        </w:rPr>
        <w:lastRenderedPageBreak/>
        <w:t>Reducing Scope 1 and 2 emissions through renewable energy integration</w:t>
      </w:r>
    </w:p>
    <w:p w14:paraId="6B8E0373" w14:textId="7CE0A0B7" w:rsidR="00E64DC1" w:rsidRPr="00A30FEF" w:rsidRDefault="00E64DC1" w:rsidP="006D50DF">
      <w:pPr>
        <w:pStyle w:val="ListParagraph"/>
        <w:numPr>
          <w:ilvl w:val="0"/>
          <w:numId w:val="8"/>
        </w:numPr>
        <w:rPr>
          <w:b/>
          <w:bCs/>
          <w:color w:val="000000" w:themeColor="text1"/>
        </w:rPr>
      </w:pPr>
      <w:r w:rsidRPr="00A30FEF">
        <w:rPr>
          <w:b/>
          <w:bCs/>
          <w:color w:val="000000" w:themeColor="text1"/>
        </w:rPr>
        <w:t>Reducing Scope 3 emissions via supplier collaboration</w:t>
      </w:r>
    </w:p>
    <w:p w14:paraId="7A250EFC" w14:textId="5C5026CA" w:rsidR="006828D8" w:rsidRPr="006828D8" w:rsidRDefault="00E64DC1" w:rsidP="006828D8">
      <w:pPr>
        <w:pStyle w:val="ListParagraph"/>
        <w:numPr>
          <w:ilvl w:val="0"/>
          <w:numId w:val="8"/>
        </w:numPr>
        <w:rPr>
          <w:b/>
          <w:bCs/>
          <w:color w:val="000000" w:themeColor="text1"/>
        </w:rPr>
      </w:pPr>
      <w:r w:rsidRPr="00A30FEF">
        <w:rPr>
          <w:b/>
          <w:bCs/>
          <w:color w:val="000000" w:themeColor="text1"/>
        </w:rPr>
        <w:t>Achieving measurable packaging recyclability targets above regulatory minimums</w:t>
      </w:r>
    </w:p>
    <w:p w14:paraId="10397600" w14:textId="2FE142B7" w:rsidR="006828D8" w:rsidRPr="006828D8" w:rsidRDefault="00E64DC1" w:rsidP="006828D8">
      <w:pPr>
        <w:rPr>
          <w:b/>
          <w:bCs/>
          <w:color w:val="000000" w:themeColor="text1"/>
        </w:rPr>
      </w:pPr>
      <w:r w:rsidRPr="006828D8">
        <w:rPr>
          <w:b/>
          <w:bCs/>
          <w:color w:val="000000" w:themeColor="text1"/>
        </w:rPr>
        <w:t>Emission targets enhance credibility and regulatory preparedness.</w:t>
      </w:r>
    </w:p>
    <w:p w14:paraId="7AE91A0F" w14:textId="77777777" w:rsidR="0004151A" w:rsidRPr="00A30FEF" w:rsidRDefault="0004151A" w:rsidP="00382D4B">
      <w:pPr>
        <w:pStyle w:val="ListParagraph"/>
        <w:rPr>
          <w:b/>
          <w:bCs/>
          <w:color w:val="000000" w:themeColor="text1"/>
        </w:rPr>
      </w:pPr>
    </w:p>
    <w:p w14:paraId="5EC33F05" w14:textId="55D4FA1C" w:rsidR="00382D4B" w:rsidRPr="006828D8" w:rsidRDefault="00382D4B" w:rsidP="006828D8">
      <w:pPr>
        <w:rPr>
          <w:b/>
          <w:bCs/>
          <w:color w:val="A02B93" w:themeColor="accent5"/>
        </w:rPr>
      </w:pPr>
      <w:r w:rsidRPr="006828D8">
        <w:rPr>
          <w:b/>
          <w:bCs/>
          <w:color w:val="A02B93" w:themeColor="accent5"/>
        </w:rPr>
        <w:t>7.4 Strategic Balanced Scorecard for Innocent Drinks</w:t>
      </w:r>
    </w:p>
    <w:p w14:paraId="03559769" w14:textId="77777777" w:rsidR="00382D4B" w:rsidRPr="00A30FEF" w:rsidRDefault="00382D4B" w:rsidP="00382D4B">
      <w:pPr>
        <w:pStyle w:val="ListParagraph"/>
        <w:rPr>
          <w:b/>
          <w:bCs/>
          <w:color w:val="000000" w:themeColor="text1"/>
        </w:rPr>
      </w:pPr>
    </w:p>
    <w:p w14:paraId="059E3C8A" w14:textId="77777777" w:rsidR="00382D4B" w:rsidRPr="00A30FEF" w:rsidRDefault="00382D4B" w:rsidP="00275635">
      <w:pPr>
        <w:pStyle w:val="NoSpacing"/>
        <w:rPr>
          <w:b/>
          <w:bCs/>
        </w:rPr>
      </w:pPr>
      <w:r w:rsidRPr="00A30FEF">
        <w:rPr>
          <w:b/>
          <w:bCs/>
        </w:rPr>
        <w:t>Using Kaplan and Norton’s (1996) Balanced Scorecard framework:</w:t>
      </w:r>
    </w:p>
    <w:p w14:paraId="22851FC0" w14:textId="77777777" w:rsidR="00382D4B" w:rsidRPr="00A30FEF" w:rsidRDefault="00382D4B" w:rsidP="00275635">
      <w:pPr>
        <w:pStyle w:val="NoSpacing"/>
        <w:rPr>
          <w:b/>
          <w:bCs/>
        </w:rPr>
      </w:pPr>
    </w:p>
    <w:p w14:paraId="681FC344" w14:textId="77777777" w:rsidR="00382D4B" w:rsidRPr="00A30FEF" w:rsidRDefault="00382D4B" w:rsidP="00275635">
      <w:pPr>
        <w:pStyle w:val="NoSpacing"/>
        <w:numPr>
          <w:ilvl w:val="0"/>
          <w:numId w:val="12"/>
        </w:numPr>
        <w:rPr>
          <w:b/>
          <w:bCs/>
        </w:rPr>
      </w:pPr>
      <w:r w:rsidRPr="00A30FEF">
        <w:rPr>
          <w:b/>
          <w:bCs/>
        </w:rPr>
        <w:t>Financial Perspective</w:t>
      </w:r>
    </w:p>
    <w:p w14:paraId="25930296" w14:textId="77777777" w:rsidR="00382D4B" w:rsidRPr="00A30FEF" w:rsidRDefault="00382D4B" w:rsidP="00275635">
      <w:pPr>
        <w:pStyle w:val="NoSpacing"/>
        <w:numPr>
          <w:ilvl w:val="0"/>
          <w:numId w:val="12"/>
        </w:numPr>
        <w:rPr>
          <w:b/>
          <w:bCs/>
        </w:rPr>
      </w:pPr>
      <w:r w:rsidRPr="00A30FEF">
        <w:rPr>
          <w:b/>
          <w:bCs/>
        </w:rPr>
        <w:t>Revenue growth and margin stability</w:t>
      </w:r>
    </w:p>
    <w:p w14:paraId="13D70A23" w14:textId="77777777" w:rsidR="00382D4B" w:rsidRPr="00A30FEF" w:rsidRDefault="00382D4B" w:rsidP="0016447B">
      <w:pPr>
        <w:pStyle w:val="NoSpacing"/>
        <w:rPr>
          <w:b/>
          <w:bCs/>
        </w:rPr>
      </w:pPr>
    </w:p>
    <w:p w14:paraId="3BACABCB" w14:textId="77777777" w:rsidR="00382D4B" w:rsidRPr="00A30FEF" w:rsidRDefault="00382D4B" w:rsidP="00275635">
      <w:pPr>
        <w:pStyle w:val="NoSpacing"/>
        <w:numPr>
          <w:ilvl w:val="0"/>
          <w:numId w:val="12"/>
        </w:numPr>
        <w:rPr>
          <w:b/>
          <w:bCs/>
        </w:rPr>
      </w:pPr>
      <w:r w:rsidRPr="00A30FEF">
        <w:rPr>
          <w:b/>
          <w:bCs/>
        </w:rPr>
        <w:t>Customer Perspective</w:t>
      </w:r>
    </w:p>
    <w:p w14:paraId="6A4764BC" w14:textId="77777777" w:rsidR="00382D4B" w:rsidRPr="00A30FEF" w:rsidRDefault="00382D4B" w:rsidP="00275635">
      <w:pPr>
        <w:pStyle w:val="NoSpacing"/>
        <w:numPr>
          <w:ilvl w:val="0"/>
          <w:numId w:val="12"/>
        </w:numPr>
        <w:rPr>
          <w:b/>
          <w:bCs/>
        </w:rPr>
      </w:pPr>
      <w:r w:rsidRPr="00A30FEF">
        <w:rPr>
          <w:b/>
          <w:bCs/>
        </w:rPr>
        <w:t>Brand trust and sustainability perception</w:t>
      </w:r>
    </w:p>
    <w:p w14:paraId="4FF05FE8" w14:textId="77777777" w:rsidR="00382D4B" w:rsidRPr="00A30FEF" w:rsidRDefault="00382D4B" w:rsidP="00275635">
      <w:pPr>
        <w:pStyle w:val="NoSpacing"/>
        <w:rPr>
          <w:b/>
          <w:bCs/>
        </w:rPr>
      </w:pPr>
    </w:p>
    <w:p w14:paraId="539C186D" w14:textId="77777777" w:rsidR="00382D4B" w:rsidRPr="00A30FEF" w:rsidRDefault="00382D4B" w:rsidP="00275635">
      <w:pPr>
        <w:pStyle w:val="NoSpacing"/>
        <w:numPr>
          <w:ilvl w:val="0"/>
          <w:numId w:val="12"/>
        </w:numPr>
        <w:rPr>
          <w:b/>
          <w:bCs/>
        </w:rPr>
      </w:pPr>
      <w:r w:rsidRPr="00A30FEF">
        <w:rPr>
          <w:b/>
          <w:bCs/>
        </w:rPr>
        <w:t>Internal Process Perspective</w:t>
      </w:r>
    </w:p>
    <w:p w14:paraId="266202F0" w14:textId="77777777" w:rsidR="00382D4B" w:rsidRPr="00A30FEF" w:rsidRDefault="00382D4B" w:rsidP="00275635">
      <w:pPr>
        <w:pStyle w:val="NoSpacing"/>
        <w:numPr>
          <w:ilvl w:val="0"/>
          <w:numId w:val="12"/>
        </w:numPr>
        <w:rPr>
          <w:b/>
          <w:bCs/>
        </w:rPr>
      </w:pPr>
      <w:r w:rsidRPr="00A30FEF">
        <w:rPr>
          <w:b/>
          <w:bCs/>
        </w:rPr>
        <w:t>Packaging innovation efficiency and supply chain resilience</w:t>
      </w:r>
    </w:p>
    <w:p w14:paraId="191775E6" w14:textId="77777777" w:rsidR="00382D4B" w:rsidRPr="00A30FEF" w:rsidRDefault="00382D4B" w:rsidP="00275635">
      <w:pPr>
        <w:pStyle w:val="NoSpacing"/>
        <w:rPr>
          <w:b/>
          <w:bCs/>
        </w:rPr>
      </w:pPr>
    </w:p>
    <w:p w14:paraId="3412C1B0" w14:textId="77777777" w:rsidR="00382D4B" w:rsidRPr="00A30FEF" w:rsidRDefault="00382D4B" w:rsidP="00275635">
      <w:pPr>
        <w:pStyle w:val="NoSpacing"/>
        <w:numPr>
          <w:ilvl w:val="0"/>
          <w:numId w:val="12"/>
        </w:numPr>
        <w:rPr>
          <w:b/>
          <w:bCs/>
        </w:rPr>
      </w:pPr>
      <w:r w:rsidRPr="00A30FEF">
        <w:rPr>
          <w:b/>
          <w:bCs/>
        </w:rPr>
        <w:t>Learning and Growth Perspective</w:t>
      </w:r>
    </w:p>
    <w:p w14:paraId="4E9D3B34" w14:textId="77777777" w:rsidR="00382D4B" w:rsidRPr="00A30FEF" w:rsidRDefault="00382D4B" w:rsidP="00275635">
      <w:pPr>
        <w:pStyle w:val="NoSpacing"/>
        <w:numPr>
          <w:ilvl w:val="0"/>
          <w:numId w:val="12"/>
        </w:numPr>
        <w:rPr>
          <w:b/>
          <w:bCs/>
        </w:rPr>
      </w:pPr>
      <w:r w:rsidRPr="00A30FEF">
        <w:rPr>
          <w:b/>
          <w:bCs/>
        </w:rPr>
        <w:t>Capability development in sustainability analytics and R&amp;D</w:t>
      </w:r>
    </w:p>
    <w:p w14:paraId="00F51190" w14:textId="77777777" w:rsidR="00382D4B" w:rsidRPr="00A30FEF" w:rsidRDefault="00382D4B" w:rsidP="00275635">
      <w:pPr>
        <w:pStyle w:val="NoSpacing"/>
        <w:rPr>
          <w:b/>
          <w:bCs/>
        </w:rPr>
      </w:pPr>
    </w:p>
    <w:p w14:paraId="67AD9962" w14:textId="54AF625B" w:rsidR="00382D4B" w:rsidRPr="00A30FEF" w:rsidRDefault="00382D4B" w:rsidP="00275635">
      <w:pPr>
        <w:pStyle w:val="NoSpacing"/>
        <w:rPr>
          <w:b/>
          <w:bCs/>
        </w:rPr>
      </w:pPr>
      <w:r w:rsidRPr="00A30FEF">
        <w:rPr>
          <w:b/>
          <w:bCs/>
        </w:rPr>
        <w:t>This integrated approach aligns financial and non-financial performance indicators.</w:t>
      </w:r>
    </w:p>
    <w:p w14:paraId="0F61D313" w14:textId="77777777" w:rsidR="006D730F" w:rsidRPr="00A30FEF" w:rsidRDefault="006D730F" w:rsidP="00275635">
      <w:pPr>
        <w:pStyle w:val="NoSpacing"/>
        <w:rPr>
          <w:b/>
          <w:bCs/>
        </w:rPr>
      </w:pPr>
    </w:p>
    <w:p w14:paraId="795833CF" w14:textId="446441E8" w:rsidR="006D730F" w:rsidRPr="00A30FEF" w:rsidRDefault="006D730F" w:rsidP="00275635">
      <w:pPr>
        <w:pStyle w:val="NoSpacing"/>
        <w:rPr>
          <w:b/>
          <w:bCs/>
          <w:color w:val="A02B93" w:themeColor="accent5"/>
        </w:rPr>
      </w:pPr>
      <w:r w:rsidRPr="00A30FEF">
        <w:rPr>
          <w:b/>
          <w:bCs/>
          <w:color w:val="A02B93" w:themeColor="accent5"/>
        </w:rPr>
        <w:t>7.5 Risk Assessment and Mitigation</w:t>
      </w:r>
    </w:p>
    <w:p w14:paraId="0E8DD324" w14:textId="77777777" w:rsidR="003C0A0F" w:rsidRPr="00A30FEF" w:rsidRDefault="003C0A0F" w:rsidP="003C0A0F">
      <w:pPr>
        <w:pStyle w:val="NoSpacing"/>
        <w:rPr>
          <w:b/>
          <w:bCs/>
          <w:color w:val="A02B93" w:themeColor="accent5"/>
        </w:rPr>
      </w:pPr>
      <w:r w:rsidRPr="00A30FEF">
        <w:rPr>
          <w:b/>
          <w:bCs/>
          <w:color w:val="A02B93" w:themeColor="accent5"/>
        </w:rPr>
        <w:t>Key risks include:</w:t>
      </w:r>
    </w:p>
    <w:p w14:paraId="71E9D5A8" w14:textId="77777777" w:rsidR="003C0A0F" w:rsidRPr="00A30FEF" w:rsidRDefault="003C0A0F" w:rsidP="003C0A0F">
      <w:pPr>
        <w:pStyle w:val="NoSpacing"/>
        <w:rPr>
          <w:b/>
          <w:bCs/>
          <w:color w:val="A02B93" w:themeColor="accent5"/>
        </w:rPr>
      </w:pPr>
    </w:p>
    <w:p w14:paraId="32B6761C" w14:textId="0F8AA6EA" w:rsidR="003C0A0F" w:rsidRPr="00A30FEF" w:rsidRDefault="003C0A0F" w:rsidP="003C0A0F">
      <w:pPr>
        <w:pStyle w:val="NoSpacing"/>
        <w:numPr>
          <w:ilvl w:val="0"/>
          <w:numId w:val="12"/>
        </w:numPr>
        <w:rPr>
          <w:b/>
          <w:bCs/>
          <w:color w:val="000000" w:themeColor="text1"/>
        </w:rPr>
      </w:pPr>
      <w:r w:rsidRPr="00A30FEF">
        <w:rPr>
          <w:b/>
          <w:bCs/>
          <w:color w:val="000000" w:themeColor="text1"/>
        </w:rPr>
        <w:t>Technological failure in packaging innovation</w:t>
      </w:r>
    </w:p>
    <w:p w14:paraId="1CDDCF30" w14:textId="5532079E" w:rsidR="003C0A0F" w:rsidRPr="00A30FEF" w:rsidRDefault="003C0A0F" w:rsidP="003C0A0F">
      <w:pPr>
        <w:pStyle w:val="NoSpacing"/>
        <w:numPr>
          <w:ilvl w:val="0"/>
          <w:numId w:val="12"/>
        </w:numPr>
        <w:rPr>
          <w:b/>
          <w:bCs/>
          <w:color w:val="000000" w:themeColor="text1"/>
        </w:rPr>
      </w:pPr>
      <w:r w:rsidRPr="00A30FEF">
        <w:rPr>
          <w:b/>
          <w:bCs/>
          <w:color w:val="000000" w:themeColor="text1"/>
        </w:rPr>
        <w:t>Higher-than-expected capital expenditure</w:t>
      </w:r>
    </w:p>
    <w:p w14:paraId="04623510" w14:textId="7B5B2378" w:rsidR="003C0A0F" w:rsidRPr="00A30FEF" w:rsidRDefault="003C0A0F" w:rsidP="003C0A0F">
      <w:pPr>
        <w:pStyle w:val="NoSpacing"/>
        <w:numPr>
          <w:ilvl w:val="0"/>
          <w:numId w:val="12"/>
        </w:numPr>
        <w:rPr>
          <w:b/>
          <w:bCs/>
          <w:color w:val="000000" w:themeColor="text1"/>
        </w:rPr>
      </w:pPr>
      <w:r w:rsidRPr="00A30FEF">
        <w:rPr>
          <w:b/>
          <w:bCs/>
          <w:color w:val="000000" w:themeColor="text1"/>
        </w:rPr>
        <w:t>Regulatory acceleration beyond planned targets</w:t>
      </w:r>
    </w:p>
    <w:p w14:paraId="469A6B5F" w14:textId="77777777" w:rsidR="003C0A0F" w:rsidRPr="00A30FEF" w:rsidRDefault="003C0A0F" w:rsidP="003C0A0F">
      <w:pPr>
        <w:pStyle w:val="NoSpacing"/>
        <w:rPr>
          <w:b/>
          <w:bCs/>
          <w:color w:val="000000" w:themeColor="text1"/>
        </w:rPr>
      </w:pPr>
    </w:p>
    <w:p w14:paraId="2D15FD12" w14:textId="77777777" w:rsidR="003C0A0F" w:rsidRPr="00A30FEF" w:rsidRDefault="003C0A0F" w:rsidP="003C0A0F">
      <w:pPr>
        <w:pStyle w:val="NoSpacing"/>
        <w:numPr>
          <w:ilvl w:val="0"/>
          <w:numId w:val="13"/>
        </w:numPr>
        <w:rPr>
          <w:b/>
          <w:bCs/>
          <w:color w:val="000000" w:themeColor="text1"/>
        </w:rPr>
      </w:pPr>
      <w:r w:rsidRPr="00A30FEF">
        <w:rPr>
          <w:b/>
          <w:bCs/>
          <w:color w:val="000000" w:themeColor="text1"/>
        </w:rPr>
        <w:t>Mitigation strategies:</w:t>
      </w:r>
    </w:p>
    <w:p w14:paraId="3F9A620C" w14:textId="77777777" w:rsidR="003C0A0F" w:rsidRPr="00A30FEF" w:rsidRDefault="003C0A0F" w:rsidP="003C0A0F">
      <w:pPr>
        <w:pStyle w:val="NoSpacing"/>
        <w:rPr>
          <w:b/>
          <w:bCs/>
          <w:color w:val="000000" w:themeColor="text1"/>
        </w:rPr>
      </w:pPr>
    </w:p>
    <w:p w14:paraId="20B03D47" w14:textId="726CA216" w:rsidR="003C0A0F" w:rsidRPr="00A30FEF" w:rsidRDefault="003C0A0F" w:rsidP="003C0A0F">
      <w:pPr>
        <w:pStyle w:val="NoSpacing"/>
        <w:numPr>
          <w:ilvl w:val="0"/>
          <w:numId w:val="13"/>
        </w:numPr>
        <w:rPr>
          <w:b/>
          <w:bCs/>
          <w:color w:val="000000" w:themeColor="text1"/>
        </w:rPr>
      </w:pPr>
      <w:r w:rsidRPr="00A30FEF">
        <w:rPr>
          <w:b/>
          <w:bCs/>
          <w:color w:val="000000" w:themeColor="text1"/>
        </w:rPr>
        <w:t>Pilot testing before full-scale rollout</w:t>
      </w:r>
    </w:p>
    <w:p w14:paraId="242B9B3F" w14:textId="4C930A9F" w:rsidR="003C0A0F" w:rsidRPr="00A30FEF" w:rsidRDefault="003C0A0F" w:rsidP="003C0A0F">
      <w:pPr>
        <w:pStyle w:val="NoSpacing"/>
        <w:numPr>
          <w:ilvl w:val="0"/>
          <w:numId w:val="13"/>
        </w:numPr>
        <w:rPr>
          <w:b/>
          <w:bCs/>
          <w:color w:val="000000" w:themeColor="text1"/>
        </w:rPr>
      </w:pPr>
      <w:r w:rsidRPr="00A30FEF">
        <w:rPr>
          <w:b/>
          <w:bCs/>
          <w:color w:val="000000" w:themeColor="text1"/>
        </w:rPr>
        <w:t>Financial scenario modelling</w:t>
      </w:r>
    </w:p>
    <w:p w14:paraId="37EF7A2F" w14:textId="6C48F7D3" w:rsidR="003C0A0F" w:rsidRDefault="003C0A0F" w:rsidP="003C0A0F">
      <w:pPr>
        <w:pStyle w:val="NoSpacing"/>
        <w:numPr>
          <w:ilvl w:val="0"/>
          <w:numId w:val="13"/>
        </w:numPr>
        <w:rPr>
          <w:b/>
          <w:bCs/>
          <w:color w:val="000000" w:themeColor="text1"/>
        </w:rPr>
      </w:pPr>
      <w:r w:rsidRPr="00A30FEF">
        <w:rPr>
          <w:b/>
          <w:bCs/>
          <w:color w:val="000000" w:themeColor="text1"/>
        </w:rPr>
        <w:t>Continuous regulatory monitoring</w:t>
      </w:r>
    </w:p>
    <w:p w14:paraId="443D122C" w14:textId="77777777" w:rsidR="00E22EE7" w:rsidRDefault="00E22EE7" w:rsidP="00E22EE7">
      <w:pPr>
        <w:pStyle w:val="NoSpacing"/>
        <w:rPr>
          <w:b/>
          <w:bCs/>
          <w:color w:val="000000" w:themeColor="text1"/>
        </w:rPr>
      </w:pPr>
    </w:p>
    <w:p w14:paraId="6A42D636" w14:textId="77777777" w:rsidR="00E22EE7" w:rsidRDefault="00E22EE7" w:rsidP="00E22EE7">
      <w:pPr>
        <w:pStyle w:val="NoSpacing"/>
        <w:rPr>
          <w:b/>
          <w:bCs/>
          <w:color w:val="000000" w:themeColor="text1"/>
        </w:rPr>
      </w:pPr>
    </w:p>
    <w:p w14:paraId="03BD6AB5" w14:textId="77777777" w:rsidR="00E22EE7" w:rsidRPr="00A30FEF" w:rsidRDefault="00E22EE7" w:rsidP="00E22EE7">
      <w:pPr>
        <w:pStyle w:val="NoSpacing"/>
        <w:rPr>
          <w:b/>
          <w:bCs/>
          <w:color w:val="000000" w:themeColor="text1"/>
        </w:rPr>
      </w:pPr>
    </w:p>
    <w:p w14:paraId="792F1CAF" w14:textId="77777777" w:rsidR="003C0A0F" w:rsidRPr="00A30FEF" w:rsidRDefault="003C0A0F" w:rsidP="003C0A0F">
      <w:pPr>
        <w:pStyle w:val="NoSpacing"/>
        <w:rPr>
          <w:b/>
          <w:bCs/>
          <w:color w:val="000000" w:themeColor="text1"/>
        </w:rPr>
      </w:pPr>
    </w:p>
    <w:p w14:paraId="4B1B6075" w14:textId="35BF00E3" w:rsidR="00074302" w:rsidRPr="00E22EE7" w:rsidRDefault="00A06668" w:rsidP="003C0A0F">
      <w:pPr>
        <w:pStyle w:val="NoSpacing"/>
        <w:rPr>
          <w:b/>
          <w:bCs/>
          <w:color w:val="A02B93" w:themeColor="accent5"/>
        </w:rPr>
      </w:pPr>
      <w:r w:rsidRPr="00E22EE7">
        <w:rPr>
          <w:b/>
          <w:bCs/>
          <w:color w:val="A02B93" w:themeColor="accent5"/>
        </w:rPr>
        <w:t>8.</w:t>
      </w:r>
      <w:r w:rsidR="00074302" w:rsidRPr="00E22EE7">
        <w:rPr>
          <w:b/>
          <w:bCs/>
          <w:color w:val="A02B93" w:themeColor="accent5"/>
        </w:rPr>
        <w:t>Conclusion</w:t>
      </w:r>
    </w:p>
    <w:p w14:paraId="22A04F53" w14:textId="77777777" w:rsidR="00A06668" w:rsidRPr="00A30FEF" w:rsidRDefault="00A06668" w:rsidP="003C0A0F">
      <w:pPr>
        <w:pStyle w:val="NoSpacing"/>
        <w:rPr>
          <w:b/>
          <w:bCs/>
          <w:color w:val="000000" w:themeColor="text1"/>
        </w:rPr>
      </w:pPr>
    </w:p>
    <w:p w14:paraId="4B334C5B" w14:textId="77777777" w:rsidR="006F67B5" w:rsidRPr="006F67B5" w:rsidRDefault="006F67B5" w:rsidP="006F67B5">
      <w:pPr>
        <w:pStyle w:val="NoSpacing"/>
        <w:rPr>
          <w:b/>
          <w:bCs/>
          <w:color w:val="000000" w:themeColor="text1"/>
        </w:rPr>
      </w:pPr>
      <w:r w:rsidRPr="006F67B5">
        <w:rPr>
          <w:b/>
          <w:bCs/>
          <w:color w:val="000000" w:themeColor="text1"/>
        </w:rPr>
        <w:t>Innocent Drinks operates in a competitive and regulated beverage industry shaped by climate-related supply risks and rising sustainability expectations. Structural analysis suggests that cost-based competition would weaken the brand’s premium differentiation.</w:t>
      </w:r>
    </w:p>
    <w:p w14:paraId="0A052989" w14:textId="77777777" w:rsidR="006F67B5" w:rsidRPr="006F67B5" w:rsidRDefault="006F67B5" w:rsidP="006F67B5">
      <w:pPr>
        <w:pStyle w:val="NoSpacing"/>
        <w:rPr>
          <w:b/>
          <w:bCs/>
          <w:color w:val="000000" w:themeColor="text1"/>
        </w:rPr>
      </w:pPr>
      <w:r w:rsidRPr="006F67B5">
        <w:rPr>
          <w:b/>
          <w:bCs/>
          <w:color w:val="000000" w:themeColor="text1"/>
        </w:rPr>
        <w:t>Evaluation of strategic options shows that market penetration provides limited long-term benefits, while diversification risks strategic inconsistency. In contrast, a focused differentiation strategy based on circular packaging innovation and selective European expansion strengthens competitive advantage and corporate legitimacy.</w:t>
      </w:r>
    </w:p>
    <w:p w14:paraId="03172485" w14:textId="77777777" w:rsidR="006F67B5" w:rsidRPr="006F67B5" w:rsidRDefault="006F67B5" w:rsidP="006F67B5">
      <w:pPr>
        <w:pStyle w:val="NoSpacing"/>
        <w:rPr>
          <w:b/>
          <w:bCs/>
          <w:color w:val="000000" w:themeColor="text1"/>
        </w:rPr>
      </w:pPr>
      <w:r w:rsidRPr="006F67B5">
        <w:rPr>
          <w:b/>
          <w:bCs/>
          <w:color w:val="000000" w:themeColor="text1"/>
        </w:rPr>
        <w:t>The SFA evaluation indicates strong suitability, operational feasibility and stakeholder acceptability. With effective implementation and measurable sustainability targets, Innocent can convert sustainability leadership into long-term competitive advantage.</w:t>
      </w:r>
    </w:p>
    <w:p w14:paraId="29E0BB30" w14:textId="77777777" w:rsidR="006F67B5" w:rsidRPr="006F67B5" w:rsidRDefault="006F67B5" w:rsidP="006F67B5">
      <w:pPr>
        <w:pStyle w:val="NoSpacing"/>
        <w:rPr>
          <w:b/>
          <w:bCs/>
          <w:color w:val="000000" w:themeColor="text1"/>
        </w:rPr>
      </w:pPr>
      <w:r w:rsidRPr="006F67B5">
        <w:rPr>
          <w:b/>
          <w:bCs/>
          <w:color w:val="000000" w:themeColor="text1"/>
        </w:rPr>
        <w:t>Long-term success will depend on maintaining authenticity, building dynamic capabilities and aligning business performance with societal value creation.</w:t>
      </w:r>
    </w:p>
    <w:p w14:paraId="2D64053A" w14:textId="77777777" w:rsidR="00A06668" w:rsidRPr="00A30FEF" w:rsidRDefault="00A06668" w:rsidP="003C0A0F">
      <w:pPr>
        <w:pStyle w:val="NoSpacing"/>
        <w:rPr>
          <w:b/>
          <w:bCs/>
          <w:color w:val="000000" w:themeColor="text1"/>
        </w:rPr>
      </w:pPr>
    </w:p>
    <w:p w14:paraId="2655137C" w14:textId="75D4CD69" w:rsidR="00B32093" w:rsidRDefault="00B32093" w:rsidP="00420C60">
      <w:pPr>
        <w:pStyle w:val="Heading2"/>
        <w:rPr>
          <w:b/>
          <w:bCs/>
        </w:rPr>
      </w:pPr>
      <w:r w:rsidRPr="00A30FEF">
        <w:rPr>
          <w:b/>
          <w:bCs/>
        </w:rPr>
        <w:t>9. References</w:t>
      </w:r>
    </w:p>
    <w:p w14:paraId="2B4D0168" w14:textId="77777777" w:rsidR="001F1F07" w:rsidRDefault="001F1F07" w:rsidP="00E82766">
      <w:pPr>
        <w:pStyle w:val="ListParagraph"/>
        <w:numPr>
          <w:ilvl w:val="0"/>
          <w:numId w:val="21"/>
        </w:numPr>
      </w:pPr>
      <w:r>
        <w:t>Ansoff, H.I. (1957) ‘Strategies for diversification’, Harvard Business Review, 35(5), pp. 113–124.</w:t>
      </w:r>
    </w:p>
    <w:p w14:paraId="443BAAFA" w14:textId="49BB446E" w:rsidR="001F1F07" w:rsidRDefault="001F1F07" w:rsidP="00E82766">
      <w:pPr>
        <w:pStyle w:val="ListParagraph"/>
        <w:numPr>
          <w:ilvl w:val="0"/>
          <w:numId w:val="21"/>
        </w:numPr>
      </w:pPr>
      <w:r>
        <w:t>Barney, J. (1991) ‘Firm resources and sustained competitive advantage’, Journal of Management, 17(1), pp. 99–120.</w:t>
      </w:r>
    </w:p>
    <w:p w14:paraId="401B1B80" w14:textId="77777777" w:rsidR="001F1F07" w:rsidRDefault="001F1F07" w:rsidP="00E82766">
      <w:pPr>
        <w:pStyle w:val="ListParagraph"/>
        <w:numPr>
          <w:ilvl w:val="0"/>
          <w:numId w:val="21"/>
        </w:numPr>
      </w:pPr>
      <w:r>
        <w:t>DiMaggio, P.J. and Powell, W.W. (1983) ‘The iron cage revisited’, American Sociological Review, 48(2), pp. 147–160.</w:t>
      </w:r>
    </w:p>
    <w:p w14:paraId="6AFADFCE" w14:textId="77777777" w:rsidR="001F1F07" w:rsidRDefault="001F1F07" w:rsidP="00E82766">
      <w:pPr>
        <w:pStyle w:val="ListParagraph"/>
        <w:numPr>
          <w:ilvl w:val="0"/>
          <w:numId w:val="21"/>
        </w:numPr>
      </w:pPr>
      <w:r>
        <w:t>Eccles, R.G., Ioannou, I. and Serafeim, G. (2014) ‘The impact of corporate sustainability on organisational processes and performance’, Management Science, 60(11), pp. 2835–2857.</w:t>
      </w:r>
    </w:p>
    <w:p w14:paraId="3568C7AA" w14:textId="77777777" w:rsidR="001F1F07" w:rsidRDefault="001F1F07" w:rsidP="00E82766">
      <w:pPr>
        <w:pStyle w:val="ListParagraph"/>
        <w:numPr>
          <w:ilvl w:val="0"/>
          <w:numId w:val="21"/>
        </w:numPr>
      </w:pPr>
      <w:r>
        <w:t>Elkington, J. (1997) Cannibals with forks: The triple bottom line of 21st century business. Oxford: Capstone.</w:t>
      </w:r>
    </w:p>
    <w:p w14:paraId="0FC098E8" w14:textId="77777777" w:rsidR="001F1F07" w:rsidRDefault="001F1F07" w:rsidP="00E82766">
      <w:pPr>
        <w:pStyle w:val="ListParagraph"/>
        <w:numPr>
          <w:ilvl w:val="0"/>
          <w:numId w:val="21"/>
        </w:numPr>
      </w:pPr>
      <w:r>
        <w:t>Freeman, R.E. (1984) Strategic management: A stakeholder approach. Boston: Pitman.</w:t>
      </w:r>
    </w:p>
    <w:p w14:paraId="6AB6AF15" w14:textId="77777777" w:rsidR="001F1F07" w:rsidRDefault="001F1F07" w:rsidP="00E82766">
      <w:pPr>
        <w:pStyle w:val="ListParagraph"/>
        <w:numPr>
          <w:ilvl w:val="0"/>
          <w:numId w:val="21"/>
        </w:numPr>
      </w:pPr>
      <w:r>
        <w:t xml:space="preserve">Grant, R.M. (2019) Contemporary strategy analysis. 10th </w:t>
      </w:r>
      <w:proofErr w:type="spellStart"/>
      <w:r>
        <w:t>edn</w:t>
      </w:r>
      <w:proofErr w:type="spellEnd"/>
      <w:r>
        <w:t>. Chichester: Wiley.</w:t>
      </w:r>
    </w:p>
    <w:p w14:paraId="7D67984F" w14:textId="77777777" w:rsidR="001F1F07" w:rsidRDefault="001F1F07" w:rsidP="00E82766">
      <w:pPr>
        <w:pStyle w:val="ListParagraph"/>
        <w:numPr>
          <w:ilvl w:val="0"/>
          <w:numId w:val="21"/>
        </w:numPr>
      </w:pPr>
      <w:r>
        <w:t>Hill, T. and Westbrook, R. (1997) ‘SWOT analysis: It’s time for a product recall’, Long Range Planning, 30(1), pp. 46–52.</w:t>
      </w:r>
    </w:p>
    <w:p w14:paraId="68727686" w14:textId="73487CD3" w:rsidR="000E4654" w:rsidRDefault="000E4654" w:rsidP="00E82766">
      <w:pPr>
        <w:pStyle w:val="ListParagraph"/>
        <w:numPr>
          <w:ilvl w:val="0"/>
          <w:numId w:val="21"/>
        </w:numPr>
      </w:pPr>
      <w:r w:rsidRPr="000E4654">
        <w:t>Sahlman, W.A., 2004. </w:t>
      </w:r>
      <w:r w:rsidRPr="00E82766">
        <w:rPr>
          <w:i/>
          <w:iCs/>
        </w:rPr>
        <w:t>Innocent Drinks</w:t>
      </w:r>
      <w:r w:rsidRPr="000E4654">
        <w:t>. Harvard Business School.</w:t>
      </w:r>
    </w:p>
    <w:p w14:paraId="0A4B0D2F" w14:textId="77777777" w:rsidR="001F1F07" w:rsidRDefault="001F1F07" w:rsidP="00E82766">
      <w:pPr>
        <w:pStyle w:val="ListParagraph"/>
        <w:numPr>
          <w:ilvl w:val="0"/>
          <w:numId w:val="21"/>
        </w:numPr>
      </w:pPr>
      <w:r>
        <w:t xml:space="preserve">Johnson, G., Scholes, K. and Whittington, R. (2020) Exploring strategy. 12th </w:t>
      </w:r>
      <w:proofErr w:type="spellStart"/>
      <w:r>
        <w:t>edn</w:t>
      </w:r>
      <w:proofErr w:type="spellEnd"/>
      <w:r>
        <w:t>. Harlow: Pearson.</w:t>
      </w:r>
    </w:p>
    <w:p w14:paraId="7C456890" w14:textId="77777777" w:rsidR="001F1F07" w:rsidRDefault="001F1F07" w:rsidP="00E82766">
      <w:pPr>
        <w:pStyle w:val="ListParagraph"/>
        <w:numPr>
          <w:ilvl w:val="0"/>
          <w:numId w:val="21"/>
        </w:numPr>
      </w:pPr>
      <w:r>
        <w:t>Kaplan, R.S. and Norton, D.P. (1996) The balanced scorecard. Boston: Harvard Business School Press.</w:t>
      </w:r>
    </w:p>
    <w:p w14:paraId="0DC947C3" w14:textId="77777777" w:rsidR="001F1F07" w:rsidRDefault="001F1F07" w:rsidP="00E82766">
      <w:pPr>
        <w:pStyle w:val="ListParagraph"/>
        <w:numPr>
          <w:ilvl w:val="0"/>
          <w:numId w:val="21"/>
        </w:numPr>
      </w:pPr>
      <w:r>
        <w:t xml:space="preserve">Keller, K.L. (2013) Strategic brand management. 4th </w:t>
      </w:r>
      <w:proofErr w:type="spellStart"/>
      <w:r>
        <w:t>edn</w:t>
      </w:r>
      <w:proofErr w:type="spellEnd"/>
      <w:r>
        <w:t>. Harlow: Pearson.</w:t>
      </w:r>
    </w:p>
    <w:p w14:paraId="7DD2C998" w14:textId="77777777" w:rsidR="001F1F07" w:rsidRDefault="001F1F07" w:rsidP="00E82766">
      <w:pPr>
        <w:pStyle w:val="ListParagraph"/>
        <w:numPr>
          <w:ilvl w:val="0"/>
          <w:numId w:val="21"/>
        </w:numPr>
      </w:pPr>
      <w:r>
        <w:lastRenderedPageBreak/>
        <w:t xml:space="preserve">Kotler, P. and Keller, K.L. (2016) Marketing management. 15th </w:t>
      </w:r>
      <w:proofErr w:type="spellStart"/>
      <w:r>
        <w:t>edn</w:t>
      </w:r>
      <w:proofErr w:type="spellEnd"/>
      <w:r>
        <w:t>. Harlow: Pearson.</w:t>
      </w:r>
    </w:p>
    <w:p w14:paraId="1A8CD08B" w14:textId="77777777" w:rsidR="001F1F07" w:rsidRDefault="001F1F07" w:rsidP="00E82766">
      <w:pPr>
        <w:pStyle w:val="ListParagraph"/>
        <w:numPr>
          <w:ilvl w:val="0"/>
          <w:numId w:val="21"/>
        </w:numPr>
      </w:pPr>
      <w:r>
        <w:t>Mintzberg, H. (1987) ‘The strategy concept I: Five Ps for strategy’, California Management Review, 30(1), pp. 11–24.</w:t>
      </w:r>
    </w:p>
    <w:p w14:paraId="272935F2" w14:textId="77777777" w:rsidR="001F1F07" w:rsidRDefault="001F1F07" w:rsidP="00E82766">
      <w:pPr>
        <w:pStyle w:val="ListParagraph"/>
        <w:numPr>
          <w:ilvl w:val="0"/>
          <w:numId w:val="21"/>
        </w:numPr>
      </w:pPr>
      <w:r>
        <w:t xml:space="preserve">Ottman, J. (2017) The new rules of green marketing. 2nd </w:t>
      </w:r>
      <w:proofErr w:type="spellStart"/>
      <w:r>
        <w:t>edn</w:t>
      </w:r>
      <w:proofErr w:type="spellEnd"/>
      <w:r>
        <w:t>. London: Routledge.</w:t>
      </w:r>
    </w:p>
    <w:p w14:paraId="73074965" w14:textId="77777777" w:rsidR="001F1F07" w:rsidRDefault="001F1F07" w:rsidP="00E82766">
      <w:pPr>
        <w:pStyle w:val="ListParagraph"/>
        <w:numPr>
          <w:ilvl w:val="0"/>
          <w:numId w:val="21"/>
        </w:numPr>
      </w:pPr>
      <w:r>
        <w:t>Porter, M.E. (1980) Competitive strategy. New York: Free Press.</w:t>
      </w:r>
    </w:p>
    <w:p w14:paraId="7997A8A4" w14:textId="77777777" w:rsidR="001F1F07" w:rsidRDefault="001F1F07" w:rsidP="00E82766">
      <w:pPr>
        <w:pStyle w:val="ListParagraph"/>
        <w:numPr>
          <w:ilvl w:val="0"/>
          <w:numId w:val="21"/>
        </w:numPr>
      </w:pPr>
      <w:r>
        <w:t>Porter, M.E. (1985) Competitive advantage. New York: Free Press.</w:t>
      </w:r>
    </w:p>
    <w:p w14:paraId="4A2D8CA5" w14:textId="77777777" w:rsidR="001F1F07" w:rsidRDefault="001F1F07" w:rsidP="00E82766">
      <w:pPr>
        <w:pStyle w:val="ListParagraph"/>
        <w:numPr>
          <w:ilvl w:val="0"/>
          <w:numId w:val="21"/>
        </w:numPr>
      </w:pPr>
      <w:r>
        <w:t>Porter, M.E. and Kramer, M.R. (2011) ‘Creating shared value’, Harvard Business Review, 89(1/2), pp. 62–77.</w:t>
      </w:r>
    </w:p>
    <w:p w14:paraId="50797387" w14:textId="77777777" w:rsidR="001F1F07" w:rsidRDefault="001F1F07" w:rsidP="00E82766">
      <w:pPr>
        <w:pStyle w:val="ListParagraph"/>
        <w:numPr>
          <w:ilvl w:val="0"/>
          <w:numId w:val="21"/>
        </w:numPr>
      </w:pPr>
      <w:r>
        <w:t>Prahalad, C.K. and Hamel, G. (1990) ‘The core competence of the corporation’, Harvard Business Review, 68(3), pp. 79–91.</w:t>
      </w:r>
    </w:p>
    <w:p w14:paraId="5E51D6DC" w14:textId="77777777" w:rsidR="001F1F07" w:rsidRDefault="001F1F07" w:rsidP="00E82766">
      <w:pPr>
        <w:pStyle w:val="ListParagraph"/>
        <w:numPr>
          <w:ilvl w:val="0"/>
          <w:numId w:val="21"/>
        </w:numPr>
      </w:pPr>
      <w:r>
        <w:t>Suchman, M.C. (1995) ‘Managing legitimacy’, Academy of Management Review, 20(3), pp. 571–610.</w:t>
      </w:r>
    </w:p>
    <w:p w14:paraId="336AB8D0" w14:textId="04ACA771" w:rsidR="001F1F07" w:rsidRPr="001F1F07" w:rsidRDefault="001F1F07" w:rsidP="00E82766">
      <w:pPr>
        <w:pStyle w:val="ListParagraph"/>
        <w:numPr>
          <w:ilvl w:val="0"/>
          <w:numId w:val="21"/>
        </w:numPr>
      </w:pPr>
      <w:r>
        <w:t>Teece, D.J. (2018) ‘Business models and dynamic capabilities’, Long Range Planning, 51(1), pp. 40–49.</w:t>
      </w:r>
    </w:p>
    <w:sectPr w:rsidR="001F1F07" w:rsidRPr="001F1F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51E26" w14:textId="77777777" w:rsidR="00DA2760" w:rsidRDefault="00DA2760" w:rsidP="00086FEE">
      <w:pPr>
        <w:spacing w:after="0" w:line="240" w:lineRule="auto"/>
      </w:pPr>
      <w:r>
        <w:separator/>
      </w:r>
    </w:p>
  </w:endnote>
  <w:endnote w:type="continuationSeparator" w:id="0">
    <w:p w14:paraId="62F0B163" w14:textId="77777777" w:rsidR="00DA2760" w:rsidRDefault="00DA2760" w:rsidP="00086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372BC" w14:textId="77777777" w:rsidR="00DA2760" w:rsidRDefault="00DA2760" w:rsidP="00086FEE">
      <w:pPr>
        <w:spacing w:after="0" w:line="240" w:lineRule="auto"/>
      </w:pPr>
      <w:r>
        <w:separator/>
      </w:r>
    </w:p>
  </w:footnote>
  <w:footnote w:type="continuationSeparator" w:id="0">
    <w:p w14:paraId="45BC42EB" w14:textId="77777777" w:rsidR="00DA2760" w:rsidRDefault="00DA2760" w:rsidP="00086F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4C65"/>
    <w:multiLevelType w:val="hybridMultilevel"/>
    <w:tmpl w:val="01C2C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D1160"/>
    <w:multiLevelType w:val="multilevel"/>
    <w:tmpl w:val="646C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451C20"/>
    <w:multiLevelType w:val="multilevel"/>
    <w:tmpl w:val="5980F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FA2BCC"/>
    <w:multiLevelType w:val="hybridMultilevel"/>
    <w:tmpl w:val="239EC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992"/>
    <w:multiLevelType w:val="hybridMultilevel"/>
    <w:tmpl w:val="A2A633C0"/>
    <w:lvl w:ilvl="0" w:tplc="D284CA0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F012E5"/>
    <w:multiLevelType w:val="multilevel"/>
    <w:tmpl w:val="1F6AA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6726E0"/>
    <w:multiLevelType w:val="multilevel"/>
    <w:tmpl w:val="25F6B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BF2664"/>
    <w:multiLevelType w:val="hybridMultilevel"/>
    <w:tmpl w:val="00CCED70"/>
    <w:lvl w:ilvl="0" w:tplc="D284CA0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1B461E"/>
    <w:multiLevelType w:val="multilevel"/>
    <w:tmpl w:val="3BC2E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D6477C"/>
    <w:multiLevelType w:val="hybridMultilevel"/>
    <w:tmpl w:val="00F064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32116A2"/>
    <w:multiLevelType w:val="hybridMultilevel"/>
    <w:tmpl w:val="0D7A72D0"/>
    <w:lvl w:ilvl="0" w:tplc="D284CA0C">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3F71389"/>
    <w:multiLevelType w:val="hybridMultilevel"/>
    <w:tmpl w:val="222AEEE6"/>
    <w:lvl w:ilvl="0" w:tplc="D284CA0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693D50"/>
    <w:multiLevelType w:val="hybridMultilevel"/>
    <w:tmpl w:val="465C8AD4"/>
    <w:lvl w:ilvl="0" w:tplc="D284CA0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121955"/>
    <w:multiLevelType w:val="hybridMultilevel"/>
    <w:tmpl w:val="B4BAE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2B3209"/>
    <w:multiLevelType w:val="hybridMultilevel"/>
    <w:tmpl w:val="83D4D53C"/>
    <w:lvl w:ilvl="0" w:tplc="D284CA0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985A1A"/>
    <w:multiLevelType w:val="hybridMultilevel"/>
    <w:tmpl w:val="A6AE02AC"/>
    <w:lvl w:ilvl="0" w:tplc="D284CA0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2661C7"/>
    <w:multiLevelType w:val="hybridMultilevel"/>
    <w:tmpl w:val="C3E0DE80"/>
    <w:lvl w:ilvl="0" w:tplc="0809000F">
      <w:start w:val="1"/>
      <w:numFmt w:val="decimal"/>
      <w:lvlText w:val="%1."/>
      <w:lvlJc w:val="left"/>
      <w:pPr>
        <w:ind w:left="1680" w:hanging="360"/>
      </w:pPr>
    </w:lvl>
    <w:lvl w:ilvl="1" w:tplc="08090019" w:tentative="1">
      <w:start w:val="1"/>
      <w:numFmt w:val="lowerLetter"/>
      <w:lvlText w:val="%2."/>
      <w:lvlJc w:val="left"/>
      <w:pPr>
        <w:ind w:left="2400" w:hanging="360"/>
      </w:pPr>
    </w:lvl>
    <w:lvl w:ilvl="2" w:tplc="0809001B" w:tentative="1">
      <w:start w:val="1"/>
      <w:numFmt w:val="lowerRoman"/>
      <w:lvlText w:val="%3."/>
      <w:lvlJc w:val="right"/>
      <w:pPr>
        <w:ind w:left="3120" w:hanging="180"/>
      </w:pPr>
    </w:lvl>
    <w:lvl w:ilvl="3" w:tplc="0809000F" w:tentative="1">
      <w:start w:val="1"/>
      <w:numFmt w:val="decimal"/>
      <w:lvlText w:val="%4."/>
      <w:lvlJc w:val="left"/>
      <w:pPr>
        <w:ind w:left="3840" w:hanging="360"/>
      </w:pPr>
    </w:lvl>
    <w:lvl w:ilvl="4" w:tplc="08090019" w:tentative="1">
      <w:start w:val="1"/>
      <w:numFmt w:val="lowerLetter"/>
      <w:lvlText w:val="%5."/>
      <w:lvlJc w:val="left"/>
      <w:pPr>
        <w:ind w:left="4560" w:hanging="360"/>
      </w:pPr>
    </w:lvl>
    <w:lvl w:ilvl="5" w:tplc="0809001B" w:tentative="1">
      <w:start w:val="1"/>
      <w:numFmt w:val="lowerRoman"/>
      <w:lvlText w:val="%6."/>
      <w:lvlJc w:val="right"/>
      <w:pPr>
        <w:ind w:left="5280" w:hanging="180"/>
      </w:pPr>
    </w:lvl>
    <w:lvl w:ilvl="6" w:tplc="0809000F" w:tentative="1">
      <w:start w:val="1"/>
      <w:numFmt w:val="decimal"/>
      <w:lvlText w:val="%7."/>
      <w:lvlJc w:val="left"/>
      <w:pPr>
        <w:ind w:left="6000" w:hanging="360"/>
      </w:pPr>
    </w:lvl>
    <w:lvl w:ilvl="7" w:tplc="08090019" w:tentative="1">
      <w:start w:val="1"/>
      <w:numFmt w:val="lowerLetter"/>
      <w:lvlText w:val="%8."/>
      <w:lvlJc w:val="left"/>
      <w:pPr>
        <w:ind w:left="6720" w:hanging="360"/>
      </w:pPr>
    </w:lvl>
    <w:lvl w:ilvl="8" w:tplc="0809001B" w:tentative="1">
      <w:start w:val="1"/>
      <w:numFmt w:val="lowerRoman"/>
      <w:lvlText w:val="%9."/>
      <w:lvlJc w:val="right"/>
      <w:pPr>
        <w:ind w:left="7440" w:hanging="180"/>
      </w:pPr>
    </w:lvl>
  </w:abstractNum>
  <w:abstractNum w:abstractNumId="17" w15:restartNumberingAfterBreak="0">
    <w:nsid w:val="6C653448"/>
    <w:multiLevelType w:val="multilevel"/>
    <w:tmpl w:val="DED2C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00C53CD"/>
    <w:multiLevelType w:val="hybridMultilevel"/>
    <w:tmpl w:val="64521E7C"/>
    <w:lvl w:ilvl="0" w:tplc="D284CA0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02682D"/>
    <w:multiLevelType w:val="multilevel"/>
    <w:tmpl w:val="8234A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9898509">
    <w:abstractNumId w:val="3"/>
  </w:num>
  <w:num w:numId="2" w16cid:durableId="1849098576">
    <w:abstractNumId w:val="0"/>
  </w:num>
  <w:num w:numId="3" w16cid:durableId="1370107635">
    <w:abstractNumId w:val="4"/>
  </w:num>
  <w:num w:numId="4" w16cid:durableId="605037805">
    <w:abstractNumId w:val="14"/>
  </w:num>
  <w:num w:numId="5" w16cid:durableId="822894909">
    <w:abstractNumId w:val="7"/>
  </w:num>
  <w:num w:numId="6" w16cid:durableId="481389959">
    <w:abstractNumId w:val="1"/>
  </w:num>
  <w:num w:numId="7" w16cid:durableId="191648651">
    <w:abstractNumId w:val="11"/>
  </w:num>
  <w:num w:numId="8" w16cid:durableId="811557421">
    <w:abstractNumId w:val="12"/>
  </w:num>
  <w:num w:numId="9" w16cid:durableId="3635626">
    <w:abstractNumId w:val="10"/>
  </w:num>
  <w:num w:numId="10" w16cid:durableId="574827548">
    <w:abstractNumId w:val="16"/>
  </w:num>
  <w:num w:numId="11" w16cid:durableId="424808443">
    <w:abstractNumId w:val="9"/>
  </w:num>
  <w:num w:numId="12" w16cid:durableId="2036731993">
    <w:abstractNumId w:val="15"/>
  </w:num>
  <w:num w:numId="13" w16cid:durableId="1621182080">
    <w:abstractNumId w:val="18"/>
  </w:num>
  <w:num w:numId="14" w16cid:durableId="1774007094">
    <w:abstractNumId w:val="6"/>
    <w:lvlOverride w:ilvl="0">
      <w:startOverride w:val="2"/>
    </w:lvlOverride>
  </w:num>
  <w:num w:numId="15" w16cid:durableId="1367294912">
    <w:abstractNumId w:val="19"/>
    <w:lvlOverride w:ilvl="0">
      <w:startOverride w:val="3"/>
    </w:lvlOverride>
  </w:num>
  <w:num w:numId="16" w16cid:durableId="1686443920">
    <w:abstractNumId w:val="2"/>
    <w:lvlOverride w:ilvl="0">
      <w:startOverride w:val="4"/>
    </w:lvlOverride>
  </w:num>
  <w:num w:numId="17" w16cid:durableId="125051735">
    <w:abstractNumId w:val="5"/>
    <w:lvlOverride w:ilvl="0">
      <w:startOverride w:val="5"/>
    </w:lvlOverride>
  </w:num>
  <w:num w:numId="18" w16cid:durableId="529875248">
    <w:abstractNumId w:val="17"/>
    <w:lvlOverride w:ilvl="0">
      <w:startOverride w:val="6"/>
    </w:lvlOverride>
  </w:num>
  <w:num w:numId="19" w16cid:durableId="739593265">
    <w:abstractNumId w:val="17"/>
    <w:lvlOverride w:ilvl="0">
      <w:startOverride w:val="7"/>
    </w:lvlOverride>
  </w:num>
  <w:num w:numId="20" w16cid:durableId="1265073781">
    <w:abstractNumId w:val="8"/>
    <w:lvlOverride w:ilvl="0">
      <w:startOverride w:val="8"/>
    </w:lvlOverride>
  </w:num>
  <w:num w:numId="21" w16cid:durableId="16530998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D8B"/>
    <w:rsid w:val="00012B71"/>
    <w:rsid w:val="00013F51"/>
    <w:rsid w:val="00031991"/>
    <w:rsid w:val="0004151A"/>
    <w:rsid w:val="00074302"/>
    <w:rsid w:val="0008075F"/>
    <w:rsid w:val="0008302A"/>
    <w:rsid w:val="00086FEE"/>
    <w:rsid w:val="000A3008"/>
    <w:rsid w:val="000A375F"/>
    <w:rsid w:val="000A5911"/>
    <w:rsid w:val="000B7D11"/>
    <w:rsid w:val="000C33CE"/>
    <w:rsid w:val="000E2354"/>
    <w:rsid w:val="000E41A8"/>
    <w:rsid w:val="000E4654"/>
    <w:rsid w:val="000F0F62"/>
    <w:rsid w:val="000F3905"/>
    <w:rsid w:val="001075B7"/>
    <w:rsid w:val="00120C56"/>
    <w:rsid w:val="00133634"/>
    <w:rsid w:val="0016447B"/>
    <w:rsid w:val="00166780"/>
    <w:rsid w:val="00177397"/>
    <w:rsid w:val="00177758"/>
    <w:rsid w:val="00177ED5"/>
    <w:rsid w:val="00197480"/>
    <w:rsid w:val="001D3A90"/>
    <w:rsid w:val="001D6014"/>
    <w:rsid w:val="001E60E3"/>
    <w:rsid w:val="001F1F07"/>
    <w:rsid w:val="001F799C"/>
    <w:rsid w:val="00200CD8"/>
    <w:rsid w:val="00203130"/>
    <w:rsid w:val="002412E7"/>
    <w:rsid w:val="00247CF6"/>
    <w:rsid w:val="002500D5"/>
    <w:rsid w:val="00275635"/>
    <w:rsid w:val="00281CF0"/>
    <w:rsid w:val="002A1903"/>
    <w:rsid w:val="002A66C5"/>
    <w:rsid w:val="002B0631"/>
    <w:rsid w:val="002B1647"/>
    <w:rsid w:val="002B4B06"/>
    <w:rsid w:val="002D610A"/>
    <w:rsid w:val="00336CDC"/>
    <w:rsid w:val="00343215"/>
    <w:rsid w:val="003573CD"/>
    <w:rsid w:val="00361875"/>
    <w:rsid w:val="00373552"/>
    <w:rsid w:val="003801F6"/>
    <w:rsid w:val="00382D4B"/>
    <w:rsid w:val="003868A3"/>
    <w:rsid w:val="00386F04"/>
    <w:rsid w:val="003A191F"/>
    <w:rsid w:val="003C0A0F"/>
    <w:rsid w:val="003C2039"/>
    <w:rsid w:val="003C49E1"/>
    <w:rsid w:val="003C5B39"/>
    <w:rsid w:val="003C6C46"/>
    <w:rsid w:val="003C730D"/>
    <w:rsid w:val="003C7D8B"/>
    <w:rsid w:val="003E116A"/>
    <w:rsid w:val="003F7F85"/>
    <w:rsid w:val="00401AF2"/>
    <w:rsid w:val="0040401C"/>
    <w:rsid w:val="00412262"/>
    <w:rsid w:val="004123C1"/>
    <w:rsid w:val="00420C60"/>
    <w:rsid w:val="0042149C"/>
    <w:rsid w:val="00491C33"/>
    <w:rsid w:val="004A227A"/>
    <w:rsid w:val="0050353B"/>
    <w:rsid w:val="00545DB2"/>
    <w:rsid w:val="00575175"/>
    <w:rsid w:val="005A1C2F"/>
    <w:rsid w:val="005B1630"/>
    <w:rsid w:val="005B6865"/>
    <w:rsid w:val="005B72CE"/>
    <w:rsid w:val="005F2496"/>
    <w:rsid w:val="005F6B90"/>
    <w:rsid w:val="006029CE"/>
    <w:rsid w:val="00603E4B"/>
    <w:rsid w:val="00604228"/>
    <w:rsid w:val="00607005"/>
    <w:rsid w:val="006172AA"/>
    <w:rsid w:val="00645392"/>
    <w:rsid w:val="00664762"/>
    <w:rsid w:val="00664DF3"/>
    <w:rsid w:val="00674BE8"/>
    <w:rsid w:val="006828D8"/>
    <w:rsid w:val="006869C2"/>
    <w:rsid w:val="00694A18"/>
    <w:rsid w:val="006A444A"/>
    <w:rsid w:val="006D4381"/>
    <w:rsid w:val="006D50DF"/>
    <w:rsid w:val="006D730F"/>
    <w:rsid w:val="006F234A"/>
    <w:rsid w:val="006F67B5"/>
    <w:rsid w:val="00711761"/>
    <w:rsid w:val="00713AAF"/>
    <w:rsid w:val="00726295"/>
    <w:rsid w:val="00730E94"/>
    <w:rsid w:val="00733C12"/>
    <w:rsid w:val="00734180"/>
    <w:rsid w:val="007444EB"/>
    <w:rsid w:val="00766C3D"/>
    <w:rsid w:val="00773EB1"/>
    <w:rsid w:val="00777739"/>
    <w:rsid w:val="0079749B"/>
    <w:rsid w:val="007B3267"/>
    <w:rsid w:val="007E46CC"/>
    <w:rsid w:val="007E5E78"/>
    <w:rsid w:val="007F352E"/>
    <w:rsid w:val="008071BF"/>
    <w:rsid w:val="0084077B"/>
    <w:rsid w:val="00845E26"/>
    <w:rsid w:val="008523D9"/>
    <w:rsid w:val="00874B40"/>
    <w:rsid w:val="008A3F49"/>
    <w:rsid w:val="008C07B6"/>
    <w:rsid w:val="008E0E6E"/>
    <w:rsid w:val="008E6B1A"/>
    <w:rsid w:val="0090527E"/>
    <w:rsid w:val="00920DD8"/>
    <w:rsid w:val="0093078D"/>
    <w:rsid w:val="009456F8"/>
    <w:rsid w:val="009536B2"/>
    <w:rsid w:val="009700E6"/>
    <w:rsid w:val="00990A0F"/>
    <w:rsid w:val="009B2DCA"/>
    <w:rsid w:val="009B6F65"/>
    <w:rsid w:val="009B74DA"/>
    <w:rsid w:val="009C6A43"/>
    <w:rsid w:val="009D522E"/>
    <w:rsid w:val="009F4A4C"/>
    <w:rsid w:val="009F7635"/>
    <w:rsid w:val="00A04824"/>
    <w:rsid w:val="00A06668"/>
    <w:rsid w:val="00A30FEF"/>
    <w:rsid w:val="00A42979"/>
    <w:rsid w:val="00A4624E"/>
    <w:rsid w:val="00A4668E"/>
    <w:rsid w:val="00A574FB"/>
    <w:rsid w:val="00A6694E"/>
    <w:rsid w:val="00A76B42"/>
    <w:rsid w:val="00AD2381"/>
    <w:rsid w:val="00AE3204"/>
    <w:rsid w:val="00AE408C"/>
    <w:rsid w:val="00AF4BF9"/>
    <w:rsid w:val="00B04795"/>
    <w:rsid w:val="00B32093"/>
    <w:rsid w:val="00B879A1"/>
    <w:rsid w:val="00B90C78"/>
    <w:rsid w:val="00B94AB8"/>
    <w:rsid w:val="00BA3540"/>
    <w:rsid w:val="00BD3039"/>
    <w:rsid w:val="00C27E74"/>
    <w:rsid w:val="00C602D3"/>
    <w:rsid w:val="00CB6F9A"/>
    <w:rsid w:val="00CD0495"/>
    <w:rsid w:val="00CE52F3"/>
    <w:rsid w:val="00CF1098"/>
    <w:rsid w:val="00CF3E8A"/>
    <w:rsid w:val="00CF78AE"/>
    <w:rsid w:val="00D00299"/>
    <w:rsid w:val="00D00C2D"/>
    <w:rsid w:val="00D179F0"/>
    <w:rsid w:val="00D35874"/>
    <w:rsid w:val="00D37550"/>
    <w:rsid w:val="00D4461A"/>
    <w:rsid w:val="00D4538B"/>
    <w:rsid w:val="00D47E7C"/>
    <w:rsid w:val="00D55DCE"/>
    <w:rsid w:val="00D61BB8"/>
    <w:rsid w:val="00D81A34"/>
    <w:rsid w:val="00DA0896"/>
    <w:rsid w:val="00DA2760"/>
    <w:rsid w:val="00DA669D"/>
    <w:rsid w:val="00DA733F"/>
    <w:rsid w:val="00DB262C"/>
    <w:rsid w:val="00DF0224"/>
    <w:rsid w:val="00E036A6"/>
    <w:rsid w:val="00E069BD"/>
    <w:rsid w:val="00E112CB"/>
    <w:rsid w:val="00E22EE7"/>
    <w:rsid w:val="00E30D31"/>
    <w:rsid w:val="00E55B1D"/>
    <w:rsid w:val="00E627D7"/>
    <w:rsid w:val="00E64DC1"/>
    <w:rsid w:val="00E672CA"/>
    <w:rsid w:val="00E67F43"/>
    <w:rsid w:val="00E777AA"/>
    <w:rsid w:val="00E82766"/>
    <w:rsid w:val="00E86EA3"/>
    <w:rsid w:val="00E952D3"/>
    <w:rsid w:val="00EA1A49"/>
    <w:rsid w:val="00EB6B95"/>
    <w:rsid w:val="00EC2438"/>
    <w:rsid w:val="00ED1BC9"/>
    <w:rsid w:val="00F21CFD"/>
    <w:rsid w:val="00F23CF6"/>
    <w:rsid w:val="00F266CE"/>
    <w:rsid w:val="00F53C6D"/>
    <w:rsid w:val="00F55955"/>
    <w:rsid w:val="00F574AA"/>
    <w:rsid w:val="00F739A6"/>
    <w:rsid w:val="00F815E0"/>
    <w:rsid w:val="00F94991"/>
    <w:rsid w:val="00FB1254"/>
    <w:rsid w:val="00FB2603"/>
    <w:rsid w:val="00FC39F8"/>
    <w:rsid w:val="00FE193B"/>
    <w:rsid w:val="00FF74D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3F5A9"/>
  <w15:chartTrackingRefBased/>
  <w15:docId w15:val="{FE07CA3C-9004-42A8-85A5-AEC723C76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7D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C7D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7D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7D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7D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7D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7D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7D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7D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7D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C7D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7D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7D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7D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7D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7D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7D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7D8B"/>
    <w:rPr>
      <w:rFonts w:eastAsiaTheme="majorEastAsia" w:cstheme="majorBidi"/>
      <w:color w:val="272727" w:themeColor="text1" w:themeTint="D8"/>
    </w:rPr>
  </w:style>
  <w:style w:type="paragraph" w:styleId="Title">
    <w:name w:val="Title"/>
    <w:basedOn w:val="Normal"/>
    <w:next w:val="Normal"/>
    <w:link w:val="TitleChar"/>
    <w:uiPriority w:val="10"/>
    <w:qFormat/>
    <w:rsid w:val="003C7D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7D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7D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7D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7D8B"/>
    <w:pPr>
      <w:spacing w:before="160"/>
      <w:jc w:val="center"/>
    </w:pPr>
    <w:rPr>
      <w:i/>
      <w:iCs/>
      <w:color w:val="404040" w:themeColor="text1" w:themeTint="BF"/>
    </w:rPr>
  </w:style>
  <w:style w:type="character" w:customStyle="1" w:styleId="QuoteChar">
    <w:name w:val="Quote Char"/>
    <w:basedOn w:val="DefaultParagraphFont"/>
    <w:link w:val="Quote"/>
    <w:uiPriority w:val="29"/>
    <w:rsid w:val="003C7D8B"/>
    <w:rPr>
      <w:i/>
      <w:iCs/>
      <w:color w:val="404040" w:themeColor="text1" w:themeTint="BF"/>
    </w:rPr>
  </w:style>
  <w:style w:type="paragraph" w:styleId="ListParagraph">
    <w:name w:val="List Paragraph"/>
    <w:basedOn w:val="Normal"/>
    <w:uiPriority w:val="34"/>
    <w:qFormat/>
    <w:rsid w:val="003C7D8B"/>
    <w:pPr>
      <w:ind w:left="720"/>
      <w:contextualSpacing/>
    </w:pPr>
  </w:style>
  <w:style w:type="character" w:styleId="IntenseEmphasis">
    <w:name w:val="Intense Emphasis"/>
    <w:basedOn w:val="DefaultParagraphFont"/>
    <w:uiPriority w:val="21"/>
    <w:qFormat/>
    <w:rsid w:val="003C7D8B"/>
    <w:rPr>
      <w:i/>
      <w:iCs/>
      <w:color w:val="0F4761" w:themeColor="accent1" w:themeShade="BF"/>
    </w:rPr>
  </w:style>
  <w:style w:type="paragraph" w:styleId="IntenseQuote">
    <w:name w:val="Intense Quote"/>
    <w:basedOn w:val="Normal"/>
    <w:next w:val="Normal"/>
    <w:link w:val="IntenseQuoteChar"/>
    <w:uiPriority w:val="30"/>
    <w:qFormat/>
    <w:rsid w:val="003C7D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7D8B"/>
    <w:rPr>
      <w:i/>
      <w:iCs/>
      <w:color w:val="0F4761" w:themeColor="accent1" w:themeShade="BF"/>
    </w:rPr>
  </w:style>
  <w:style w:type="character" w:styleId="IntenseReference">
    <w:name w:val="Intense Reference"/>
    <w:basedOn w:val="DefaultParagraphFont"/>
    <w:uiPriority w:val="32"/>
    <w:qFormat/>
    <w:rsid w:val="003C7D8B"/>
    <w:rPr>
      <w:b/>
      <w:bCs/>
      <w:smallCaps/>
      <w:color w:val="0F4761" w:themeColor="accent1" w:themeShade="BF"/>
      <w:spacing w:val="5"/>
    </w:rPr>
  </w:style>
  <w:style w:type="paragraph" w:styleId="Header">
    <w:name w:val="header"/>
    <w:basedOn w:val="Normal"/>
    <w:link w:val="HeaderChar"/>
    <w:uiPriority w:val="99"/>
    <w:unhideWhenUsed/>
    <w:rsid w:val="00086F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6FEE"/>
  </w:style>
  <w:style w:type="paragraph" w:styleId="Footer">
    <w:name w:val="footer"/>
    <w:basedOn w:val="Normal"/>
    <w:link w:val="FooterChar"/>
    <w:uiPriority w:val="99"/>
    <w:unhideWhenUsed/>
    <w:rsid w:val="00086F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6FEE"/>
  </w:style>
  <w:style w:type="paragraph" w:styleId="NoSpacing">
    <w:name w:val="No Spacing"/>
    <w:uiPriority w:val="1"/>
    <w:qFormat/>
    <w:rsid w:val="006172AA"/>
    <w:pPr>
      <w:spacing w:after="0" w:line="240" w:lineRule="auto"/>
    </w:pPr>
  </w:style>
  <w:style w:type="character" w:styleId="Hyperlink">
    <w:name w:val="Hyperlink"/>
    <w:basedOn w:val="DefaultParagraphFont"/>
    <w:uiPriority w:val="99"/>
    <w:unhideWhenUsed/>
    <w:rsid w:val="00CF1098"/>
    <w:rPr>
      <w:color w:val="467886" w:themeColor="hyperlink"/>
      <w:u w:val="single"/>
    </w:rPr>
  </w:style>
  <w:style w:type="character" w:styleId="UnresolvedMention">
    <w:name w:val="Unresolved Mention"/>
    <w:basedOn w:val="DefaultParagraphFont"/>
    <w:uiPriority w:val="99"/>
    <w:semiHidden/>
    <w:unhideWhenUsed/>
    <w:rsid w:val="00CF10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C6740-C778-4290-9DA1-E1C86C57C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17</Pages>
  <Words>3843</Words>
  <Characters>21908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Laassiri</dc:creator>
  <cp:keywords/>
  <dc:description/>
  <cp:lastModifiedBy>Sara Laassiri</cp:lastModifiedBy>
  <cp:revision>196</cp:revision>
  <dcterms:created xsi:type="dcterms:W3CDTF">2026-03-04T08:41:00Z</dcterms:created>
  <dcterms:modified xsi:type="dcterms:W3CDTF">2026-03-16T05:53:00Z</dcterms:modified>
</cp:coreProperties>
</file>