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both"/>
        <w:rPr>
          <w:rFonts w:ascii="Times New Roman" w:hAnsi="Times New Roman"/>
          <w:sz w:val="24"/>
          <w:szCs w:val="24"/>
        </w:rPr>
      </w:pPr>
    </w:p>
    <w:p>
      <w:pPr>
        <w:pStyle w:val="Body"/>
        <w:spacing w:line="480" w:lineRule="auto"/>
        <w:jc w:val="both"/>
        <w:rPr>
          <w:rFonts w:ascii="Times New Roman" w:hAnsi="Times New Roman"/>
          <w:sz w:val="24"/>
          <w:szCs w:val="24"/>
        </w:rPr>
      </w:pPr>
    </w:p>
    <w:p>
      <w:pPr>
        <w:pStyle w:val="Body"/>
        <w:spacing w:line="480" w:lineRule="auto"/>
        <w:jc w:val="both"/>
        <w:rPr>
          <w:rFonts w:ascii="Times New Roman" w:hAnsi="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REPORT ON THE IMPACT OF PEST FORCES ON THE SWANSEA CITY A.F.C OPERATIONS</w:t>
      </w:r>
    </w:p>
    <w:p>
      <w:pPr>
        <w:pStyle w:val="Body"/>
        <w:spacing w:line="480" w:lineRule="auto"/>
        <w:jc w:val="center"/>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de-DE"/>
        </w:rPr>
        <w:t>Name</w:t>
      </w:r>
      <w:r>
        <w:rPr>
          <w:rFonts w:ascii="Times New Roman" w:hAnsi="Times New Roman"/>
          <w:sz w:val="24"/>
          <w:szCs w:val="24"/>
          <w:rtl w:val="0"/>
          <w:lang w:val="en-US"/>
        </w:rPr>
        <w:t>: Najmeh Dadash</w:t>
      </w: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University of Wales Trinity Saint David</w:t>
      </w: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pP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TOC \o 2-2 \t "Heading, 3"</w:instrText>
      </w:r>
      <w:r>
        <w:rPr>
          <w:rFonts w:ascii="Times New Roman" w:cs="Times New Roman" w:hAnsi="Times New Roman" w:eastAsia="Times New Roman"/>
        </w:rPr>
        <w:fldChar w:fldCharType="separate" w:fldLock="0"/>
      </w:r>
    </w:p>
    <w:p>
      <w:pPr>
        <w:pStyle w:val="TOC 3"/>
      </w:pPr>
      <w:r>
        <w:rPr>
          <w:rtl w:val="0"/>
        </w:rPr>
        <w:t>1.0</w:t>
        <w:tab/>
        <w:t>Executive Summary</w:t>
        <w:tab/>
      </w:r>
      <w:r>
        <w:rPr/>
        <w:fldChar w:fldCharType="begin" w:fldLock="0"/>
      </w:r>
      <w:r>
        <w:instrText xml:space="preserve"> PAGEREF _Toc \h </w:instrText>
      </w:r>
      <w:r>
        <w:rPr/>
        <w:fldChar w:fldCharType="separate" w:fldLock="0"/>
      </w:r>
      <w:r>
        <w:rPr>
          <w:rtl w:val="0"/>
        </w:rPr>
        <w:t>3</w:t>
      </w:r>
      <w:r>
        <w:rPr/>
        <w:fldChar w:fldCharType="end" w:fldLock="0"/>
      </w:r>
    </w:p>
    <w:p>
      <w:pPr>
        <w:pStyle w:val="TOC 3"/>
      </w:pPr>
      <w:r>
        <w:rPr>
          <w:rtl w:val="0"/>
        </w:rPr>
        <w:t>2.0</w:t>
        <w:tab/>
        <w:t>Introduction</w:t>
        <w:tab/>
      </w:r>
      <w:r>
        <w:rPr/>
        <w:fldChar w:fldCharType="begin" w:fldLock="0"/>
      </w:r>
      <w:r>
        <w:instrText xml:space="preserve"> PAGEREF _Toc1 \h </w:instrText>
      </w:r>
      <w:r>
        <w:rPr/>
        <w:fldChar w:fldCharType="separate" w:fldLock="0"/>
      </w:r>
      <w:r>
        <w:rPr>
          <w:rtl w:val="0"/>
        </w:rPr>
        <w:t>3</w:t>
      </w:r>
      <w:r>
        <w:rPr/>
        <w:fldChar w:fldCharType="end" w:fldLock="0"/>
      </w:r>
    </w:p>
    <w:p>
      <w:pPr>
        <w:pStyle w:val="TOC 3"/>
      </w:pPr>
      <w:r>
        <w:rPr>
          <w:rtl w:val="0"/>
        </w:rPr>
        <w:t>3.0</w:t>
        <w:tab/>
        <w:t>PEST Analysis</w:t>
        <w:tab/>
      </w:r>
      <w:r>
        <w:rPr/>
        <w:fldChar w:fldCharType="begin" w:fldLock="0"/>
      </w:r>
      <w:r>
        <w:instrText xml:space="preserve"> PAGEREF _Toc2 \h </w:instrText>
      </w:r>
      <w:r>
        <w:rPr/>
        <w:fldChar w:fldCharType="separate" w:fldLock="0"/>
      </w:r>
      <w:r>
        <w:rPr>
          <w:rtl w:val="0"/>
        </w:rPr>
        <w:t>3</w:t>
      </w:r>
      <w:r>
        <w:rPr/>
        <w:fldChar w:fldCharType="end" w:fldLock="0"/>
      </w:r>
    </w:p>
    <w:p>
      <w:pPr>
        <w:pStyle w:val="TOC 2"/>
      </w:pPr>
      <w:r>
        <w:rPr>
          <w:rtl w:val="0"/>
        </w:rPr>
        <w:t>3.1</w:t>
        <w:tab/>
        <w:t>Political factors</w:t>
        <w:tab/>
      </w:r>
      <w:r>
        <w:rPr/>
        <w:fldChar w:fldCharType="begin" w:fldLock="0"/>
      </w:r>
      <w:r>
        <w:instrText xml:space="preserve"> PAGEREF _Toc3 \h </w:instrText>
      </w:r>
      <w:r>
        <w:rPr/>
        <w:fldChar w:fldCharType="separate" w:fldLock="0"/>
      </w:r>
      <w:r>
        <w:rPr>
          <w:rtl w:val="0"/>
        </w:rPr>
        <w:t>4</w:t>
      </w:r>
      <w:r>
        <w:rPr/>
        <w:fldChar w:fldCharType="end" w:fldLock="0"/>
      </w:r>
    </w:p>
    <w:p>
      <w:pPr>
        <w:pStyle w:val="TOC 2"/>
      </w:pPr>
      <w:r>
        <w:rPr>
          <w:rtl w:val="0"/>
        </w:rPr>
        <w:t>3.2</w:t>
        <w:tab/>
        <w:t>Economic Factors</w:t>
        <w:tab/>
      </w:r>
      <w:r>
        <w:rPr/>
        <w:fldChar w:fldCharType="begin" w:fldLock="0"/>
      </w:r>
      <w:r>
        <w:instrText xml:space="preserve"> PAGEREF _Toc4 \h </w:instrText>
      </w:r>
      <w:r>
        <w:rPr/>
        <w:fldChar w:fldCharType="separate" w:fldLock="0"/>
      </w:r>
      <w:r>
        <w:rPr>
          <w:rtl w:val="0"/>
        </w:rPr>
        <w:t>5</w:t>
      </w:r>
      <w:r>
        <w:rPr/>
        <w:fldChar w:fldCharType="end" w:fldLock="0"/>
      </w:r>
    </w:p>
    <w:p>
      <w:pPr>
        <w:pStyle w:val="TOC 2"/>
      </w:pPr>
      <w:r>
        <w:rPr>
          <w:rtl w:val="0"/>
        </w:rPr>
        <w:t>3.3</w:t>
        <w:tab/>
        <w:t>Socio-cultural factors</w:t>
        <w:tab/>
      </w:r>
      <w:r>
        <w:rPr/>
        <w:fldChar w:fldCharType="begin" w:fldLock="0"/>
      </w:r>
      <w:r>
        <w:instrText xml:space="preserve"> PAGEREF _Toc5 \h </w:instrText>
      </w:r>
      <w:r>
        <w:rPr/>
        <w:fldChar w:fldCharType="separate" w:fldLock="0"/>
      </w:r>
      <w:r>
        <w:rPr>
          <w:rtl w:val="0"/>
        </w:rPr>
        <w:t>6</w:t>
      </w:r>
      <w:r>
        <w:rPr/>
        <w:fldChar w:fldCharType="end" w:fldLock="0"/>
      </w:r>
    </w:p>
    <w:p>
      <w:pPr>
        <w:pStyle w:val="TOC 2"/>
      </w:pPr>
      <w:r>
        <w:rPr>
          <w:rtl w:val="0"/>
        </w:rPr>
        <w:t>3.4</w:t>
        <w:tab/>
        <w:t>Technological factors</w:t>
        <w:tab/>
      </w:r>
      <w:r>
        <w:rPr/>
        <w:fldChar w:fldCharType="begin" w:fldLock="0"/>
      </w:r>
      <w:r>
        <w:instrText xml:space="preserve"> PAGEREF _Toc6 \h </w:instrText>
      </w:r>
      <w:r>
        <w:rPr/>
        <w:fldChar w:fldCharType="separate" w:fldLock="0"/>
      </w:r>
      <w:r>
        <w:rPr>
          <w:rtl w:val="0"/>
        </w:rPr>
        <w:t>7</w:t>
      </w:r>
      <w:r>
        <w:rPr/>
        <w:fldChar w:fldCharType="end" w:fldLock="0"/>
      </w:r>
    </w:p>
    <w:p>
      <w:pPr>
        <w:pStyle w:val="TOC 3"/>
      </w:pPr>
      <w:r>
        <w:rPr>
          <w:rtl w:val="0"/>
        </w:rPr>
        <w:t>4.0</w:t>
        <w:tab/>
        <w:t>Conclusion</w:t>
        <w:tab/>
      </w:r>
      <w:r>
        <w:rPr/>
        <w:fldChar w:fldCharType="begin" w:fldLock="0"/>
      </w:r>
      <w:r>
        <w:instrText xml:space="preserve"> PAGEREF _Toc7 \h </w:instrText>
      </w:r>
      <w:r>
        <w:rPr/>
        <w:fldChar w:fldCharType="separate" w:fldLock="0"/>
      </w:r>
      <w:r>
        <w:rPr>
          <w:rtl w:val="0"/>
        </w:rPr>
        <w:t>8</w:t>
      </w:r>
      <w:r>
        <w:rPr/>
        <w:fldChar w:fldCharType="end" w:fldLock="0"/>
      </w:r>
    </w:p>
    <w:p>
      <w:pPr>
        <w:pStyle w:val="Body"/>
        <w:spacing w:line="480" w:lineRule="auto"/>
        <w:jc w:val="both"/>
        <w:rPr>
          <w:rFonts w:ascii="Times New Roman" w:cs="Times New Roman" w:hAnsi="Times New Roman" w:eastAsia="Times New Roman"/>
          <w:b w:val="1"/>
          <w:bCs w:val="1"/>
          <w:sz w:val="24"/>
          <w:szCs w:val="24"/>
        </w:rPr>
      </w:pPr>
      <w:r>
        <w:rPr>
          <w:rFonts w:ascii="Times New Roman" w:cs="Times New Roman" w:hAnsi="Times New Roman" w:eastAsia="Times New Roman"/>
        </w:rPr>
        <w:fldChar w:fldCharType="end" w:fldLock="0"/>
      </w: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b w:val="1"/>
          <w:bCs w:val="1"/>
          <w:sz w:val="24"/>
          <w:szCs w:val="24"/>
        </w:rPr>
      </w:pPr>
    </w:p>
    <w:p>
      <w:pPr>
        <w:pStyle w:val="Heading"/>
        <w:rPr>
          <w:b w:val="0"/>
          <w:bCs w:val="0"/>
          <w:sz w:val="24"/>
          <w:szCs w:val="24"/>
        </w:rPr>
      </w:pPr>
      <w:bookmarkStart w:name="_Toc" w:id="0"/>
      <w:r>
        <w:rPr>
          <w:b w:val="0"/>
          <w:bCs w:val="0"/>
          <w:sz w:val="24"/>
          <w:szCs w:val="24"/>
          <w:rtl w:val="0"/>
        </w:rPr>
        <w:t>1.0</w:t>
        <w:tab/>
      </w:r>
      <w:r>
        <w:rPr>
          <w:sz w:val="24"/>
          <w:szCs w:val="24"/>
          <w:rtl w:val="0"/>
          <w:lang w:val="en-US"/>
        </w:rPr>
        <w:t>Executive Summary</w:t>
      </w:r>
      <w:bookmarkEnd w:id="0"/>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paper analyses the external environment of Swansea city A.F.C by examining the political, economic, socio-cultural, and technological aspects of the management of the Liberty Stadium. The analysis assists in establishing the strategic position in terms of operations of the stadium relative to other sports facilities. It discovers the resultant effects of political occurrences such as terrorism, strikes, and other criminal activities; economic crisis, changes in population demographics and technological innovations such as e-ticketing, magnetic cards, online platforms, and perimeter advertising. </w:t>
      </w:r>
    </w:p>
    <w:p>
      <w:pPr>
        <w:pStyle w:val="Heading"/>
        <w:rPr>
          <w:b w:val="0"/>
          <w:bCs w:val="0"/>
          <w:sz w:val="24"/>
          <w:szCs w:val="24"/>
        </w:rPr>
      </w:pPr>
      <w:bookmarkStart w:name="_Toc1" w:id="1"/>
      <w:r>
        <w:rPr>
          <w:b w:val="0"/>
          <w:bCs w:val="0"/>
          <w:sz w:val="24"/>
          <w:szCs w:val="24"/>
          <w:rtl w:val="0"/>
        </w:rPr>
        <w:t>2.0</w:t>
        <w:tab/>
      </w:r>
      <w:r>
        <w:rPr>
          <w:sz w:val="24"/>
          <w:szCs w:val="24"/>
          <w:rtl w:val="0"/>
          <w:lang w:val="fr-FR"/>
        </w:rPr>
        <w:t>Introduction</w:t>
      </w:r>
      <w:bookmarkEnd w:id="1"/>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Launched in 1912 under the name Swansea Town and later joining the Football League in 1921, Swansea City A.F.C has had a remarkable journey </w:t>
      </w:r>
      <w:r>
        <w:rPr>
          <w:rFonts w:ascii="Times New Roman" w:hAnsi="Times New Roman"/>
          <w:sz w:val="24"/>
          <w:szCs w:val="24"/>
          <w:rtl w:val="0"/>
          <w:lang w:val="en-US"/>
        </w:rPr>
        <w:t>characterised</w:t>
      </w:r>
      <w:r>
        <w:rPr>
          <w:rFonts w:ascii="Times New Roman" w:hAnsi="Times New Roman"/>
          <w:sz w:val="24"/>
          <w:szCs w:val="24"/>
          <w:rtl w:val="0"/>
          <w:lang w:val="en-US"/>
        </w:rPr>
        <w:t xml:space="preserve"> by illustrious and unpleasant performance. Famously known as The Swans, Swansea City A.F.C is a Welsh professional football club based in Swansea, Wales. The club began its football journey at the Vetch field but later relocated to the newly constructed Liberty stadium in 2005 (swanseacity.com 2018). The construction of the stadium and the subsequent relocation of Swansea City A.F.C have shaped the attitude towards soccer in the larger Swansea region. However, still, the club requires an in-depth PEST analysis in the wider prism of conducting strategy review for market development or deterioration, club position, prospective and direction for operations.</w:t>
      </w:r>
    </w:p>
    <w:p>
      <w:pPr>
        <w:pStyle w:val="Heading"/>
        <w:rPr>
          <w:b w:val="0"/>
          <w:bCs w:val="0"/>
          <w:sz w:val="24"/>
          <w:szCs w:val="24"/>
        </w:rPr>
      </w:pPr>
      <w:bookmarkStart w:name="_Toc2" w:id="2"/>
      <w:r>
        <w:rPr>
          <w:b w:val="0"/>
          <w:bCs w:val="0"/>
          <w:sz w:val="24"/>
          <w:szCs w:val="24"/>
          <w:rtl w:val="0"/>
        </w:rPr>
        <w:t>3.0</w:t>
        <w:tab/>
      </w:r>
      <w:r>
        <w:rPr>
          <w:sz w:val="24"/>
          <w:szCs w:val="24"/>
          <w:rtl w:val="0"/>
          <w:lang w:val="en-US"/>
        </w:rPr>
        <w:t>PEST Analysis</w:t>
      </w:r>
      <w:bookmarkEnd w:id="2"/>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PEST is a model or framework of macro-environmental elements applied by companies in environmental scanning constituent of strategic management. It is a strategic tool for conducting a strategic analysis and market research. PEST analysis assesses company</w:t>
      </w:r>
      <w:r>
        <w:rPr>
          <w:rFonts w:ascii="Times New Roman" w:hAnsi="Times New Roman" w:hint="default"/>
          <w:sz w:val="24"/>
          <w:szCs w:val="24"/>
          <w:rtl w:val="0"/>
          <w:lang w:val="en-US"/>
        </w:rPr>
        <w:t>’</w:t>
      </w:r>
      <w:r>
        <w:rPr>
          <w:rFonts w:ascii="Times New Roman" w:hAnsi="Times New Roman"/>
          <w:sz w:val="24"/>
          <w:szCs w:val="24"/>
          <w:rtl w:val="0"/>
          <w:lang w:val="en-US"/>
        </w:rPr>
        <w:t>s past and present trends and the observations and recommendations thereof used in strategy formulation to direct a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future (Clemente, Martins, Kalamaras, Oliveira, and Mendes 2015). This report </w:t>
      </w:r>
      <w:r>
        <w:rPr>
          <w:rFonts w:ascii="Times New Roman" w:hAnsi="Times New Roman"/>
          <w:sz w:val="24"/>
          <w:szCs w:val="24"/>
          <w:rtl w:val="0"/>
          <w:lang w:val="en-US"/>
        </w:rPr>
        <w:t>scrutinises</w:t>
      </w:r>
      <w:r>
        <w:rPr>
          <w:rFonts w:ascii="Times New Roman" w:hAnsi="Times New Roman"/>
          <w:sz w:val="24"/>
          <w:szCs w:val="24"/>
          <w:rtl w:val="0"/>
          <w:lang w:val="en-US"/>
        </w:rPr>
        <w:t xml:space="preserve"> the operation and the running of the Swansea Stadium Management Company (SSMC). </w:t>
      </w:r>
    </w:p>
    <w:p>
      <w:pPr>
        <w:pStyle w:val="Heading 2"/>
        <w:rPr>
          <w:b w:val="0"/>
          <w:bCs w:val="0"/>
          <w:sz w:val="24"/>
          <w:szCs w:val="24"/>
        </w:rPr>
      </w:pPr>
      <w:bookmarkStart w:name="_Toc3" w:id="3"/>
      <w:r>
        <w:rPr>
          <w:b w:val="0"/>
          <w:bCs w:val="0"/>
          <w:sz w:val="24"/>
          <w:szCs w:val="24"/>
          <w:rtl w:val="0"/>
        </w:rPr>
        <w:t>3.1</w:t>
        <w:tab/>
      </w:r>
      <w:r>
        <w:rPr>
          <w:sz w:val="24"/>
          <w:szCs w:val="24"/>
          <w:rtl w:val="0"/>
          <w:lang w:val="en-US"/>
        </w:rPr>
        <w:t>Political factors</w:t>
      </w:r>
      <w:bookmarkEnd w:id="3"/>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Political factors such as tax policy, political stability, corruption, trade restrictions, tariffs, and environmental law have a tremendous bearing on the general operations of a club. However, presently, the devastating consequences of political factors such as terrorism, violent campaign rallies and crime related activities have taken a nosedive following the establishment of a raft of measures by football institutions such as Federation International de Football Association (FIFA), UEFA and the English Premier League (</w:t>
      </w:r>
      <w:r>
        <w:rPr>
          <w:rFonts w:ascii="Times New Roman" w:hAnsi="Times New Roman"/>
          <w:sz w:val="24"/>
          <w:szCs w:val="24"/>
          <w:shd w:val="clear" w:color="auto" w:fill="ffffff"/>
          <w:rtl w:val="0"/>
        </w:rPr>
        <w:t>Sammut</w:t>
      </w:r>
      <w:r>
        <w:rPr>
          <w:rFonts w:ascii="Cambria Math" w:cs="Cambria Math" w:hAnsi="Cambria Math" w:eastAsia="Cambria Math"/>
          <w:sz w:val="24"/>
          <w:szCs w:val="24"/>
          <w:shd w:val="clear" w:color="auto" w:fill="ffffff"/>
          <w:rtl w:val="0"/>
          <w:lang w:val="en-US"/>
        </w:rPr>
        <w:t>‐</w:t>
      </w:r>
      <w:r>
        <w:rPr>
          <w:rFonts w:ascii="Times New Roman" w:hAnsi="Times New Roman"/>
          <w:sz w:val="24"/>
          <w:szCs w:val="24"/>
          <w:shd w:val="clear" w:color="auto" w:fill="ffffff"/>
          <w:rtl w:val="0"/>
          <w:lang w:val="it-IT"/>
        </w:rPr>
        <w:t>Bonnici and Galea 2015)</w:t>
      </w:r>
      <w:r>
        <w:rPr>
          <w:rFonts w:ascii="Times New Roman" w:hAnsi="Times New Roman"/>
          <w:sz w:val="24"/>
          <w:szCs w:val="24"/>
          <w:rtl w:val="0"/>
        </w:rPr>
        <w:t xml:space="preserve">.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amount of tax and nature of the tax policies in the football industry determine the subscription and retention levels of players and supporters of clubs. Lofty and exorbitant tax amount escalate the prices of kits, repulses supporters due to the subsequent inflation in stadium entrance costs. SSMC, however, enjoys tax incentives due to the partnership between management and leadership of the Swansea County.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shd w:val="clear" w:color="auto" w:fill="ffff00"/>
          <w:rtl w:val="0"/>
          <w:lang w:val="en-US"/>
        </w:rPr>
        <w:t>Corruption is a widespread and deeply rooted vice in the football industry. Corruption in football constitutes the bidding process manipulation to host Olympic Games, and any action that deliberately tinge the result of a sporting contest. For instance, FIFA has been accused of corruption in irregularly awarding the 2018 and 2022 World cup finals (Emmen 2014). The image of local and international sporting activities suffers from the involvement of sport officials in corruption leading to negative publicity.</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relatively stable political environment and proactive environmental laws, for instance, the design of the stadium to the international standard, gives the stadium a cutting-edge appearance and the much-sought international image. This enabled the stadium to host international matches such as Wales versus Bulgaria in 2006 (BBC News 2006). Additionally, the stadium hosted a UK independence party conference in April 2014. </w:t>
      </w:r>
      <w:r>
        <w:rPr>
          <w:rFonts w:ascii="Times New Roman" w:hAnsi="Times New Roman"/>
          <w:sz w:val="24"/>
          <w:szCs w:val="24"/>
          <w:shd w:val="clear" w:color="auto" w:fill="ffff00"/>
          <w:rtl w:val="0"/>
          <w:lang w:val="en-US"/>
        </w:rPr>
        <w:t>However, with global political challenges of terrorism, the security and safety of the stadium is threatened. This is particularly factual since crowded places such as football matches are major targets of terrorists.</w:t>
      </w:r>
      <w:r>
        <w:rPr>
          <w:rFonts w:ascii="Times New Roman" w:hAnsi="Times New Roman"/>
          <w:sz w:val="24"/>
          <w:szCs w:val="24"/>
          <w:rtl w:val="0"/>
        </w:rPr>
        <w:t xml:space="preserve"> </w:t>
      </w:r>
    </w:p>
    <w:p>
      <w:pPr>
        <w:pStyle w:val="Heading 2"/>
        <w:rPr>
          <w:b w:val="0"/>
          <w:bCs w:val="0"/>
          <w:sz w:val="24"/>
          <w:szCs w:val="24"/>
        </w:rPr>
      </w:pPr>
      <w:bookmarkStart w:name="_Toc4" w:id="4"/>
      <w:r>
        <w:rPr>
          <w:b w:val="0"/>
          <w:bCs w:val="0"/>
          <w:sz w:val="24"/>
          <w:szCs w:val="24"/>
          <w:rtl w:val="0"/>
        </w:rPr>
        <w:t>3.2</w:t>
        <w:tab/>
      </w:r>
      <w:r>
        <w:rPr>
          <w:sz w:val="24"/>
          <w:szCs w:val="24"/>
          <w:rtl w:val="0"/>
          <w:lang w:val="en-US"/>
        </w:rPr>
        <w:t>Economic Factors</w:t>
      </w:r>
      <w:bookmarkEnd w:id="4"/>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Any sports facility management or company that overlooks the significance of economic indicators cannot survive in the competition riddled business environment. Economic factors such as economic growth, interest rates, exchange rates, and inflation rates determine the performance of all sports facilities or other business entities. The economy acts as a pedestal or bedrock upon which other factors develop (Aithal 2016). </w:t>
      </w:r>
      <w:r>
        <w:rPr>
          <w:rFonts w:ascii="Times New Roman" w:hAnsi="Times New Roman"/>
          <w:sz w:val="24"/>
          <w:szCs w:val="24"/>
          <w:shd w:val="clear" w:color="auto" w:fill="ffff00"/>
          <w:rtl w:val="0"/>
          <w:lang w:val="en-US"/>
        </w:rPr>
        <w:t>The factors ordinarily operate interdependently and affect the cost of capital, its availability, and the demand. Low-interest rates (0.5), stable exchange rates, and inflation rates (3%) creates fertile ground for fast economic growth leading to availability, high demand, and low cost of capital</w:t>
      </w:r>
      <w:r>
        <w:rPr>
          <w:rFonts w:ascii="Times New Roman" w:hAnsi="Times New Roman"/>
          <w:sz w:val="24"/>
          <w:szCs w:val="24"/>
          <w:rtl w:val="0"/>
          <w:lang w:val="en-US"/>
        </w:rPr>
        <w:t xml:space="preserve">. However, in addressing these inherent menaces, the Swansea Stadium Management Company has established multiple revenue sources in the wider strategy of diversification.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shd w:val="clear" w:color="auto" w:fill="ffff00"/>
          <w:rtl w:val="0"/>
          <w:lang w:val="en-US"/>
        </w:rPr>
        <w:t>Disposable income of fans and other partners affects the stadium in two ways. Firstly, high disposable income increases the purchasing power of people who attend games hence generating new spending in the community. This creates employment for the community members. Secondly, the stadium has employed workers through the Facilities Management Catering thus contributing positively to the purchasing power of the locals. The conference and events package, premier membership club, the stadium club shop, and other amenities like the television studio generate revenue for the operation and maintenance of the stadium. Even though, interest and inflation rates remain stable in the face of economic crises, sponsorship agreements normally suffer a great deal</w:t>
      </w:r>
      <w:r>
        <w:rPr>
          <w:rFonts w:ascii="Times New Roman" w:hAnsi="Times New Roman"/>
          <w:sz w:val="24"/>
          <w:szCs w:val="24"/>
          <w:rtl w:val="0"/>
          <w:lang w:val="en-US"/>
        </w:rPr>
        <w:t>. This is particularly so in the formative years of Swansea City A.F.C. The club has, however, benefited from comparatively committal sponsors especially the community, the Ospreys Rugby, Facilities Management Catering, the local government and Premier Club. Notwithstanding the price inelasticity of tickets and the clubs</w:t>
      </w:r>
      <w:r>
        <w:rPr>
          <w:rFonts w:ascii="Times New Roman" w:hAnsi="Times New Roman" w:hint="default"/>
          <w:sz w:val="24"/>
          <w:szCs w:val="24"/>
          <w:rtl w:val="0"/>
          <w:lang w:val="en-US"/>
        </w:rPr>
        <w:t xml:space="preserve">’ </w:t>
      </w:r>
      <w:r>
        <w:rPr>
          <w:rFonts w:ascii="Times New Roman" w:hAnsi="Times New Roman"/>
          <w:sz w:val="24"/>
          <w:szCs w:val="24"/>
          <w:rtl w:val="0"/>
          <w:lang w:val="en-US"/>
        </w:rPr>
        <w:t>merchandise, the SSMC record all-time high sales defying the expected result of declined sales amidst economic crisis (</w:t>
      </w:r>
      <w:r>
        <w:rPr>
          <w:rFonts w:ascii="Times New Roman" w:hAnsi="Times New Roman"/>
          <w:color w:val="222222"/>
          <w:sz w:val="24"/>
          <w:szCs w:val="24"/>
          <w:u w:color="222222"/>
          <w:shd w:val="clear" w:color="auto" w:fill="ffffff"/>
          <w:rtl w:val="0"/>
          <w:lang w:val="en-US"/>
        </w:rPr>
        <w:t>Rodrigues, Drula, and Rechia 2017)</w:t>
      </w:r>
      <w:r>
        <w:rPr>
          <w:rFonts w:ascii="Times New Roman" w:hAnsi="Times New Roman"/>
          <w:sz w:val="24"/>
          <w:szCs w:val="24"/>
          <w:rtl w:val="0"/>
        </w:rPr>
        <w:t xml:space="preserve">. </w:t>
      </w:r>
    </w:p>
    <w:p>
      <w:pPr>
        <w:pStyle w:val="Heading 2"/>
        <w:rPr>
          <w:b w:val="0"/>
          <w:bCs w:val="0"/>
          <w:sz w:val="24"/>
          <w:szCs w:val="24"/>
        </w:rPr>
      </w:pPr>
      <w:bookmarkStart w:name="_Toc5" w:id="5"/>
      <w:r>
        <w:rPr>
          <w:b w:val="0"/>
          <w:bCs w:val="0"/>
          <w:sz w:val="24"/>
          <w:szCs w:val="24"/>
          <w:rtl w:val="0"/>
        </w:rPr>
        <w:t>3.3</w:t>
        <w:tab/>
      </w:r>
      <w:r>
        <w:rPr>
          <w:sz w:val="24"/>
          <w:szCs w:val="24"/>
          <w:rtl w:val="0"/>
          <w:lang w:val="en-US"/>
        </w:rPr>
        <w:t>Socio-cultural factors</w:t>
      </w:r>
      <w:bookmarkEnd w:id="5"/>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primary objective informing the decision to establish a facility within a particular community should decisively address the interest of the members of such a society. This include but not restricted to cultural and social aspects such as demand and tastes, age distribution, career attitudes, and other social evils e.g. sexual offences.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The company has a responsibility in promoting and safeguarding the community</w:t>
      </w:r>
      <w:r>
        <w:rPr>
          <w:rFonts w:ascii="Times New Roman" w:hAnsi="Times New Roman" w:hint="default"/>
          <w:sz w:val="24"/>
          <w:szCs w:val="24"/>
          <w:rtl w:val="0"/>
          <w:lang w:val="en-US"/>
        </w:rPr>
        <w:t>’</w:t>
      </w:r>
      <w:r>
        <w:rPr>
          <w:rFonts w:ascii="Times New Roman" w:hAnsi="Times New Roman"/>
          <w:sz w:val="24"/>
          <w:szCs w:val="24"/>
          <w:rtl w:val="0"/>
          <w:lang w:val="en-US"/>
        </w:rPr>
        <w:t>s image and through the stadium; the community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commitment to growth, quality of life and other affirmative goals is underscored. The fans, community tours, and other events </w:t>
      </w:r>
      <w:r>
        <w:rPr>
          <w:rFonts w:ascii="Times New Roman" w:hAnsi="Times New Roman"/>
          <w:sz w:val="24"/>
          <w:szCs w:val="24"/>
          <w:rtl w:val="0"/>
          <w:lang w:val="en-US"/>
        </w:rPr>
        <w:t>organised</w:t>
      </w:r>
      <w:r>
        <w:rPr>
          <w:rFonts w:ascii="Times New Roman" w:hAnsi="Times New Roman"/>
          <w:sz w:val="24"/>
          <w:szCs w:val="24"/>
          <w:rtl w:val="0"/>
          <w:lang w:val="en-US"/>
        </w:rPr>
        <w:t xml:space="preserve"> and conducted at the stadium create a sense of pride and positive identity. Additionally, the strategic partnership between the stadium and Lime Venue Portfolio provides guests and the community with exceptional hospitality services and experiences (liberty-stadium.com, 2018).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Clubs and their affiliates need to invest heavily in corporate social responsibility (CSR) programs with intention to develop and maintain strong social profiles. Social programs such as poverty, illiteracy, and crime rates alleviation initiatives have gained traction in the current football sector. SSMC is not an exception as far as CSR activities are concerned. In compliance with this contemporary yet imperative trend, the stadium management has commissioned community engagement programs and offers discounts for community events (</w:t>
      </w:r>
      <w:r>
        <w:rPr>
          <w:rFonts w:ascii="Times" w:hAnsi="Times"/>
          <w:rtl w:val="0"/>
          <w:lang w:val="en-US"/>
        </w:rPr>
        <w:t>Rosca 2011)</w:t>
      </w:r>
      <w:r>
        <w:rPr>
          <w:rFonts w:ascii="Times New Roman" w:hAnsi="Times New Roman"/>
          <w:sz w:val="24"/>
          <w:szCs w:val="24"/>
          <w:rtl w:val="0"/>
        </w:rPr>
        <w:t xml:space="preserve">.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shd w:val="clear" w:color="auto" w:fill="ffff00"/>
          <w:rtl w:val="0"/>
          <w:lang w:val="en-US"/>
        </w:rPr>
        <w:t>The far-reaching effect of sexual offences against minors during football matches significantly erodes the publicity of stadiums and football events. These social evils degrade the moral virtues and the social fabric of the surrounding communities.</w:t>
      </w:r>
    </w:p>
    <w:p>
      <w:pPr>
        <w:pStyle w:val="Heading 2"/>
        <w:rPr>
          <w:sz w:val="24"/>
          <w:szCs w:val="24"/>
        </w:rPr>
      </w:pPr>
      <w:bookmarkStart w:name="_Toc6" w:id="6"/>
      <w:r>
        <w:rPr>
          <w:b w:val="0"/>
          <w:bCs w:val="0"/>
          <w:sz w:val="24"/>
          <w:szCs w:val="24"/>
          <w:rtl w:val="0"/>
        </w:rPr>
        <w:t>3.4</w:t>
        <w:tab/>
      </w:r>
      <w:r>
        <w:rPr>
          <w:sz w:val="24"/>
          <w:szCs w:val="24"/>
          <w:rtl w:val="0"/>
          <w:lang w:val="en-US"/>
        </w:rPr>
        <w:t>Technological factors</w:t>
      </w:r>
      <w:bookmarkEnd w:id="6"/>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rPr>
        <w:t xml:space="preserve">Technology has </w:t>
      </w:r>
      <w:r>
        <w:rPr>
          <w:rFonts w:ascii="Times New Roman" w:hAnsi="Times New Roman"/>
          <w:sz w:val="24"/>
          <w:szCs w:val="24"/>
          <w:rtl w:val="0"/>
          <w:lang w:val="en-US"/>
        </w:rPr>
        <w:t>revolutionised</w:t>
      </w:r>
      <w:r>
        <w:rPr>
          <w:rFonts w:ascii="Times New Roman" w:hAnsi="Times New Roman"/>
          <w:sz w:val="24"/>
          <w:szCs w:val="24"/>
          <w:rtl w:val="0"/>
          <w:lang w:val="en-US"/>
        </w:rPr>
        <w:t xml:space="preserve"> the football industry greatly. From the design of stadiums, social media platforms to ticketing technology, the importance of this dimension cannot be dismissed. The SSMC runs an active website, Facebook, and Twitter as well as downloadable mobile applications, which perform an integral role in advancing the stadiums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uniqueness and services (McCarthy, Rowley, Jane, and Pioch 2014). </w:t>
      </w:r>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use of season magnetic cards redefines positively the standard of services offered to the clients and spectators providing a better experience. Fans are able to purchase the tickets remotely and conveniently. Perimeter advertising in volatile or laser panels set a new practice in the football </w:t>
      </w:r>
      <w:r>
        <w:rPr>
          <w:rFonts w:ascii="Times New Roman" w:hAnsi="Times New Roman"/>
          <w:sz w:val="24"/>
          <w:szCs w:val="24"/>
          <w:rtl w:val="0"/>
          <w:lang w:val="en-US"/>
        </w:rPr>
        <w:t>industry terms</w:t>
      </w:r>
      <w:r>
        <w:rPr>
          <w:rFonts w:ascii="Times New Roman" w:hAnsi="Times New Roman"/>
          <w:sz w:val="24"/>
          <w:szCs w:val="24"/>
          <w:rtl w:val="0"/>
          <w:lang w:val="en-US"/>
        </w:rPr>
        <w:t xml:space="preserve"> of  in brand promotion, providing stadiums opportunity to market products and other companies resulting to high revenue (Manoli 2014). The technological innovations place the stadium in the league of the most advanced stadiums in the greater European economic bloc. </w:t>
      </w:r>
    </w:p>
    <w:p>
      <w:pPr>
        <w:pStyle w:val="Heading"/>
        <w:rPr>
          <w:sz w:val="24"/>
          <w:szCs w:val="24"/>
        </w:rPr>
      </w:pPr>
      <w:bookmarkStart w:name="_Toc7" w:id="7"/>
      <w:r>
        <w:rPr>
          <w:sz w:val="24"/>
          <w:szCs w:val="24"/>
          <w:rtl w:val="0"/>
          <w:lang w:val="it-IT"/>
        </w:rPr>
        <w:t>4.0</w:t>
        <w:tab/>
        <w:t>Conclusion</w:t>
      </w:r>
      <w:bookmarkEnd w:id="7"/>
    </w:p>
    <w:p>
      <w:pPr>
        <w:pStyle w:val="Body"/>
        <w:spacing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Effective management of stadiums demands meticulous external analysis of operations. As discovered in the paper, the Liberty stadium management has consistently taken into consideration the effect of terrorism and government interventions on stadium operations, the impacts of low inflation and interest rates, high disposable income, the significance of CSR initiatives and other community engagement programs, and current technology trends such as e-ticketing and magnetic cards. The management has </w:t>
      </w:r>
      <w:r>
        <w:rPr>
          <w:rFonts w:ascii="Times New Roman" w:hAnsi="Times New Roman"/>
          <w:sz w:val="24"/>
          <w:szCs w:val="24"/>
          <w:rtl w:val="0"/>
          <w:lang w:val="en-US"/>
        </w:rPr>
        <w:t>utilised</w:t>
      </w:r>
      <w:r>
        <w:rPr>
          <w:rFonts w:ascii="Times New Roman" w:hAnsi="Times New Roman"/>
          <w:sz w:val="24"/>
          <w:szCs w:val="24"/>
          <w:rtl w:val="0"/>
          <w:lang w:val="en-US"/>
        </w:rPr>
        <w:t xml:space="preserve"> these factors to create an innovative facility management. </w:t>
      </w:r>
    </w:p>
    <w:p>
      <w:pPr>
        <w:pStyle w:val="Body"/>
        <w:spacing w:line="480" w:lineRule="auto"/>
        <w:jc w:val="both"/>
        <w:rPr>
          <w:rFonts w:ascii="Times New Roman" w:cs="Times New Roman" w:hAnsi="Times New Roman" w:eastAsia="Times New Roman"/>
          <w:b w:val="1"/>
          <w:bCs w:val="1"/>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p>
    <w:p>
      <w:pPr>
        <w:pStyle w:val="Body"/>
        <w:spacing w:line="480" w:lineRule="auto"/>
        <w:jc w:val="center"/>
        <w:rPr>
          <w:rFonts w:ascii="Times New Roman" w:cs="Times New Roman" w:hAnsi="Times New Roman" w:eastAsia="Times New Roman"/>
          <w:sz w:val="24"/>
          <w:szCs w:val="24"/>
        </w:rPr>
      </w:pPr>
      <w:r>
        <w:rPr>
          <w:rFonts w:ascii="Times New Roman" w:hAnsi="Times New Roman"/>
          <w:sz w:val="24"/>
          <w:szCs w:val="24"/>
          <w:rtl w:val="0"/>
          <w:lang w:val="fr-FR"/>
        </w:rPr>
        <w:t>References</w:t>
      </w:r>
    </w:p>
    <w:p>
      <w:pPr>
        <w:pStyle w:val="Body"/>
        <w:spacing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Manoli, E.A., 2014. The football industry through traditional management analysis.</w:t>
      </w:r>
    </w:p>
    <w:p>
      <w:pPr>
        <w:pStyle w:val="Body"/>
        <w:spacing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McCarthy, J., Rowley, J., Jane Ashworth, C. and Pioch, E., 2014. Managing brand presence through social media: the case of UK football clubs.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Internet Research</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24</w:t>
      </w:r>
      <w:r>
        <w:rPr>
          <w:rFonts w:ascii="Times New Roman" w:hAnsi="Times New Roman"/>
          <w:sz w:val="24"/>
          <w:szCs w:val="24"/>
          <w:rtl w:val="0"/>
        </w:rPr>
        <w:t>(2), pp.181-204.</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100 Years of Swansea City,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2018. Available at &lt;</w:t>
      </w:r>
      <w:r>
        <w:rPr>
          <w:rtl w:val="0"/>
        </w:rPr>
        <w:t xml:space="preserve"> </w:t>
      </w:r>
      <w:r>
        <w:rPr>
          <w:rFonts w:ascii="Times New Roman" w:hAnsi="Times New Roman"/>
          <w:sz w:val="24"/>
          <w:szCs w:val="24"/>
          <w:rtl w:val="0"/>
          <w:lang w:val="en-US"/>
        </w:rPr>
        <w:t xml:space="preserve">https://www.swanseacity.com/100-years-swansea-city&gt; Accessed on 24, March 2018. </w:t>
      </w:r>
    </w:p>
    <w:p>
      <w:pPr>
        <w:pStyle w:val="Body"/>
        <w:spacing w:after="360" w:line="480" w:lineRule="auto"/>
        <w:ind w:left="720" w:hanging="720"/>
        <w:rPr>
          <w:rFonts w:ascii="Times" w:cs="Times" w:hAnsi="Times" w:eastAsia="Times"/>
        </w:rPr>
      </w:pPr>
      <w:r>
        <w:rPr>
          <w:rFonts w:ascii="Times" w:hAnsi="Times"/>
          <w:rtl w:val="0"/>
          <w:lang w:val="en-US"/>
        </w:rPr>
        <w:t xml:space="preserve">Rosca, V 2011, </w:t>
      </w:r>
      <w:r>
        <w:rPr>
          <w:rFonts w:ascii="Times" w:hAnsi="Times" w:hint="default"/>
          <w:rtl w:val="0"/>
          <w:lang w:val="en-US"/>
        </w:rPr>
        <w:t>‘</w:t>
      </w:r>
      <w:r>
        <w:rPr>
          <w:rFonts w:ascii="Times" w:hAnsi="Times"/>
          <w:rtl w:val="0"/>
          <w:lang w:val="en-US"/>
        </w:rPr>
        <w:t>Corporate Social Responsibility in English Football: History and Present</w:t>
      </w:r>
      <w:r>
        <w:rPr>
          <w:rFonts w:ascii="Times" w:hAnsi="Times" w:hint="default"/>
          <w:rtl w:val="0"/>
          <w:lang w:val="en-US"/>
        </w:rPr>
        <w:t>’</w:t>
      </w:r>
      <w:r>
        <w:rPr>
          <w:rFonts w:ascii="Times" w:hAnsi="Times"/>
          <w:rtl w:val="0"/>
          <w:lang w:val="en-US"/>
        </w:rPr>
        <w:t xml:space="preserve">, </w:t>
      </w:r>
      <w:r>
        <w:rPr>
          <w:rFonts w:ascii="Times" w:hAnsi="Times"/>
          <w:i w:val="1"/>
          <w:iCs w:val="1"/>
          <w:rtl w:val="0"/>
          <w:lang w:val="en-US"/>
        </w:rPr>
        <w:t>Management &amp; Marketing</w:t>
      </w:r>
      <w:r>
        <w:rPr>
          <w:rFonts w:ascii="Times" w:hAnsi="Times"/>
          <w:rtl w:val="0"/>
          <w:lang w:val="en-US"/>
        </w:rPr>
        <w:t>, Vol. 6, No. 2, pp. 327-346.</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Clemente, F.M., Martins, F.M.L., Kalamaras, D., Oliveira, J., Oliveira, P. and Mendes, R.S., 2015. The social network analysis of Switzerland football team on FIFA World Cup 2014.</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Journal of Physical Education and Sport</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15</w:t>
      </w:r>
      <w:r>
        <w:rPr>
          <w:rFonts w:ascii="Times New Roman" w:hAnsi="Times New Roman"/>
          <w:sz w:val="24"/>
          <w:szCs w:val="24"/>
          <w:rtl w:val="0"/>
        </w:rPr>
        <w:t>(1), p.136.</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rPr>
        <w:t>Sammut</w:t>
      </w:r>
      <w:r>
        <w:rPr>
          <w:rFonts w:ascii="Cambria Math" w:cs="Cambria Math" w:hAnsi="Cambria Math" w:eastAsia="Cambria Math"/>
          <w:sz w:val="24"/>
          <w:szCs w:val="24"/>
          <w:rtl w:val="0"/>
          <w:lang w:val="en-US"/>
        </w:rPr>
        <w:t>‐</w:t>
      </w:r>
      <w:r>
        <w:rPr>
          <w:rFonts w:ascii="Times New Roman" w:hAnsi="Times New Roman"/>
          <w:sz w:val="24"/>
          <w:szCs w:val="24"/>
          <w:rtl w:val="0"/>
          <w:lang w:val="en-US"/>
        </w:rPr>
        <w:t>Bonnici, T. and Galea, D., 2015. SWOT Analysis.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Wiley Encyclopedia of Management</w:t>
      </w:r>
      <w:r>
        <w:rPr>
          <w:rFonts w:ascii="Times New Roman" w:hAnsi="Times New Roman"/>
          <w:sz w:val="24"/>
          <w:szCs w:val="24"/>
          <w:rtl w:val="0"/>
        </w:rPr>
        <w:t>.</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Rodrigues, E.A.P.C., Drula, A.J. and Recchia, S., 2017. From" Rubro-Negro" to FIFA's neutrality: an analysis of changes in 2014 world cup stadiums.</w:t>
      </w:r>
      <w:r>
        <w:rPr>
          <w:rFonts w:ascii="Times New Roman" w:hAnsi="Times New Roman" w:hint="default"/>
          <w:sz w:val="24"/>
          <w:szCs w:val="24"/>
          <w:rtl w:val="0"/>
          <w:lang w:val="en-US"/>
        </w:rPr>
        <w:t> </w:t>
      </w:r>
      <w:r>
        <w:rPr>
          <w:rFonts w:ascii="Times New Roman" w:hAnsi="Times New Roman"/>
          <w:i w:val="1"/>
          <w:iCs w:val="1"/>
          <w:sz w:val="24"/>
          <w:szCs w:val="24"/>
          <w:rtl w:val="0"/>
          <w:lang w:val="pt-PT"/>
        </w:rPr>
        <w:t>Movimento</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23</w:t>
      </w:r>
      <w:r>
        <w:rPr>
          <w:rFonts w:ascii="Times New Roman" w:hAnsi="Times New Roman"/>
          <w:sz w:val="24"/>
          <w:szCs w:val="24"/>
          <w:rtl w:val="0"/>
        </w:rPr>
        <w:t>(4), pp.1283-1296.</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Aithal, P.S., 2016. Study on ABCD analysis technique for business models, business strategies, operating concepts &amp; business systems.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Browser Download This Paper</w:t>
      </w:r>
      <w:r>
        <w:rPr>
          <w:rFonts w:ascii="Times New Roman" w:hAnsi="Times New Roman"/>
          <w:sz w:val="24"/>
          <w:szCs w:val="24"/>
          <w:rtl w:val="0"/>
        </w:rPr>
        <w:t>.</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Liberty Stadium, 2018. Available at &lt;</w:t>
      </w:r>
      <w:r>
        <w:rPr>
          <w:rtl w:val="0"/>
        </w:rPr>
        <w:t xml:space="preserve"> </w:t>
      </w:r>
      <w:r>
        <w:rPr>
          <w:rFonts w:ascii="Times New Roman" w:hAnsi="Times New Roman"/>
          <w:sz w:val="24"/>
          <w:szCs w:val="24"/>
          <w:rtl w:val="0"/>
          <w:lang w:val="en-US"/>
        </w:rPr>
        <w:t>http://www.liberty-stadium.com/&gt; Accessed on 24 March 2018</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pt-PT"/>
        </w:rPr>
        <w:t xml:space="preserve">BBC, 2006. Wales 0-0 Bulgaria. </w:t>
      </w:r>
      <w:r>
        <w:rPr>
          <w:rFonts w:ascii="Times New Roman" w:hAnsi="Times New Roman"/>
          <w:i w:val="1"/>
          <w:iCs w:val="1"/>
          <w:sz w:val="24"/>
          <w:szCs w:val="24"/>
          <w:rtl w:val="0"/>
          <w:lang w:val="en-US"/>
        </w:rPr>
        <w:t>BBC Sports Football</w:t>
      </w:r>
      <w:r>
        <w:rPr>
          <w:rFonts w:ascii="Times New Roman" w:hAnsi="Times New Roman"/>
          <w:sz w:val="24"/>
          <w:szCs w:val="24"/>
          <w:rtl w:val="0"/>
          <w:lang w:val="en-US"/>
        </w:rPr>
        <w:t>, United Kingdom. Available at &lt;</w:t>
      </w:r>
      <w:r>
        <w:rPr>
          <w:rtl w:val="0"/>
        </w:rPr>
        <w:t xml:space="preserve"> </w:t>
      </w:r>
      <w:r>
        <w:rPr>
          <w:rFonts w:ascii="Times New Roman" w:hAnsi="Times New Roman"/>
          <w:sz w:val="24"/>
          <w:szCs w:val="24"/>
          <w:rtl w:val="0"/>
          <w:lang w:val="en-US"/>
        </w:rPr>
        <w:t>http://news.bbc.co.uk/sport2/hi/football/internationals/4788581.stm&gt; Accessed on 24 March 2018</w:t>
      </w:r>
    </w:p>
    <w:p>
      <w:pPr>
        <w:pStyle w:val="Body"/>
        <w:spacing w:line="480" w:lineRule="auto"/>
        <w:ind w:left="720" w:hanging="720"/>
      </w:pPr>
      <w:r>
        <w:rPr>
          <w:rFonts w:ascii="Times New Roman" w:hAnsi="Times New Roman"/>
          <w:sz w:val="24"/>
          <w:szCs w:val="24"/>
          <w:rtl w:val="0"/>
          <w:lang w:val="da-DK"/>
        </w:rPr>
        <w:t>Emmen, M, B, 2014</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FIFA's Faustian bargain: Corruption for the cup.</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rPr>
        <w:t>2014;</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Global Anti-Corruption Blog.</w:t>
      </w:r>
      <w:r>
        <w:rPr>
          <w:rFonts w:ascii="Times New Roman" w:hAnsi="Times New Roman"/>
          <w:sz w:val="24"/>
          <w:szCs w:val="24"/>
          <w:rtl w:val="0"/>
          <w:lang w:val="en-US"/>
        </w:rPr>
        <w:t>http://globalanticorruptionblog.com/2014/11/21/the-fifa-farce-continues-but-will-the-feds-get-the-last-laugh/</w:t>
      </w:r>
      <w:r>
        <w:rPr>
          <w:rFonts w:ascii="Times New Roman" w:hAnsi="Times New Roman"/>
          <w:sz w:val="24"/>
          <w:szCs w:val="24"/>
          <w:shd w:val="clear" w:color="auto" w:fill="ffffff"/>
          <w:rtl w:val="0"/>
          <w:lang w:val="en-US"/>
        </w:rPr>
        <w:t>Accessed 28 March 2018</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 w:name="Cambria Math">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fldChar w:fldCharType="begin" w:fldLock="0"/>
    </w:r>
    <w:r>
      <w:instrText xml:space="preserve"> PAGE </w:instrText>
    </w:r>
    <w:r>
      <w:rPr/>
      <w:fldChar w:fldCharType="separate" w:fldLock="0"/>
    </w:r>
    <w:r>
      <w:t>6</w:t>
    </w:r>
    <w:r>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TOC 2">
    <w:name w:val="TOC 2"/>
    <w:next w:val="TOC 2"/>
    <w:pPr>
      <w:keepNext w:val="0"/>
      <w:keepLines w:val="0"/>
      <w:pageBreakBefore w:val="0"/>
      <w:widowControl w:val="1"/>
      <w:shd w:val="clear" w:color="auto" w:fill="auto"/>
      <w:tabs>
        <w:tab w:val="left" w:pos="880"/>
        <w:tab w:val="right" w:pos="9340" w:leader="dot"/>
      </w:tabs>
      <w:suppressAutoHyphens w:val="0"/>
      <w:bidi w:val="0"/>
      <w:spacing w:before="0" w:after="100" w:line="276"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2">
    <w:name w:val="Heading 2"/>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1"/>
    </w:pPr>
    <w:rPr>
      <w:rFonts w:ascii="Cambria" w:cs="Cambria" w:hAnsi="Cambria" w:eastAsia="Cambria"/>
      <w:b w:val="1"/>
      <w:bCs w:val="1"/>
      <w:i w:val="0"/>
      <w:iCs w:val="0"/>
      <w:caps w:val="0"/>
      <w:smallCaps w:val="0"/>
      <w:strike w:val="0"/>
      <w:dstrike w:val="0"/>
      <w:outline w:val="0"/>
      <w:color w:val="4f81bd"/>
      <w:spacing w:val="0"/>
      <w:kern w:val="0"/>
      <w:position w:val="0"/>
      <w:sz w:val="26"/>
      <w:szCs w:val="26"/>
      <w:u w:val="none" w:color="4f81bd"/>
      <w:vertAlign w:val="baseline"/>
    </w:rPr>
  </w:style>
  <w:style w:type="paragraph" w:styleId="TOC 3">
    <w:name w:val="TOC 3"/>
    <w:next w:val="TOC 3"/>
    <w:pPr>
      <w:keepNext w:val="0"/>
      <w:keepLines w:val="0"/>
      <w:pageBreakBefore w:val="0"/>
      <w:widowControl w:val="1"/>
      <w:shd w:val="clear" w:color="auto" w:fill="auto"/>
      <w:tabs>
        <w:tab w:val="left" w:pos="660"/>
        <w:tab w:val="right" w:pos="934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2"/>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