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156082" w:themeColor="accent1"/>
        </w:rPr>
        <w:id w:val="-208333023"/>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3CCBCF4A" w14:textId="5E045828" w:rsidR="0097669D" w:rsidRDefault="0097669D">
          <w:pPr>
            <w:pStyle w:val="NoSpacing"/>
            <w:spacing w:before="1540" w:after="240"/>
            <w:jc w:val="center"/>
            <w:rPr>
              <w:color w:val="156082" w:themeColor="accent1"/>
            </w:rPr>
          </w:pPr>
          <w:r w:rsidRPr="0097669D">
            <w:rPr>
              <w:color w:val="156082" w:themeColor="accent1"/>
            </w:rPr>
            <w:drawing>
              <wp:inline distT="0" distB="0" distL="0" distR="0" wp14:anchorId="67B6E86C" wp14:editId="6EFF54AB">
                <wp:extent cx="3115110" cy="1095528"/>
                <wp:effectExtent l="0" t="0" r="9525" b="9525"/>
                <wp:docPr id="1679170049"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170049" name="Picture 1" descr="A close up of black text&#10;&#10;Description automatically generated"/>
                        <pic:cNvPicPr/>
                      </pic:nvPicPr>
                      <pic:blipFill>
                        <a:blip r:embed="rId8"/>
                        <a:stretch>
                          <a:fillRect/>
                        </a:stretch>
                      </pic:blipFill>
                      <pic:spPr>
                        <a:xfrm>
                          <a:off x="0" y="0"/>
                          <a:ext cx="3115110" cy="1095528"/>
                        </a:xfrm>
                        <a:prstGeom prst="rect">
                          <a:avLst/>
                        </a:prstGeom>
                      </pic:spPr>
                    </pic:pic>
                  </a:graphicData>
                </a:graphic>
              </wp:inline>
            </w:drawing>
          </w:r>
        </w:p>
        <w:sdt>
          <w:sdtPr>
            <w:rPr>
              <w:rFonts w:ascii="Arial Black" w:eastAsiaTheme="majorEastAsia" w:hAnsi="Arial Black" w:cstheme="majorBidi"/>
              <w:caps/>
              <w:color w:val="0D0D0D" w:themeColor="text1" w:themeTint="F2"/>
              <w:sz w:val="72"/>
              <w:szCs w:val="72"/>
            </w:rPr>
            <w:alias w:val="Title"/>
            <w:tag w:val=""/>
            <w:id w:val="1735040861"/>
            <w:placeholder>
              <w:docPart w:val="18D326EB513B4FF6A9F033BEFB573E15"/>
            </w:placeholder>
            <w:dataBinding w:prefixMappings="xmlns:ns0='http://purl.org/dc/elements/1.1/' xmlns:ns1='http://schemas.openxmlformats.org/package/2006/metadata/core-properties' " w:xpath="/ns1:coreProperties[1]/ns0:title[1]" w:storeItemID="{6C3C8BC8-F283-45AE-878A-BAB7291924A1}"/>
            <w:text/>
          </w:sdtPr>
          <w:sdtEndPr>
            <w:rPr>
              <w:color w:val="0D0D0D" w:themeColor="text1" w:themeTint="F2"/>
              <w:sz w:val="80"/>
              <w:szCs w:val="80"/>
            </w:rPr>
          </w:sdtEndPr>
          <w:sdtContent>
            <w:p w14:paraId="71DC1735" w14:textId="471D8BF8" w:rsidR="0097669D" w:rsidRPr="0097669D" w:rsidRDefault="0097669D">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0D0D0D" w:themeColor="text1" w:themeTint="F2"/>
                  <w:sz w:val="80"/>
                  <w:szCs w:val="80"/>
                </w:rPr>
              </w:pPr>
              <w:r w:rsidRPr="0097669D">
                <w:rPr>
                  <w:rFonts w:ascii="Arial Black" w:eastAsiaTheme="majorEastAsia" w:hAnsi="Arial Black" w:cstheme="majorBidi"/>
                  <w:caps/>
                  <w:color w:val="0D0D0D" w:themeColor="text1" w:themeTint="F2"/>
                  <w:sz w:val="72"/>
                  <w:szCs w:val="72"/>
                </w:rPr>
                <w:t xml:space="preserve">Financial Analysis </w:t>
              </w:r>
            </w:p>
          </w:sdtContent>
        </w:sdt>
        <w:p w14:paraId="2373377A" w14:textId="78BBADF4" w:rsidR="0097669D" w:rsidRDefault="0097669D" w:rsidP="0097669D">
          <w:pPr>
            <w:pStyle w:val="NoSpacing"/>
            <w:rPr>
              <w:color w:val="156082" w:themeColor="accent1"/>
              <w:sz w:val="28"/>
              <w:szCs w:val="28"/>
            </w:rPr>
          </w:pPr>
        </w:p>
        <w:p w14:paraId="16241A77" w14:textId="6611CA30" w:rsidR="0097669D" w:rsidRDefault="0097669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9B98E1A" wp14:editId="5E8D69F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0D0D0D" w:themeColor="text1" w:themeTint="F2"/>
                                    <w:sz w:val="28"/>
                                    <w:szCs w:val="28"/>
                                  </w:rPr>
                                  <w:alias w:val="Date"/>
                                  <w:tag w:val=""/>
                                  <w:id w:val="197127006"/>
                                  <w:dataBinding w:prefixMappings="xmlns:ns0='http://schemas.microsoft.com/office/2006/coverPageProps' " w:xpath="/ns0:CoverPageProperties[1]/ns0:PublishDate[1]" w:storeItemID="{55AF091B-3C7A-41E3-B477-F2FDAA23CFDA}"/>
                                  <w:date w:fullDate="2024-05-12T00:00:00Z">
                                    <w:dateFormat w:val="MMMM d, yyyy"/>
                                    <w:lid w:val="en-US"/>
                                    <w:storeMappedDataAs w:val="dateTime"/>
                                    <w:calendar w:val="gregorian"/>
                                  </w:date>
                                </w:sdtPr>
                                <w:sdtContent>
                                  <w:p w14:paraId="6AC88949" w14:textId="06F959B5" w:rsidR="0097669D" w:rsidRPr="0097669D" w:rsidRDefault="0097669D">
                                    <w:pPr>
                                      <w:pStyle w:val="NoSpacing"/>
                                      <w:spacing w:after="40"/>
                                      <w:jc w:val="center"/>
                                      <w:rPr>
                                        <w:rFonts w:ascii="Arial Black" w:hAnsi="Arial Black"/>
                                        <w:caps/>
                                        <w:color w:val="0D0D0D" w:themeColor="text1" w:themeTint="F2"/>
                                        <w:sz w:val="28"/>
                                        <w:szCs w:val="28"/>
                                      </w:rPr>
                                    </w:pPr>
                                    <w:r w:rsidRPr="0097669D">
                                      <w:rPr>
                                        <w:rFonts w:ascii="Arial Black" w:hAnsi="Arial Black"/>
                                        <w:caps/>
                                        <w:color w:val="0D0D0D" w:themeColor="text1" w:themeTint="F2"/>
                                        <w:sz w:val="28"/>
                                        <w:szCs w:val="28"/>
                                      </w:rPr>
                                      <w:t>May 12, 2024</w:t>
                                    </w:r>
                                  </w:p>
                                </w:sdtContent>
                              </w:sdt>
                              <w:p w14:paraId="2A47B683" w14:textId="67B0A5F4" w:rsidR="0097669D" w:rsidRPr="0097669D" w:rsidRDefault="0097669D">
                                <w:pPr>
                                  <w:pStyle w:val="NoSpacing"/>
                                  <w:jc w:val="center"/>
                                  <w:rPr>
                                    <w:rFonts w:ascii="Arial Black" w:hAnsi="Arial Black"/>
                                    <w:color w:val="0D0D0D" w:themeColor="text1" w:themeTint="F2"/>
                                  </w:rPr>
                                </w:pPr>
                                <w:sdt>
                                  <w:sdtPr>
                                    <w:rPr>
                                      <w:rFonts w:ascii="Arial Black" w:hAnsi="Arial Black"/>
                                      <w:caps/>
                                      <w:color w:val="0D0D0D" w:themeColor="text1" w:themeTint="F2"/>
                                    </w:rPr>
                                    <w:alias w:val="Company"/>
                                    <w:tag w:val=""/>
                                    <w:id w:val="1390145197"/>
                                    <w:dataBinding w:prefixMappings="xmlns:ns0='http://schemas.openxmlformats.org/officeDocument/2006/extended-properties' " w:xpath="/ns0:Properties[1]/ns0:Company[1]" w:storeItemID="{6668398D-A668-4E3E-A5EB-62B293D839F1}"/>
                                    <w:text/>
                                  </w:sdtPr>
                                  <w:sdtContent>
                                    <w:r w:rsidRPr="0097669D">
                                      <w:rPr>
                                        <w:rFonts w:ascii="Arial Black" w:hAnsi="Arial Black"/>
                                        <w:caps/>
                                        <w:color w:val="0D0D0D" w:themeColor="text1" w:themeTint="F2"/>
                                      </w:rPr>
                                      <w:t>Adrian Sovinschi (2316798)</w:t>
                                    </w:r>
                                  </w:sdtContent>
                                </w:sdt>
                              </w:p>
                              <w:p w14:paraId="1C317A90" w14:textId="124B898B" w:rsidR="0097669D" w:rsidRDefault="0097669D">
                                <w:pPr>
                                  <w:pStyle w:val="NoSpacing"/>
                                  <w:jc w:val="center"/>
                                  <w:rPr>
                                    <w:color w:val="156082" w:themeColor="accent1"/>
                                  </w:rPr>
                                </w:pPr>
                                <w:sdt>
                                  <w:sdtPr>
                                    <w:rPr>
                                      <w:rFonts w:ascii="Arial Black" w:hAnsi="Arial Black"/>
                                      <w:color w:val="0D0D0D" w:themeColor="text1" w:themeTint="F2"/>
                                    </w:rPr>
                                    <w:alias w:val="Address"/>
                                    <w:tag w:val=""/>
                                    <w:id w:val="-726379553"/>
                                    <w:dataBinding w:prefixMappings="xmlns:ns0='http://schemas.microsoft.com/office/2006/coverPageProps' " w:xpath="/ns0:CoverPageProperties[1]/ns0:CompanyAddress[1]" w:storeItemID="{55AF091B-3C7A-41E3-B477-F2FDAA23CFDA}"/>
                                    <w:text/>
                                  </w:sdtPr>
                                  <w:sdtContent>
                                    <w:r w:rsidRPr="0097669D">
                                      <w:rPr>
                                        <w:rFonts w:ascii="Arial Black" w:hAnsi="Arial Black"/>
                                        <w:color w:val="0D0D0D" w:themeColor="text1" w:themeTint="F2"/>
                                      </w:rPr>
                                      <w:t xml:space="preserve">Financial Management </w:t>
                                    </w:r>
                                    <w:r w:rsidRPr="0097669D">
                                      <w:rPr>
                                        <w:rFonts w:ascii="Arial Black" w:hAnsi="Arial Black"/>
                                        <w:color w:val="0D0D0D" w:themeColor="text1" w:themeTint="F2"/>
                                      </w:rPr>
                                      <w:t>for</w:t>
                                    </w:r>
                                    <w:r w:rsidRPr="0097669D">
                                      <w:rPr>
                                        <w:rFonts w:ascii="Arial Black" w:hAnsi="Arial Black"/>
                                        <w:color w:val="0D0D0D" w:themeColor="text1" w:themeTint="F2"/>
                                      </w:rPr>
                                      <w:t xml:space="preserve"> Business Sustainability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B98E1A"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0D0D0D" w:themeColor="text1" w:themeTint="F2"/>
                              <w:sz w:val="28"/>
                              <w:szCs w:val="28"/>
                            </w:rPr>
                            <w:alias w:val="Date"/>
                            <w:tag w:val=""/>
                            <w:id w:val="197127006"/>
                            <w:dataBinding w:prefixMappings="xmlns:ns0='http://schemas.microsoft.com/office/2006/coverPageProps' " w:xpath="/ns0:CoverPageProperties[1]/ns0:PublishDate[1]" w:storeItemID="{55AF091B-3C7A-41E3-B477-F2FDAA23CFDA}"/>
                            <w:date w:fullDate="2024-05-12T00:00:00Z">
                              <w:dateFormat w:val="MMMM d, yyyy"/>
                              <w:lid w:val="en-US"/>
                              <w:storeMappedDataAs w:val="dateTime"/>
                              <w:calendar w:val="gregorian"/>
                            </w:date>
                          </w:sdtPr>
                          <w:sdtContent>
                            <w:p w14:paraId="6AC88949" w14:textId="06F959B5" w:rsidR="0097669D" w:rsidRPr="0097669D" w:rsidRDefault="0097669D">
                              <w:pPr>
                                <w:pStyle w:val="NoSpacing"/>
                                <w:spacing w:after="40"/>
                                <w:jc w:val="center"/>
                                <w:rPr>
                                  <w:rFonts w:ascii="Arial Black" w:hAnsi="Arial Black"/>
                                  <w:caps/>
                                  <w:color w:val="0D0D0D" w:themeColor="text1" w:themeTint="F2"/>
                                  <w:sz w:val="28"/>
                                  <w:szCs w:val="28"/>
                                </w:rPr>
                              </w:pPr>
                              <w:r w:rsidRPr="0097669D">
                                <w:rPr>
                                  <w:rFonts w:ascii="Arial Black" w:hAnsi="Arial Black"/>
                                  <w:caps/>
                                  <w:color w:val="0D0D0D" w:themeColor="text1" w:themeTint="F2"/>
                                  <w:sz w:val="28"/>
                                  <w:szCs w:val="28"/>
                                </w:rPr>
                                <w:t>May 12, 2024</w:t>
                              </w:r>
                            </w:p>
                          </w:sdtContent>
                        </w:sdt>
                        <w:p w14:paraId="2A47B683" w14:textId="67B0A5F4" w:rsidR="0097669D" w:rsidRPr="0097669D" w:rsidRDefault="0097669D">
                          <w:pPr>
                            <w:pStyle w:val="NoSpacing"/>
                            <w:jc w:val="center"/>
                            <w:rPr>
                              <w:rFonts w:ascii="Arial Black" w:hAnsi="Arial Black"/>
                              <w:color w:val="0D0D0D" w:themeColor="text1" w:themeTint="F2"/>
                            </w:rPr>
                          </w:pPr>
                          <w:sdt>
                            <w:sdtPr>
                              <w:rPr>
                                <w:rFonts w:ascii="Arial Black" w:hAnsi="Arial Black"/>
                                <w:caps/>
                                <w:color w:val="0D0D0D" w:themeColor="text1" w:themeTint="F2"/>
                              </w:rPr>
                              <w:alias w:val="Company"/>
                              <w:tag w:val=""/>
                              <w:id w:val="1390145197"/>
                              <w:dataBinding w:prefixMappings="xmlns:ns0='http://schemas.openxmlformats.org/officeDocument/2006/extended-properties' " w:xpath="/ns0:Properties[1]/ns0:Company[1]" w:storeItemID="{6668398D-A668-4E3E-A5EB-62B293D839F1}"/>
                              <w:text/>
                            </w:sdtPr>
                            <w:sdtContent>
                              <w:r w:rsidRPr="0097669D">
                                <w:rPr>
                                  <w:rFonts w:ascii="Arial Black" w:hAnsi="Arial Black"/>
                                  <w:caps/>
                                  <w:color w:val="0D0D0D" w:themeColor="text1" w:themeTint="F2"/>
                                </w:rPr>
                                <w:t>Adrian Sovinschi (2316798)</w:t>
                              </w:r>
                            </w:sdtContent>
                          </w:sdt>
                        </w:p>
                        <w:p w14:paraId="1C317A90" w14:textId="124B898B" w:rsidR="0097669D" w:rsidRDefault="0097669D">
                          <w:pPr>
                            <w:pStyle w:val="NoSpacing"/>
                            <w:jc w:val="center"/>
                            <w:rPr>
                              <w:color w:val="156082" w:themeColor="accent1"/>
                            </w:rPr>
                          </w:pPr>
                          <w:sdt>
                            <w:sdtPr>
                              <w:rPr>
                                <w:rFonts w:ascii="Arial Black" w:hAnsi="Arial Black"/>
                                <w:color w:val="0D0D0D" w:themeColor="text1" w:themeTint="F2"/>
                              </w:rPr>
                              <w:alias w:val="Address"/>
                              <w:tag w:val=""/>
                              <w:id w:val="-726379553"/>
                              <w:dataBinding w:prefixMappings="xmlns:ns0='http://schemas.microsoft.com/office/2006/coverPageProps' " w:xpath="/ns0:CoverPageProperties[1]/ns0:CompanyAddress[1]" w:storeItemID="{55AF091B-3C7A-41E3-B477-F2FDAA23CFDA}"/>
                              <w:text/>
                            </w:sdtPr>
                            <w:sdtContent>
                              <w:r w:rsidRPr="0097669D">
                                <w:rPr>
                                  <w:rFonts w:ascii="Arial Black" w:hAnsi="Arial Black"/>
                                  <w:color w:val="0D0D0D" w:themeColor="text1" w:themeTint="F2"/>
                                </w:rPr>
                                <w:t xml:space="preserve">Financial Management </w:t>
                              </w:r>
                              <w:r w:rsidRPr="0097669D">
                                <w:rPr>
                                  <w:rFonts w:ascii="Arial Black" w:hAnsi="Arial Black"/>
                                  <w:color w:val="0D0D0D" w:themeColor="text1" w:themeTint="F2"/>
                                </w:rPr>
                                <w:t>for</w:t>
                              </w:r>
                              <w:r w:rsidRPr="0097669D">
                                <w:rPr>
                                  <w:rFonts w:ascii="Arial Black" w:hAnsi="Arial Black"/>
                                  <w:color w:val="0D0D0D" w:themeColor="text1" w:themeTint="F2"/>
                                </w:rPr>
                                <w:t xml:space="preserve"> Business Sustainability</w:t>
                              </w:r>
                            </w:sdtContent>
                          </w:sdt>
                        </w:p>
                      </w:txbxContent>
                    </v:textbox>
                    <w10:wrap anchorx="margin" anchory="page"/>
                  </v:shape>
                </w:pict>
              </mc:Fallback>
            </mc:AlternateContent>
          </w:r>
        </w:p>
        <w:p w14:paraId="0172A7A6" w14:textId="2F26EC67" w:rsidR="0097669D" w:rsidRDefault="0097669D">
          <w:pPr>
            <w:rPr>
              <w:rFonts w:ascii="Arial Black" w:hAnsi="Arial Black" w:cs="Arial"/>
              <w:sz w:val="24"/>
              <w:szCs w:val="24"/>
            </w:rPr>
          </w:pPr>
          <w:r>
            <w:rPr>
              <w:rFonts w:ascii="Arial Black" w:hAnsi="Arial Black" w:cs="Arial"/>
              <w:sz w:val="24"/>
              <w:szCs w:val="24"/>
            </w:rPr>
            <w:br w:type="page"/>
          </w:r>
        </w:p>
      </w:sdtContent>
    </w:sdt>
    <w:p w14:paraId="1FBAED3D" w14:textId="0463BDBD" w:rsidR="003A2F4E" w:rsidRPr="0097669D" w:rsidRDefault="0080594D">
      <w:pPr>
        <w:rPr>
          <w:rFonts w:ascii="Arial Black" w:hAnsi="Arial Black" w:cs="Arial"/>
          <w:sz w:val="24"/>
          <w:szCs w:val="24"/>
        </w:rPr>
      </w:pPr>
      <w:r w:rsidRPr="0097669D">
        <w:rPr>
          <w:rFonts w:ascii="Arial Black" w:hAnsi="Arial Black" w:cs="Arial"/>
          <w:sz w:val="24"/>
          <w:szCs w:val="24"/>
        </w:rPr>
        <w:lastRenderedPageBreak/>
        <w:t xml:space="preserve">Introduction </w:t>
      </w:r>
    </w:p>
    <w:p w14:paraId="374E4098" w14:textId="2959F9A8" w:rsidR="0080594D" w:rsidRDefault="0080594D" w:rsidP="0097669D">
      <w:pPr>
        <w:spacing w:line="360" w:lineRule="auto"/>
        <w:rPr>
          <w:rFonts w:ascii="Arial" w:hAnsi="Arial" w:cs="Arial"/>
          <w:sz w:val="24"/>
          <w:szCs w:val="24"/>
        </w:rPr>
      </w:pPr>
      <w:r w:rsidRPr="0080594D">
        <w:rPr>
          <w:rFonts w:ascii="Arial" w:hAnsi="Arial" w:cs="Arial"/>
          <w:sz w:val="24"/>
          <w:szCs w:val="24"/>
        </w:rPr>
        <w:t>This r</w:t>
      </w:r>
      <w:r>
        <w:rPr>
          <w:rFonts w:ascii="Arial" w:hAnsi="Arial" w:cs="Arial"/>
          <w:sz w:val="24"/>
          <w:szCs w:val="24"/>
        </w:rPr>
        <w:t xml:space="preserve">eport </w:t>
      </w:r>
      <w:r w:rsidRPr="0080594D">
        <w:rPr>
          <w:rFonts w:ascii="Arial" w:hAnsi="Arial" w:cs="Arial"/>
          <w:sz w:val="24"/>
          <w:szCs w:val="24"/>
        </w:rPr>
        <w:t xml:space="preserve">provides a complete financial analysis of McDonald's Corporation, focused on the fiscal years 2020-2022. The major goal is to check the company's financial health using detailed ratio analysis, which evaluates numerous financial variables such as profitability, liquidity, efficiency, and solvency. By analysing these financial indicators over </w:t>
      </w:r>
      <w:r>
        <w:rPr>
          <w:rFonts w:ascii="Arial" w:hAnsi="Arial" w:cs="Arial"/>
          <w:sz w:val="24"/>
          <w:szCs w:val="24"/>
        </w:rPr>
        <w:t>three years</w:t>
      </w:r>
      <w:r w:rsidRPr="0080594D">
        <w:rPr>
          <w:rFonts w:ascii="Arial" w:hAnsi="Arial" w:cs="Arial"/>
          <w:sz w:val="24"/>
          <w:szCs w:val="24"/>
        </w:rPr>
        <w:t>, we want to find trends, difficulties, and areas of strength in the company's financial processes. Furthermore, the investigation will look into the causes of the financial performance changes observed during these years. Based on these findings, the report will make strategic recommendations to improve McDonald's financial performance and continue its growth in the competitive fast-food business.</w:t>
      </w:r>
      <w:r w:rsidRPr="0080594D">
        <w:t xml:space="preserve"> </w:t>
      </w:r>
      <w:r w:rsidRPr="0080594D">
        <w:rPr>
          <w:rFonts w:ascii="Arial" w:hAnsi="Arial" w:cs="Arial"/>
          <w:sz w:val="24"/>
          <w:szCs w:val="24"/>
        </w:rPr>
        <w:t>The ultimate goal is to provide stakeholders with a better understanding of the financial dynamics at play, allowing for more informed decisions on future fiscal plans.</w:t>
      </w:r>
    </w:p>
    <w:p w14:paraId="098C8F26" w14:textId="77777777" w:rsidR="0080594D" w:rsidRDefault="0080594D">
      <w:pPr>
        <w:rPr>
          <w:rFonts w:ascii="Arial" w:hAnsi="Arial" w:cs="Arial"/>
          <w:sz w:val="24"/>
          <w:szCs w:val="24"/>
        </w:rPr>
      </w:pPr>
    </w:p>
    <w:p w14:paraId="231AE3AA" w14:textId="77777777" w:rsidR="0080594D" w:rsidRDefault="0080594D">
      <w:pPr>
        <w:rPr>
          <w:rFonts w:ascii="Arial" w:hAnsi="Arial" w:cs="Arial"/>
          <w:sz w:val="24"/>
          <w:szCs w:val="24"/>
        </w:rPr>
      </w:pPr>
    </w:p>
    <w:p w14:paraId="6C913E38" w14:textId="77777777" w:rsidR="0080594D" w:rsidRDefault="0080594D">
      <w:pPr>
        <w:rPr>
          <w:rFonts w:ascii="Arial" w:hAnsi="Arial" w:cs="Arial"/>
          <w:sz w:val="24"/>
          <w:szCs w:val="24"/>
        </w:rPr>
      </w:pPr>
    </w:p>
    <w:p w14:paraId="59D98B3E" w14:textId="77777777" w:rsidR="0080594D" w:rsidRDefault="0080594D">
      <w:pPr>
        <w:rPr>
          <w:rFonts w:ascii="Arial" w:hAnsi="Arial" w:cs="Arial"/>
          <w:sz w:val="24"/>
          <w:szCs w:val="24"/>
        </w:rPr>
      </w:pPr>
    </w:p>
    <w:p w14:paraId="1A15BF80" w14:textId="77777777" w:rsidR="0080594D" w:rsidRDefault="0080594D">
      <w:pPr>
        <w:rPr>
          <w:rFonts w:ascii="Arial" w:hAnsi="Arial" w:cs="Arial"/>
          <w:sz w:val="24"/>
          <w:szCs w:val="24"/>
        </w:rPr>
      </w:pPr>
    </w:p>
    <w:p w14:paraId="3CBB8B8D" w14:textId="77777777" w:rsidR="0080594D" w:rsidRDefault="0080594D">
      <w:pPr>
        <w:rPr>
          <w:rFonts w:ascii="Arial" w:hAnsi="Arial" w:cs="Arial"/>
          <w:sz w:val="24"/>
          <w:szCs w:val="24"/>
        </w:rPr>
      </w:pPr>
    </w:p>
    <w:p w14:paraId="5B0CEF0B" w14:textId="77777777" w:rsidR="0080594D" w:rsidRDefault="0080594D">
      <w:pPr>
        <w:rPr>
          <w:rFonts w:ascii="Arial" w:hAnsi="Arial" w:cs="Arial"/>
          <w:sz w:val="24"/>
          <w:szCs w:val="24"/>
        </w:rPr>
      </w:pPr>
    </w:p>
    <w:p w14:paraId="7463BC32" w14:textId="77777777" w:rsidR="0080594D" w:rsidRDefault="0080594D">
      <w:pPr>
        <w:rPr>
          <w:rFonts w:ascii="Arial" w:hAnsi="Arial" w:cs="Arial"/>
          <w:sz w:val="24"/>
          <w:szCs w:val="24"/>
        </w:rPr>
      </w:pPr>
    </w:p>
    <w:p w14:paraId="40957559" w14:textId="77777777" w:rsidR="0080594D" w:rsidRDefault="0080594D">
      <w:pPr>
        <w:rPr>
          <w:rFonts w:ascii="Arial" w:hAnsi="Arial" w:cs="Arial"/>
          <w:sz w:val="24"/>
          <w:szCs w:val="24"/>
        </w:rPr>
      </w:pPr>
    </w:p>
    <w:p w14:paraId="2FF4C533" w14:textId="77777777" w:rsidR="0080594D" w:rsidRDefault="0080594D">
      <w:pPr>
        <w:rPr>
          <w:rFonts w:ascii="Arial" w:hAnsi="Arial" w:cs="Arial"/>
          <w:sz w:val="24"/>
          <w:szCs w:val="24"/>
        </w:rPr>
      </w:pPr>
    </w:p>
    <w:p w14:paraId="50EC5CD5" w14:textId="77777777" w:rsidR="0080594D" w:rsidRDefault="0080594D">
      <w:pPr>
        <w:rPr>
          <w:rFonts w:ascii="Arial" w:hAnsi="Arial" w:cs="Arial"/>
          <w:sz w:val="24"/>
          <w:szCs w:val="24"/>
        </w:rPr>
      </w:pPr>
    </w:p>
    <w:p w14:paraId="4E78931C" w14:textId="77777777" w:rsidR="0080594D" w:rsidRDefault="0080594D">
      <w:pPr>
        <w:rPr>
          <w:rFonts w:ascii="Arial" w:hAnsi="Arial" w:cs="Arial"/>
          <w:sz w:val="24"/>
          <w:szCs w:val="24"/>
        </w:rPr>
      </w:pPr>
    </w:p>
    <w:p w14:paraId="44EE7AA2" w14:textId="77777777" w:rsidR="0080594D" w:rsidRDefault="0080594D">
      <w:pPr>
        <w:rPr>
          <w:rFonts w:ascii="Arial" w:hAnsi="Arial" w:cs="Arial"/>
          <w:sz w:val="24"/>
          <w:szCs w:val="24"/>
        </w:rPr>
      </w:pPr>
    </w:p>
    <w:p w14:paraId="31AAE258" w14:textId="77777777" w:rsidR="0080594D" w:rsidRDefault="0080594D">
      <w:pPr>
        <w:rPr>
          <w:rFonts w:ascii="Arial" w:hAnsi="Arial" w:cs="Arial"/>
          <w:sz w:val="24"/>
          <w:szCs w:val="24"/>
        </w:rPr>
      </w:pPr>
    </w:p>
    <w:p w14:paraId="16B790FA" w14:textId="77777777" w:rsidR="0080594D" w:rsidRDefault="0080594D">
      <w:pPr>
        <w:rPr>
          <w:rFonts w:ascii="Arial" w:hAnsi="Arial" w:cs="Arial"/>
          <w:sz w:val="24"/>
          <w:szCs w:val="24"/>
        </w:rPr>
      </w:pPr>
    </w:p>
    <w:p w14:paraId="3D3F21C7" w14:textId="77777777" w:rsidR="0080594D" w:rsidRDefault="0080594D">
      <w:pPr>
        <w:rPr>
          <w:rFonts w:ascii="Arial" w:hAnsi="Arial" w:cs="Arial"/>
          <w:sz w:val="24"/>
          <w:szCs w:val="24"/>
        </w:rPr>
      </w:pPr>
    </w:p>
    <w:p w14:paraId="1F16D9E4" w14:textId="77777777" w:rsidR="0080594D" w:rsidRDefault="0080594D">
      <w:pPr>
        <w:rPr>
          <w:rFonts w:ascii="Arial" w:hAnsi="Arial" w:cs="Arial"/>
          <w:sz w:val="24"/>
          <w:szCs w:val="24"/>
        </w:rPr>
      </w:pPr>
    </w:p>
    <w:p w14:paraId="366C105C" w14:textId="77777777" w:rsidR="0097669D" w:rsidRDefault="0097669D">
      <w:pPr>
        <w:rPr>
          <w:rFonts w:ascii="Arial" w:hAnsi="Arial" w:cs="Arial"/>
          <w:sz w:val="24"/>
          <w:szCs w:val="24"/>
        </w:rPr>
      </w:pPr>
    </w:p>
    <w:p w14:paraId="0D59FC9E" w14:textId="7C4677BA" w:rsidR="0080594D" w:rsidRPr="0097669D" w:rsidRDefault="00C433E6">
      <w:pPr>
        <w:rPr>
          <w:rFonts w:ascii="Arial Black" w:hAnsi="Arial Black" w:cs="Arial"/>
          <w:sz w:val="24"/>
          <w:szCs w:val="24"/>
        </w:rPr>
      </w:pPr>
      <w:r w:rsidRPr="0097669D">
        <w:rPr>
          <w:rFonts w:ascii="Arial Black" w:hAnsi="Arial Black" w:cs="Arial"/>
          <w:sz w:val="24"/>
          <w:szCs w:val="24"/>
        </w:rPr>
        <w:lastRenderedPageBreak/>
        <w:t>Methodology</w:t>
      </w:r>
    </w:p>
    <w:p w14:paraId="6F12E85D" w14:textId="59D4E03E" w:rsidR="00C433E6" w:rsidRDefault="00C433E6" w:rsidP="0097669D">
      <w:pPr>
        <w:spacing w:line="360" w:lineRule="auto"/>
        <w:rPr>
          <w:rFonts w:ascii="Arial" w:hAnsi="Arial" w:cs="Arial"/>
          <w:sz w:val="24"/>
          <w:szCs w:val="24"/>
        </w:rPr>
      </w:pPr>
      <w:r w:rsidRPr="00C433E6">
        <w:rPr>
          <w:rFonts w:ascii="Arial" w:hAnsi="Arial" w:cs="Arial"/>
          <w:sz w:val="24"/>
          <w:szCs w:val="24"/>
        </w:rPr>
        <w:t xml:space="preserve">The methodology for this financial study of McDonald's Corporation is based on proforma financial statements from 2020 to 2022 obtained from the company's official financial reports. These records contain critical information such as income statements, balance sheets, and cash flow statements that must be thoroughly examined. The research entails calculating several key financial measures, including profitability (Gross Profit Margin and Net Profit Margin), liquidity (Current Ratio), solvency (Debt to Equity Ratio), and efficiency </w:t>
      </w:r>
      <w:r w:rsidRPr="00C433E6">
        <w:rPr>
          <w:rFonts w:ascii="Arial" w:hAnsi="Arial" w:cs="Arial"/>
          <w:sz w:val="24"/>
          <w:szCs w:val="24"/>
        </w:rPr>
        <w:t>(Asset</w:t>
      </w:r>
      <w:r w:rsidRPr="00C433E6">
        <w:rPr>
          <w:rFonts w:ascii="Arial" w:hAnsi="Arial" w:cs="Arial"/>
          <w:sz w:val="24"/>
          <w:szCs w:val="24"/>
        </w:rPr>
        <w:t xml:space="preserve"> Turnover Ratio). These ratios are critical for evaluating McDonald's financial health and operational efficiency during the stated </w:t>
      </w:r>
      <w:r>
        <w:rPr>
          <w:rFonts w:ascii="Arial" w:hAnsi="Arial" w:cs="Arial"/>
          <w:sz w:val="24"/>
          <w:szCs w:val="24"/>
        </w:rPr>
        <w:t>period</w:t>
      </w:r>
      <w:r w:rsidRPr="00C433E6">
        <w:rPr>
          <w:rFonts w:ascii="Arial" w:hAnsi="Arial" w:cs="Arial"/>
          <w:sz w:val="24"/>
          <w:szCs w:val="24"/>
        </w:rPr>
        <w:t>. The various ratios offer insights into the company's financial stability and performance trends.</w:t>
      </w:r>
    </w:p>
    <w:p w14:paraId="10A22BB0" w14:textId="7D502606" w:rsidR="00C433E6" w:rsidRPr="0097669D" w:rsidRDefault="00C433E6" w:rsidP="0097669D">
      <w:pPr>
        <w:spacing w:line="360" w:lineRule="auto"/>
        <w:rPr>
          <w:rFonts w:ascii="Arial" w:hAnsi="Arial" w:cs="Arial"/>
          <w:b/>
          <w:bCs/>
          <w:sz w:val="24"/>
          <w:szCs w:val="24"/>
        </w:rPr>
      </w:pPr>
      <w:r w:rsidRPr="0097669D">
        <w:rPr>
          <w:rFonts w:ascii="Arial" w:hAnsi="Arial" w:cs="Arial"/>
          <w:b/>
          <w:bCs/>
          <w:sz w:val="24"/>
          <w:szCs w:val="24"/>
        </w:rPr>
        <w:t>Financial Ratio Analysis</w:t>
      </w:r>
    </w:p>
    <w:p w14:paraId="0E3F45E5" w14:textId="77777777" w:rsidR="00C433E6" w:rsidRPr="0097669D" w:rsidRDefault="00C433E6" w:rsidP="0097669D">
      <w:pPr>
        <w:spacing w:line="360" w:lineRule="auto"/>
        <w:rPr>
          <w:rFonts w:ascii="Arial" w:hAnsi="Arial" w:cs="Arial"/>
          <w:b/>
          <w:bCs/>
          <w:sz w:val="24"/>
          <w:szCs w:val="24"/>
        </w:rPr>
      </w:pPr>
      <w:r w:rsidRPr="0097669D">
        <w:rPr>
          <w:rFonts w:ascii="Arial" w:hAnsi="Arial" w:cs="Arial"/>
          <w:b/>
          <w:bCs/>
          <w:sz w:val="24"/>
          <w:szCs w:val="24"/>
        </w:rPr>
        <w:t>Profitability Ratios:</w:t>
      </w:r>
    </w:p>
    <w:p w14:paraId="2C690E1A" w14:textId="77777777"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The profitability of McDonald's is evaluated using Gross Profit Margin and Net Profit Margin for each year:</w:t>
      </w:r>
    </w:p>
    <w:p w14:paraId="4923082E" w14:textId="77777777" w:rsidR="00C433E6" w:rsidRPr="0097669D" w:rsidRDefault="00C433E6" w:rsidP="0097669D">
      <w:pPr>
        <w:spacing w:line="360" w:lineRule="auto"/>
        <w:rPr>
          <w:rFonts w:ascii="Arial" w:hAnsi="Arial" w:cs="Arial"/>
          <w:b/>
          <w:bCs/>
          <w:sz w:val="24"/>
          <w:szCs w:val="24"/>
        </w:rPr>
      </w:pPr>
      <w:r w:rsidRPr="0097669D">
        <w:rPr>
          <w:rFonts w:ascii="Arial" w:hAnsi="Arial" w:cs="Arial"/>
          <w:b/>
          <w:bCs/>
          <w:sz w:val="24"/>
          <w:szCs w:val="24"/>
        </w:rPr>
        <w:t>Gross Profit Margin:</w:t>
      </w:r>
    </w:p>
    <w:p w14:paraId="2FFA1F56" w14:textId="44A86469"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2020: (£7152.9M/£17436.4</w:t>
      </w:r>
      <w:r w:rsidRPr="00C433E6">
        <w:rPr>
          <w:rFonts w:ascii="Arial" w:hAnsi="Arial" w:cs="Arial"/>
          <w:sz w:val="24"/>
          <w:szCs w:val="24"/>
        </w:rPr>
        <w:t>M) ×</w:t>
      </w:r>
      <w:r w:rsidRPr="00C433E6">
        <w:rPr>
          <w:rFonts w:ascii="Arial" w:hAnsi="Arial" w:cs="Arial"/>
          <w:sz w:val="24"/>
          <w:szCs w:val="24"/>
        </w:rPr>
        <w:t>100=41.04</w:t>
      </w:r>
    </w:p>
    <w:p w14:paraId="0FD5AF24" w14:textId="0B20FA8C"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2021: (£7260.7M/£17734.5</w:t>
      </w:r>
      <w:r w:rsidRPr="00C433E6">
        <w:rPr>
          <w:rFonts w:ascii="Arial" w:hAnsi="Arial" w:cs="Arial"/>
          <w:sz w:val="24"/>
          <w:szCs w:val="24"/>
        </w:rPr>
        <w:t>M) ×</w:t>
      </w:r>
      <w:r w:rsidRPr="00C433E6">
        <w:rPr>
          <w:rFonts w:ascii="Arial" w:hAnsi="Arial" w:cs="Arial"/>
          <w:sz w:val="24"/>
          <w:szCs w:val="24"/>
        </w:rPr>
        <w:t>100=40.95</w:t>
      </w:r>
    </w:p>
    <w:p w14:paraId="278D317C" w14:textId="0B387DA4"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2022: (£7533.4M/</w:t>
      </w:r>
      <w:r w:rsidRPr="00C433E6">
        <w:rPr>
          <w:rFonts w:ascii="Arial" w:hAnsi="Arial" w:cs="Arial"/>
          <w:sz w:val="24"/>
          <w:szCs w:val="24"/>
        </w:rPr>
        <w:t>£18275.3M) ×</w:t>
      </w:r>
      <w:r w:rsidRPr="00C433E6">
        <w:rPr>
          <w:rFonts w:ascii="Arial" w:hAnsi="Arial" w:cs="Arial"/>
          <w:sz w:val="24"/>
          <w:szCs w:val="24"/>
        </w:rPr>
        <w:t>100=41.23</w:t>
      </w:r>
    </w:p>
    <w:p w14:paraId="6EB02D0C" w14:textId="77777777"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The gross profit margin has remained relatively stable over the three years, indicating a consistent ability to manage the cost of goods sold relative to sales.</w:t>
      </w:r>
    </w:p>
    <w:p w14:paraId="77BD1EBD" w14:textId="77777777" w:rsidR="00C433E6" w:rsidRPr="0097669D" w:rsidRDefault="00C433E6" w:rsidP="0097669D">
      <w:pPr>
        <w:spacing w:line="360" w:lineRule="auto"/>
        <w:rPr>
          <w:rFonts w:ascii="Arial" w:hAnsi="Arial" w:cs="Arial"/>
          <w:b/>
          <w:bCs/>
          <w:sz w:val="24"/>
          <w:szCs w:val="24"/>
        </w:rPr>
      </w:pPr>
      <w:r w:rsidRPr="0097669D">
        <w:rPr>
          <w:rFonts w:ascii="Arial" w:hAnsi="Arial" w:cs="Arial"/>
          <w:b/>
          <w:bCs/>
          <w:sz w:val="24"/>
          <w:szCs w:val="24"/>
        </w:rPr>
        <w:t>Net Profit Margin:</w:t>
      </w:r>
    </w:p>
    <w:p w14:paraId="082817F7" w14:textId="1138B993"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2020: (£457M/£17436.4</w:t>
      </w:r>
      <w:r w:rsidRPr="00C433E6">
        <w:rPr>
          <w:rFonts w:ascii="Arial" w:hAnsi="Arial" w:cs="Arial"/>
          <w:sz w:val="24"/>
          <w:szCs w:val="24"/>
        </w:rPr>
        <w:t>M) ×</w:t>
      </w:r>
      <w:r w:rsidRPr="00C433E6">
        <w:rPr>
          <w:rFonts w:ascii="Arial" w:hAnsi="Arial" w:cs="Arial"/>
          <w:sz w:val="24"/>
          <w:szCs w:val="24"/>
        </w:rPr>
        <w:t>100=2.62</w:t>
      </w:r>
    </w:p>
    <w:p w14:paraId="55362536" w14:textId="17F8ED3B" w:rsidR="00C433E6" w:rsidRDefault="00C433E6" w:rsidP="0097669D">
      <w:pPr>
        <w:spacing w:line="360" w:lineRule="auto"/>
        <w:rPr>
          <w:rFonts w:ascii="Arial" w:hAnsi="Arial" w:cs="Arial"/>
          <w:sz w:val="24"/>
          <w:szCs w:val="24"/>
        </w:rPr>
      </w:pPr>
      <w:r>
        <w:rPr>
          <w:rFonts w:ascii="Arial" w:hAnsi="Arial" w:cs="Arial"/>
          <w:sz w:val="24"/>
          <w:szCs w:val="24"/>
        </w:rPr>
        <w:t xml:space="preserve">2021: </w:t>
      </w:r>
      <w:r w:rsidRPr="00C433E6">
        <w:rPr>
          <w:rFonts w:ascii="Arial" w:hAnsi="Arial" w:cs="Arial"/>
          <w:sz w:val="24"/>
          <w:szCs w:val="24"/>
        </w:rPr>
        <w:t>(£415M/£17734.5</w:t>
      </w:r>
      <w:r w:rsidRPr="00C433E6">
        <w:rPr>
          <w:rFonts w:ascii="Arial" w:hAnsi="Arial" w:cs="Arial"/>
          <w:sz w:val="24"/>
          <w:szCs w:val="24"/>
        </w:rPr>
        <w:t>M) ×</w:t>
      </w:r>
      <w:r w:rsidRPr="00C433E6">
        <w:rPr>
          <w:rFonts w:ascii="Arial" w:hAnsi="Arial" w:cs="Arial"/>
          <w:sz w:val="24"/>
          <w:szCs w:val="24"/>
        </w:rPr>
        <w:t>100=2.34</w:t>
      </w:r>
    </w:p>
    <w:p w14:paraId="2A3EC71B" w14:textId="23322065" w:rsidR="00C433E6" w:rsidRPr="00C433E6" w:rsidRDefault="00C433E6" w:rsidP="0097669D">
      <w:pPr>
        <w:spacing w:line="360" w:lineRule="auto"/>
        <w:rPr>
          <w:rFonts w:ascii="Arial" w:hAnsi="Arial" w:cs="Arial"/>
          <w:sz w:val="24"/>
          <w:szCs w:val="24"/>
        </w:rPr>
      </w:pPr>
      <w:r>
        <w:rPr>
          <w:rFonts w:ascii="Arial" w:hAnsi="Arial" w:cs="Arial"/>
          <w:sz w:val="24"/>
          <w:szCs w:val="24"/>
        </w:rPr>
        <w:t xml:space="preserve">2023: </w:t>
      </w:r>
      <w:r w:rsidRPr="00C433E6">
        <w:rPr>
          <w:rFonts w:ascii="Arial" w:hAnsi="Arial" w:cs="Arial"/>
          <w:sz w:val="24"/>
          <w:szCs w:val="24"/>
        </w:rPr>
        <w:t>(£495.3M/</w:t>
      </w:r>
      <w:r w:rsidRPr="00C433E6">
        <w:rPr>
          <w:rFonts w:ascii="Arial" w:hAnsi="Arial" w:cs="Arial"/>
          <w:sz w:val="24"/>
          <w:szCs w:val="24"/>
        </w:rPr>
        <w:t>£18275.3M) ×</w:t>
      </w:r>
      <w:r w:rsidRPr="00C433E6">
        <w:rPr>
          <w:rFonts w:ascii="Arial" w:hAnsi="Arial" w:cs="Arial"/>
          <w:sz w:val="24"/>
          <w:szCs w:val="24"/>
        </w:rPr>
        <w:t>100=2.71</w:t>
      </w:r>
    </w:p>
    <w:p w14:paraId="1388BDCE" w14:textId="77777777" w:rsidR="0019536E" w:rsidRDefault="0019536E" w:rsidP="0097669D">
      <w:pPr>
        <w:spacing w:line="360" w:lineRule="auto"/>
        <w:rPr>
          <w:rFonts w:ascii="Arial" w:hAnsi="Arial" w:cs="Arial"/>
          <w:sz w:val="24"/>
          <w:szCs w:val="24"/>
        </w:rPr>
      </w:pPr>
      <w:r w:rsidRPr="0019536E">
        <w:rPr>
          <w:rFonts w:ascii="Arial" w:hAnsi="Arial" w:cs="Arial"/>
          <w:sz w:val="24"/>
          <w:szCs w:val="24"/>
        </w:rPr>
        <w:t>The net profit margin falls somewhat in 2021 but rebounds in 2022, presumably indicating the impact of strategic cost control and the recovery from external obstacles like as the pandemic.</w:t>
      </w:r>
    </w:p>
    <w:p w14:paraId="6D83ED16" w14:textId="11D42B2B" w:rsidR="00C433E6" w:rsidRPr="0097669D" w:rsidRDefault="00C433E6" w:rsidP="0097669D">
      <w:pPr>
        <w:spacing w:line="360" w:lineRule="auto"/>
        <w:rPr>
          <w:rFonts w:ascii="Arial" w:hAnsi="Arial" w:cs="Arial"/>
          <w:b/>
          <w:bCs/>
          <w:sz w:val="24"/>
          <w:szCs w:val="24"/>
        </w:rPr>
      </w:pPr>
      <w:r w:rsidRPr="0097669D">
        <w:rPr>
          <w:rFonts w:ascii="Arial" w:hAnsi="Arial" w:cs="Arial"/>
          <w:b/>
          <w:bCs/>
          <w:sz w:val="24"/>
          <w:szCs w:val="24"/>
        </w:rPr>
        <w:lastRenderedPageBreak/>
        <w:t>Liquidity Ratios:</w:t>
      </w:r>
    </w:p>
    <w:p w14:paraId="0BE25A06" w14:textId="77777777" w:rsidR="00C433E6" w:rsidRPr="0097669D" w:rsidRDefault="00C433E6" w:rsidP="0097669D">
      <w:pPr>
        <w:spacing w:line="360" w:lineRule="auto"/>
        <w:rPr>
          <w:rFonts w:ascii="Arial" w:hAnsi="Arial" w:cs="Arial"/>
          <w:b/>
          <w:bCs/>
          <w:sz w:val="24"/>
          <w:szCs w:val="24"/>
        </w:rPr>
      </w:pPr>
      <w:r w:rsidRPr="0097669D">
        <w:rPr>
          <w:rFonts w:ascii="Arial" w:hAnsi="Arial" w:cs="Arial"/>
          <w:b/>
          <w:bCs/>
          <w:sz w:val="24"/>
          <w:szCs w:val="24"/>
        </w:rPr>
        <w:t>Current Ratio:</w:t>
      </w:r>
    </w:p>
    <w:p w14:paraId="6CCE6D62" w14:textId="54B89A9D"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2020: 3567.9M/4270.4M=0.84</w:t>
      </w:r>
    </w:p>
    <w:p w14:paraId="23CC23C6" w14:textId="78E8387C"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2021: 3821.3M/4682.6M=0.82</w:t>
      </w:r>
    </w:p>
    <w:p w14:paraId="05DE8809" w14:textId="13C92AA4"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2022: 3952.6M/4803.2M=0.82</w:t>
      </w:r>
    </w:p>
    <w:p w14:paraId="4F6BA97B" w14:textId="77777777" w:rsidR="0019536E" w:rsidRDefault="0019536E" w:rsidP="0097669D">
      <w:pPr>
        <w:spacing w:line="360" w:lineRule="auto"/>
        <w:rPr>
          <w:rFonts w:ascii="Arial" w:hAnsi="Arial" w:cs="Arial"/>
          <w:sz w:val="24"/>
          <w:szCs w:val="24"/>
        </w:rPr>
      </w:pPr>
      <w:r w:rsidRPr="0019536E">
        <w:rPr>
          <w:rFonts w:ascii="Arial" w:hAnsi="Arial" w:cs="Arial"/>
          <w:sz w:val="24"/>
          <w:szCs w:val="24"/>
        </w:rPr>
        <w:t>McDonald's current ratio of less than one during the last three years implies that the company may struggle to cover short-term liabilities with current assets, indicating tighter liquidity and the need for cautious cash flow management.</w:t>
      </w:r>
    </w:p>
    <w:p w14:paraId="60CCA069" w14:textId="73383C3B" w:rsidR="00C433E6" w:rsidRPr="0097669D" w:rsidRDefault="00C433E6" w:rsidP="0097669D">
      <w:pPr>
        <w:spacing w:line="360" w:lineRule="auto"/>
        <w:rPr>
          <w:rFonts w:ascii="Arial" w:hAnsi="Arial" w:cs="Arial"/>
          <w:b/>
          <w:bCs/>
          <w:sz w:val="24"/>
          <w:szCs w:val="24"/>
        </w:rPr>
      </w:pPr>
      <w:r w:rsidRPr="0097669D">
        <w:rPr>
          <w:rFonts w:ascii="Arial" w:hAnsi="Arial" w:cs="Arial"/>
          <w:b/>
          <w:bCs/>
          <w:sz w:val="24"/>
          <w:szCs w:val="24"/>
        </w:rPr>
        <w:t>Efficiency Ratios:</w:t>
      </w:r>
    </w:p>
    <w:p w14:paraId="26AFE862" w14:textId="77777777" w:rsidR="00C433E6" w:rsidRPr="0097669D" w:rsidRDefault="00C433E6" w:rsidP="0097669D">
      <w:pPr>
        <w:spacing w:line="360" w:lineRule="auto"/>
        <w:rPr>
          <w:rFonts w:ascii="Arial" w:hAnsi="Arial" w:cs="Arial"/>
          <w:b/>
          <w:bCs/>
          <w:sz w:val="24"/>
          <w:szCs w:val="24"/>
        </w:rPr>
      </w:pPr>
      <w:r w:rsidRPr="0097669D">
        <w:rPr>
          <w:rFonts w:ascii="Arial" w:hAnsi="Arial" w:cs="Arial"/>
          <w:b/>
          <w:bCs/>
          <w:sz w:val="24"/>
          <w:szCs w:val="24"/>
        </w:rPr>
        <w:t>Asset Turnover Ratio:</w:t>
      </w:r>
    </w:p>
    <w:p w14:paraId="4EAE6898" w14:textId="5BAC5831"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2020: £17436.4M/£44747M=0.39</w:t>
      </w:r>
    </w:p>
    <w:p w14:paraId="2FA4CCC8" w14:textId="5381F95C"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2021: £17734.5M/£47030.6M=0.38</w:t>
      </w:r>
    </w:p>
    <w:p w14:paraId="6802253A" w14:textId="662ADB98" w:rsidR="00C433E6" w:rsidRPr="00C433E6" w:rsidRDefault="00C433E6" w:rsidP="0097669D">
      <w:pPr>
        <w:spacing w:line="360" w:lineRule="auto"/>
        <w:rPr>
          <w:rFonts w:ascii="Arial" w:hAnsi="Arial" w:cs="Arial"/>
          <w:sz w:val="24"/>
          <w:szCs w:val="24"/>
        </w:rPr>
      </w:pPr>
      <w:r w:rsidRPr="00C433E6">
        <w:rPr>
          <w:rFonts w:ascii="Arial" w:hAnsi="Arial" w:cs="Arial"/>
          <w:sz w:val="24"/>
          <w:szCs w:val="24"/>
        </w:rPr>
        <w:t>2022: £18275.3M/£48236.9M=0.38</w:t>
      </w:r>
    </w:p>
    <w:p w14:paraId="76A5F043" w14:textId="484BE6B9" w:rsidR="00C433E6" w:rsidRDefault="0019536E" w:rsidP="0097669D">
      <w:pPr>
        <w:spacing w:line="360" w:lineRule="auto"/>
        <w:rPr>
          <w:rFonts w:ascii="Arial" w:hAnsi="Arial" w:cs="Arial"/>
          <w:sz w:val="24"/>
          <w:szCs w:val="24"/>
        </w:rPr>
      </w:pPr>
      <w:r w:rsidRPr="0019536E">
        <w:rPr>
          <w:rFonts w:ascii="Arial" w:hAnsi="Arial" w:cs="Arial"/>
          <w:sz w:val="24"/>
          <w:szCs w:val="24"/>
        </w:rPr>
        <w:t>The asset turnover ratio has marginally dropped, showing less efficiency in using assets to create revenue. This could indicate that considerable asset investments have not resulted in a proportionate growth in revenue.</w:t>
      </w:r>
    </w:p>
    <w:p w14:paraId="362B0BB7" w14:textId="77777777" w:rsidR="0019536E" w:rsidRPr="0097669D" w:rsidRDefault="0019536E" w:rsidP="0097669D">
      <w:pPr>
        <w:spacing w:line="360" w:lineRule="auto"/>
        <w:rPr>
          <w:rFonts w:ascii="Arial" w:hAnsi="Arial" w:cs="Arial"/>
          <w:b/>
          <w:bCs/>
          <w:sz w:val="24"/>
          <w:szCs w:val="24"/>
        </w:rPr>
      </w:pPr>
      <w:r w:rsidRPr="0097669D">
        <w:rPr>
          <w:rFonts w:ascii="Arial" w:hAnsi="Arial" w:cs="Arial"/>
          <w:b/>
          <w:bCs/>
          <w:sz w:val="24"/>
          <w:szCs w:val="24"/>
        </w:rPr>
        <w:t>Solvency Ratios:</w:t>
      </w:r>
    </w:p>
    <w:p w14:paraId="734917A7" w14:textId="77777777" w:rsidR="0019536E" w:rsidRPr="0097669D" w:rsidRDefault="0019536E" w:rsidP="0097669D">
      <w:pPr>
        <w:spacing w:line="360" w:lineRule="auto"/>
        <w:rPr>
          <w:rFonts w:ascii="Arial" w:hAnsi="Arial" w:cs="Arial"/>
          <w:b/>
          <w:bCs/>
          <w:sz w:val="24"/>
          <w:szCs w:val="24"/>
        </w:rPr>
      </w:pPr>
      <w:r w:rsidRPr="0097669D">
        <w:rPr>
          <w:rFonts w:ascii="Arial" w:hAnsi="Arial" w:cs="Arial"/>
          <w:b/>
          <w:bCs/>
          <w:sz w:val="24"/>
          <w:szCs w:val="24"/>
        </w:rPr>
        <w:t>Debt to Equity Ratio:</w:t>
      </w:r>
    </w:p>
    <w:p w14:paraId="5237445C" w14:textId="4FC9354E" w:rsidR="0019536E" w:rsidRPr="0019536E" w:rsidRDefault="0019536E" w:rsidP="0097669D">
      <w:pPr>
        <w:spacing w:line="360" w:lineRule="auto"/>
        <w:rPr>
          <w:rFonts w:ascii="Arial" w:hAnsi="Arial" w:cs="Arial"/>
          <w:sz w:val="24"/>
          <w:szCs w:val="24"/>
        </w:rPr>
      </w:pPr>
      <w:r w:rsidRPr="0019536E">
        <w:rPr>
          <w:rFonts w:ascii="Arial" w:hAnsi="Arial" w:cs="Arial"/>
          <w:sz w:val="24"/>
          <w:szCs w:val="24"/>
        </w:rPr>
        <w:t>2020: £33214M/£11533M=2.88</w:t>
      </w:r>
    </w:p>
    <w:p w14:paraId="3E7274DF" w14:textId="4AEAF6A1" w:rsidR="0019536E" w:rsidRPr="0019536E" w:rsidRDefault="0019536E" w:rsidP="0097669D">
      <w:pPr>
        <w:spacing w:line="360" w:lineRule="auto"/>
        <w:rPr>
          <w:rFonts w:ascii="Arial" w:hAnsi="Arial" w:cs="Arial"/>
          <w:sz w:val="24"/>
          <w:szCs w:val="24"/>
        </w:rPr>
      </w:pPr>
      <w:r w:rsidRPr="0019536E">
        <w:rPr>
          <w:rFonts w:ascii="Arial" w:hAnsi="Arial" w:cs="Arial"/>
          <w:sz w:val="24"/>
          <w:szCs w:val="24"/>
        </w:rPr>
        <w:t>2021: £34096.4M/£12934.2M=2.64</w:t>
      </w:r>
    </w:p>
    <w:p w14:paraId="6FEDDEBB" w14:textId="7250A872" w:rsidR="0019536E" w:rsidRPr="0019536E" w:rsidRDefault="0019536E" w:rsidP="0097669D">
      <w:pPr>
        <w:spacing w:line="360" w:lineRule="auto"/>
        <w:rPr>
          <w:rFonts w:ascii="Arial" w:hAnsi="Arial" w:cs="Arial"/>
          <w:sz w:val="24"/>
          <w:szCs w:val="24"/>
        </w:rPr>
      </w:pPr>
      <w:r w:rsidRPr="0019536E">
        <w:rPr>
          <w:rFonts w:ascii="Arial" w:hAnsi="Arial" w:cs="Arial"/>
          <w:sz w:val="24"/>
          <w:szCs w:val="24"/>
        </w:rPr>
        <w:t>2022:</w:t>
      </w:r>
      <w:r>
        <w:rPr>
          <w:rFonts w:ascii="Arial" w:hAnsi="Arial" w:cs="Arial"/>
          <w:sz w:val="24"/>
          <w:szCs w:val="24"/>
        </w:rPr>
        <w:t xml:space="preserve"> </w:t>
      </w:r>
      <w:r w:rsidRPr="0019536E">
        <w:rPr>
          <w:rFonts w:ascii="Arial" w:hAnsi="Arial" w:cs="Arial"/>
          <w:sz w:val="24"/>
          <w:szCs w:val="24"/>
        </w:rPr>
        <w:t>£34510.3M/£13726.6M=2.51</w:t>
      </w:r>
    </w:p>
    <w:p w14:paraId="1F51B8BA" w14:textId="7835AFD4" w:rsidR="0019536E" w:rsidRDefault="0019536E" w:rsidP="0097669D">
      <w:pPr>
        <w:spacing w:line="360" w:lineRule="auto"/>
        <w:rPr>
          <w:rFonts w:ascii="Arial" w:hAnsi="Arial" w:cs="Arial"/>
          <w:sz w:val="24"/>
          <w:szCs w:val="24"/>
        </w:rPr>
      </w:pPr>
      <w:r w:rsidRPr="0019536E">
        <w:rPr>
          <w:rFonts w:ascii="Arial" w:hAnsi="Arial" w:cs="Arial"/>
          <w:sz w:val="24"/>
          <w:szCs w:val="24"/>
        </w:rPr>
        <w:t xml:space="preserve">A lower debt-to-equity ratio from 2020 to 2022 signals increased financial stability. This shows that McDonald's has properly managed its debt levels or increased equity funding to lessen leverage, which could be advantageous to long-term viability. </w:t>
      </w:r>
      <w:r w:rsidRPr="0019536E">
        <w:rPr>
          <w:rFonts w:ascii="Arial" w:hAnsi="Arial" w:cs="Arial"/>
          <w:sz w:val="24"/>
          <w:szCs w:val="24"/>
        </w:rPr>
        <w:br/>
        <w:t xml:space="preserve">These statistics jointly provide insight into McDonald's financial health, suggesting </w:t>
      </w:r>
      <w:r w:rsidRPr="0019536E">
        <w:rPr>
          <w:rFonts w:ascii="Arial" w:hAnsi="Arial" w:cs="Arial"/>
          <w:sz w:val="24"/>
          <w:szCs w:val="24"/>
        </w:rPr>
        <w:lastRenderedPageBreak/>
        <w:t>strong profit margins, a need for improved liquidity management, slightly lower asset efficiency, and an improved solvency position over the analysed period.</w:t>
      </w:r>
    </w:p>
    <w:p w14:paraId="1F6D7299" w14:textId="6A75DD83" w:rsidR="0019536E" w:rsidRPr="0097669D" w:rsidRDefault="0019536E" w:rsidP="0097669D">
      <w:pPr>
        <w:spacing w:line="360" w:lineRule="auto"/>
        <w:rPr>
          <w:rFonts w:ascii="Arial Black" w:hAnsi="Arial Black" w:cs="Arial"/>
          <w:sz w:val="24"/>
          <w:szCs w:val="24"/>
        </w:rPr>
      </w:pPr>
      <w:r w:rsidRPr="0097669D">
        <w:rPr>
          <w:rFonts w:ascii="Arial Black" w:hAnsi="Arial Black" w:cs="Arial"/>
          <w:sz w:val="24"/>
          <w:szCs w:val="24"/>
        </w:rPr>
        <w:t>Year-on-Year Performance Comparison</w:t>
      </w:r>
    </w:p>
    <w:p w14:paraId="4A7FCC5A" w14:textId="6E98D8D4" w:rsidR="0019536E" w:rsidRDefault="0019536E" w:rsidP="0097669D">
      <w:pPr>
        <w:spacing w:line="360" w:lineRule="auto"/>
        <w:rPr>
          <w:rFonts w:ascii="Arial" w:hAnsi="Arial" w:cs="Arial"/>
          <w:sz w:val="24"/>
          <w:szCs w:val="24"/>
        </w:rPr>
      </w:pPr>
      <w:r w:rsidRPr="0019536E">
        <w:rPr>
          <w:rFonts w:ascii="Arial" w:hAnsi="Arial" w:cs="Arial"/>
          <w:sz w:val="24"/>
          <w:szCs w:val="24"/>
        </w:rPr>
        <w:t xml:space="preserve">McDonald's financial performance from 2020 to 2022 demonstrates many patterns and modifications in reaction to external market situations, most notably the COVID-19 pandemic. Reviewing annual reports reveals how McDonald's managed these difficult times. </w:t>
      </w:r>
      <w:r w:rsidRPr="0019536E">
        <w:rPr>
          <w:rFonts w:ascii="Arial" w:hAnsi="Arial" w:cs="Arial"/>
          <w:sz w:val="24"/>
          <w:szCs w:val="24"/>
        </w:rPr>
        <w:br/>
      </w:r>
      <w:r w:rsidRPr="0097669D">
        <w:rPr>
          <w:rFonts w:ascii="Arial" w:hAnsi="Arial" w:cs="Arial"/>
          <w:b/>
          <w:bCs/>
          <w:sz w:val="24"/>
          <w:szCs w:val="24"/>
        </w:rPr>
        <w:t xml:space="preserve">Revenue Growth: </w:t>
      </w:r>
      <w:r w:rsidRPr="0097669D">
        <w:rPr>
          <w:rFonts w:ascii="Arial" w:hAnsi="Arial" w:cs="Arial"/>
          <w:b/>
          <w:bCs/>
          <w:sz w:val="24"/>
          <w:szCs w:val="24"/>
        </w:rPr>
        <w:br/>
      </w:r>
      <w:r w:rsidRPr="0019536E">
        <w:rPr>
          <w:rFonts w:ascii="Arial" w:hAnsi="Arial" w:cs="Arial"/>
          <w:sz w:val="24"/>
          <w:szCs w:val="24"/>
        </w:rPr>
        <w:t xml:space="preserve">2020: £17,436.4M </w:t>
      </w:r>
      <w:r w:rsidRPr="0019536E">
        <w:rPr>
          <w:rFonts w:ascii="Arial" w:hAnsi="Arial" w:cs="Arial"/>
          <w:sz w:val="24"/>
          <w:szCs w:val="24"/>
        </w:rPr>
        <w:br/>
        <w:t xml:space="preserve">2021: £17,734.5M </w:t>
      </w:r>
      <w:r w:rsidRPr="0019536E">
        <w:rPr>
          <w:rFonts w:ascii="Arial" w:hAnsi="Arial" w:cs="Arial"/>
          <w:sz w:val="24"/>
          <w:szCs w:val="24"/>
        </w:rPr>
        <w:br/>
        <w:t>2022: £18,275.3M</w:t>
      </w:r>
    </w:p>
    <w:p w14:paraId="26503224" w14:textId="04346E3C" w:rsidR="0019536E" w:rsidRDefault="0019536E" w:rsidP="0097669D">
      <w:pPr>
        <w:spacing w:line="360" w:lineRule="auto"/>
        <w:rPr>
          <w:rFonts w:ascii="Arial" w:hAnsi="Arial" w:cs="Arial"/>
          <w:sz w:val="24"/>
          <w:szCs w:val="24"/>
        </w:rPr>
      </w:pPr>
      <w:r w:rsidRPr="0019536E">
        <w:rPr>
          <w:rFonts w:ascii="Arial" w:hAnsi="Arial" w:cs="Arial"/>
          <w:sz w:val="24"/>
          <w:szCs w:val="24"/>
        </w:rPr>
        <w:t>The revenue numbers reflect a constant rising trend, with a moderate increase from 2020 to 2021 and a more notable growth in 2022. This growth, despite the global slump induced by the epidemic, demonstrates excellent adaption methods, such as improving digital service platforms and takeaway choices, which accounted for the shift in customer behaviour towards online and contactless dining experiences.</w:t>
      </w:r>
    </w:p>
    <w:p w14:paraId="35572BE5" w14:textId="459FCBCC" w:rsidR="0019536E" w:rsidRDefault="00284ADA" w:rsidP="0097669D">
      <w:pPr>
        <w:spacing w:line="360" w:lineRule="auto"/>
        <w:rPr>
          <w:rFonts w:ascii="Arial" w:hAnsi="Arial" w:cs="Arial"/>
          <w:sz w:val="24"/>
          <w:szCs w:val="24"/>
        </w:rPr>
      </w:pPr>
      <w:r w:rsidRPr="0097669D">
        <w:rPr>
          <w:rFonts w:ascii="Arial" w:hAnsi="Arial" w:cs="Arial"/>
          <w:b/>
          <w:bCs/>
          <w:sz w:val="24"/>
          <w:szCs w:val="24"/>
        </w:rPr>
        <w:t>Profitability:</w:t>
      </w:r>
      <w:r w:rsidRPr="00284ADA">
        <w:rPr>
          <w:rFonts w:ascii="Arial" w:hAnsi="Arial" w:cs="Arial"/>
          <w:sz w:val="24"/>
          <w:szCs w:val="24"/>
        </w:rPr>
        <w:t xml:space="preserve"> </w:t>
      </w:r>
      <w:r w:rsidR="0097669D">
        <w:rPr>
          <w:rFonts w:ascii="Arial" w:hAnsi="Arial" w:cs="Arial"/>
          <w:sz w:val="24"/>
          <w:szCs w:val="24"/>
        </w:rPr>
        <w:t>Over</w:t>
      </w:r>
      <w:r w:rsidRPr="00284ADA">
        <w:rPr>
          <w:rFonts w:ascii="Arial" w:hAnsi="Arial" w:cs="Arial"/>
          <w:sz w:val="24"/>
          <w:szCs w:val="24"/>
        </w:rPr>
        <w:t xml:space="preserve"> the three years, profit margins slightly changed. As a result of McDonald's ability to keep costs down, its gross profit margin was comparatively steady. On the other hand, the net profit margin decreased in 2021 and then increased in 2022. This decline most likely reflects the pandemic's direct effects, such as higher health and safety measure costs and perhaps lower sales volumes during the height of international restrictions.</w:t>
      </w:r>
    </w:p>
    <w:p w14:paraId="227F9895" w14:textId="1E5A3B49" w:rsidR="00284ADA" w:rsidRDefault="00284ADA" w:rsidP="0097669D">
      <w:pPr>
        <w:spacing w:line="360" w:lineRule="auto"/>
        <w:rPr>
          <w:rFonts w:ascii="Arial" w:hAnsi="Arial" w:cs="Arial"/>
          <w:sz w:val="24"/>
          <w:szCs w:val="24"/>
        </w:rPr>
      </w:pPr>
      <w:r w:rsidRPr="0097669D">
        <w:rPr>
          <w:rFonts w:ascii="Arial" w:hAnsi="Arial" w:cs="Arial"/>
          <w:b/>
          <w:bCs/>
          <w:sz w:val="24"/>
          <w:szCs w:val="24"/>
        </w:rPr>
        <w:t>Costs:</w:t>
      </w:r>
      <w:r w:rsidRPr="00284ADA">
        <w:rPr>
          <w:rFonts w:ascii="Arial" w:hAnsi="Arial" w:cs="Arial"/>
          <w:sz w:val="24"/>
          <w:szCs w:val="24"/>
        </w:rPr>
        <w:br/>
        <w:t xml:space="preserve">Operating costs grew from £5,201.3 million in 2020 to £5,464.9 million in 2022, indicating that expenditures are growing, possibly due to inflation and greater investment </w:t>
      </w:r>
      <w:r>
        <w:rPr>
          <w:rFonts w:ascii="Arial" w:hAnsi="Arial" w:cs="Arial"/>
          <w:sz w:val="24"/>
          <w:szCs w:val="24"/>
        </w:rPr>
        <w:t>in</w:t>
      </w:r>
      <w:r w:rsidRPr="00284ADA">
        <w:rPr>
          <w:rFonts w:ascii="Arial" w:hAnsi="Arial" w:cs="Arial"/>
          <w:sz w:val="24"/>
          <w:szCs w:val="24"/>
        </w:rPr>
        <w:t xml:space="preserve"> safety and sanitary measures.</w:t>
      </w:r>
      <w:r w:rsidRPr="00284ADA">
        <w:rPr>
          <w:rFonts w:ascii="Arial" w:hAnsi="Arial" w:cs="Arial"/>
          <w:sz w:val="24"/>
          <w:szCs w:val="24"/>
        </w:rPr>
        <w:br/>
      </w:r>
      <w:r w:rsidRPr="0097669D">
        <w:rPr>
          <w:rFonts w:ascii="Arial" w:hAnsi="Arial" w:cs="Arial"/>
          <w:b/>
          <w:bCs/>
          <w:sz w:val="24"/>
          <w:szCs w:val="24"/>
        </w:rPr>
        <w:t>External factors:</w:t>
      </w:r>
      <w:r w:rsidRPr="0097669D">
        <w:rPr>
          <w:rFonts w:ascii="Arial" w:hAnsi="Arial" w:cs="Arial"/>
          <w:b/>
          <w:bCs/>
          <w:sz w:val="24"/>
          <w:szCs w:val="24"/>
        </w:rPr>
        <w:br/>
      </w:r>
      <w:r w:rsidRPr="00284ADA">
        <w:rPr>
          <w:rFonts w:ascii="Arial" w:hAnsi="Arial" w:cs="Arial"/>
          <w:sz w:val="24"/>
          <w:szCs w:val="24"/>
        </w:rPr>
        <w:t xml:space="preserve">The COVID-19 pandemic had a major impact, especially in 2021. McDonald's had operational interruptions owing to lockdowns and social distancing requirements, which affected restaurant operations worldwide. However, their rapid transition to digital ordering and delivery systems helped offset some of the negative </w:t>
      </w:r>
      <w:r w:rsidRPr="00284ADA">
        <w:rPr>
          <w:rFonts w:ascii="Arial" w:hAnsi="Arial" w:cs="Arial"/>
          <w:sz w:val="24"/>
          <w:szCs w:val="24"/>
        </w:rPr>
        <w:lastRenderedPageBreak/>
        <w:t>consequences. Furthermore, global inflationary pressures and supply chain disruptions are likely to have contributed to higher operational expenses over time.</w:t>
      </w:r>
      <w:r w:rsidRPr="00284ADA">
        <w:t xml:space="preserve"> </w:t>
      </w:r>
      <w:r w:rsidRPr="00284ADA">
        <w:rPr>
          <w:rFonts w:ascii="Arial" w:hAnsi="Arial" w:cs="Arial"/>
          <w:sz w:val="24"/>
          <w:szCs w:val="24"/>
        </w:rPr>
        <w:t>Overall, McDonald's displayed financial resilience, growing revenue and maintaining profitability while making smart improvements to business operations and marketing tactics in response to the changing global marketplace.</w:t>
      </w:r>
    </w:p>
    <w:p w14:paraId="27B1EA1F" w14:textId="05E78585" w:rsidR="00284ADA" w:rsidRPr="0097669D" w:rsidRDefault="00284ADA" w:rsidP="0097669D">
      <w:pPr>
        <w:spacing w:line="360" w:lineRule="auto"/>
        <w:rPr>
          <w:rFonts w:ascii="Arial Black" w:hAnsi="Arial Black" w:cs="Arial"/>
          <w:sz w:val="24"/>
          <w:szCs w:val="24"/>
        </w:rPr>
      </w:pPr>
      <w:r w:rsidRPr="0097669D">
        <w:rPr>
          <w:rFonts w:ascii="Arial Black" w:hAnsi="Arial Black" w:cs="Arial"/>
          <w:sz w:val="24"/>
          <w:szCs w:val="24"/>
        </w:rPr>
        <w:t>Analysis of Business Performance</w:t>
      </w:r>
    </w:p>
    <w:p w14:paraId="1962A1BB" w14:textId="17AABC8D" w:rsidR="00284ADA" w:rsidRDefault="00284ADA" w:rsidP="0097669D">
      <w:pPr>
        <w:spacing w:line="360" w:lineRule="auto"/>
        <w:rPr>
          <w:rFonts w:ascii="Arial" w:hAnsi="Arial" w:cs="Arial"/>
          <w:sz w:val="24"/>
          <w:szCs w:val="24"/>
        </w:rPr>
      </w:pPr>
      <w:r w:rsidRPr="00284ADA">
        <w:rPr>
          <w:rFonts w:ascii="Arial" w:hAnsi="Arial" w:cs="Arial"/>
          <w:sz w:val="24"/>
          <w:szCs w:val="24"/>
        </w:rPr>
        <w:t>McDonald's performance from 2020 to 2022 demonstrates a strong response to both internal strategic objectives and external market conditions. Internally, McDonald's continual menu innovation and digital transformation proved critical. For example, the introduction of new menu items addressed a developing consumer taste for healthier and more diverse food options, hence maintaining customer interest and a competitive advantage (McDonald's Corporation, 2022).</w:t>
      </w:r>
      <w:r w:rsidRPr="00284ADA">
        <w:t xml:space="preserve"> </w:t>
      </w:r>
      <w:r w:rsidRPr="00284ADA">
        <w:rPr>
          <w:rFonts w:ascii="Arial" w:hAnsi="Arial" w:cs="Arial"/>
          <w:sz w:val="24"/>
          <w:szCs w:val="24"/>
        </w:rPr>
        <w:t>The company's investment in digital transformation, notably with mobile ordering and delivery platforms, was vital in responding to the pandemic's transition to online services. This digital push not only helped compensate for the reduced physical store traffic during lockdowns, but it also aligned with the growing consumer preference for convenience, leading to McDonald's Corporation's consistent revenue rise from £17,436.4M in 2020 to £18,275.3M in 2022.</w:t>
      </w:r>
      <w:r w:rsidRPr="00284ADA">
        <w:t xml:space="preserve"> </w:t>
      </w:r>
      <w:r w:rsidRPr="00284ADA">
        <w:rPr>
          <w:rFonts w:ascii="Arial" w:hAnsi="Arial" w:cs="Arial"/>
          <w:sz w:val="24"/>
          <w:szCs w:val="24"/>
        </w:rPr>
        <w:t>Externally, McDonald's had to deal with the effects of COVID-19, which substantially changed worldwide dining habits. The company's nimble reaction, which leveraged its digital capabilities, enabled it to quickly adjust to these new consumer behaviours and regulatory contexts, reducing potential losses while ensuring operational continuity. McDonald's strategic adaptability is demonstrated by the company's ability to maintain a consistent gross profit margin of roughly 41% throughout the time, demonstrating efficient cost management in the face of altering external conditions.</w:t>
      </w:r>
    </w:p>
    <w:p w14:paraId="032E8705" w14:textId="3E487BDA" w:rsidR="00284ADA" w:rsidRPr="0097669D" w:rsidRDefault="00284ADA" w:rsidP="0097669D">
      <w:pPr>
        <w:spacing w:line="360" w:lineRule="auto"/>
        <w:rPr>
          <w:rFonts w:ascii="Arial Black" w:hAnsi="Arial Black" w:cs="Arial"/>
          <w:sz w:val="24"/>
          <w:szCs w:val="24"/>
        </w:rPr>
      </w:pPr>
      <w:r w:rsidRPr="0097669D">
        <w:rPr>
          <w:rFonts w:ascii="Arial Black" w:hAnsi="Arial Black" w:cs="Arial"/>
          <w:sz w:val="24"/>
          <w:szCs w:val="24"/>
        </w:rPr>
        <w:t>Recommendations for Future Improvement</w:t>
      </w:r>
    </w:p>
    <w:p w14:paraId="6A94545F" w14:textId="440E1C13" w:rsidR="00284ADA" w:rsidRPr="00284ADA" w:rsidRDefault="00284ADA" w:rsidP="0097669D">
      <w:pPr>
        <w:pStyle w:val="ListParagraph"/>
        <w:numPr>
          <w:ilvl w:val="0"/>
          <w:numId w:val="1"/>
        </w:numPr>
        <w:spacing w:line="360" w:lineRule="auto"/>
        <w:rPr>
          <w:rFonts w:ascii="Arial" w:hAnsi="Arial" w:cs="Arial"/>
          <w:sz w:val="24"/>
          <w:szCs w:val="24"/>
        </w:rPr>
      </w:pPr>
      <w:r w:rsidRPr="0097669D">
        <w:rPr>
          <w:rFonts w:ascii="Arial" w:hAnsi="Arial" w:cs="Arial"/>
          <w:b/>
          <w:bCs/>
          <w:sz w:val="24"/>
          <w:szCs w:val="24"/>
        </w:rPr>
        <w:t>Cost Reduction and Operational Efficiency:</w:t>
      </w:r>
      <w:r w:rsidRPr="00284ADA">
        <w:rPr>
          <w:rFonts w:ascii="Arial" w:hAnsi="Arial" w:cs="Arial"/>
          <w:sz w:val="24"/>
          <w:szCs w:val="24"/>
        </w:rPr>
        <w:t xml:space="preserve"> McDonald's ought to think about boosting its investments in automation technology for customer service and kitchen operations </w:t>
      </w:r>
      <w:r>
        <w:rPr>
          <w:rFonts w:ascii="Arial" w:hAnsi="Arial" w:cs="Arial"/>
          <w:sz w:val="24"/>
          <w:szCs w:val="24"/>
        </w:rPr>
        <w:t>to</w:t>
      </w:r>
      <w:r w:rsidRPr="00284ADA">
        <w:rPr>
          <w:rFonts w:ascii="Arial" w:hAnsi="Arial" w:cs="Arial"/>
          <w:sz w:val="24"/>
          <w:szCs w:val="24"/>
        </w:rPr>
        <w:t xml:space="preserve"> improve cost efficiency. This strategy supports Dyson's assertion that using technology to its full potential may greatly improve service speed, lower labour costs, and streamline operations (Dyson, 2010). Increasing local sourcing will also help McDonald's optimise its supply </w:t>
      </w:r>
      <w:r w:rsidRPr="00284ADA">
        <w:rPr>
          <w:rFonts w:ascii="Arial" w:hAnsi="Arial" w:cs="Arial"/>
          <w:sz w:val="24"/>
          <w:szCs w:val="24"/>
        </w:rPr>
        <w:lastRenderedPageBreak/>
        <w:t>chain by reducing transportation costs and reducing the risks associated with global supply chain linkages. The concept is backed by research from Frank Wood's Business Accounting (Wood, 2015).</w:t>
      </w:r>
    </w:p>
    <w:p w14:paraId="5FE7D2D0" w14:textId="56355C80" w:rsidR="00284ADA" w:rsidRPr="00284ADA" w:rsidRDefault="00284ADA" w:rsidP="0097669D">
      <w:pPr>
        <w:pStyle w:val="ListParagraph"/>
        <w:numPr>
          <w:ilvl w:val="0"/>
          <w:numId w:val="1"/>
        </w:numPr>
        <w:spacing w:line="360" w:lineRule="auto"/>
        <w:rPr>
          <w:rFonts w:ascii="Arial" w:hAnsi="Arial" w:cs="Arial"/>
          <w:sz w:val="24"/>
          <w:szCs w:val="24"/>
        </w:rPr>
      </w:pPr>
      <w:r w:rsidRPr="0097669D">
        <w:rPr>
          <w:rFonts w:ascii="Arial" w:hAnsi="Arial" w:cs="Arial"/>
          <w:b/>
          <w:bCs/>
          <w:sz w:val="24"/>
          <w:szCs w:val="24"/>
        </w:rPr>
        <w:t>Revenue Growth Strategies:</w:t>
      </w:r>
      <w:r w:rsidRPr="00284ADA">
        <w:rPr>
          <w:rFonts w:ascii="Arial" w:hAnsi="Arial" w:cs="Arial"/>
          <w:sz w:val="24"/>
          <w:szCs w:val="24"/>
        </w:rPr>
        <w:t xml:space="preserve"> Adding more dietary-specific and health-conscious options to the menu, such </w:t>
      </w:r>
      <w:r w:rsidRPr="00284ADA">
        <w:rPr>
          <w:rFonts w:ascii="Arial" w:hAnsi="Arial" w:cs="Arial"/>
          <w:sz w:val="24"/>
          <w:szCs w:val="24"/>
        </w:rPr>
        <w:t xml:space="preserve">as </w:t>
      </w:r>
      <w:r w:rsidRPr="00284ADA">
        <w:rPr>
          <w:rFonts w:ascii="Arial" w:hAnsi="Arial" w:cs="Arial"/>
          <w:sz w:val="24"/>
          <w:szCs w:val="24"/>
        </w:rPr>
        <w:t xml:space="preserve">vegan and gluten-free options, can help restaurants reach a </w:t>
      </w:r>
      <w:r w:rsidRPr="00284ADA">
        <w:rPr>
          <w:rFonts w:ascii="Arial" w:hAnsi="Arial" w:cs="Arial"/>
          <w:sz w:val="24"/>
          <w:szCs w:val="24"/>
        </w:rPr>
        <w:t>fast-growing</w:t>
      </w:r>
      <w:r w:rsidRPr="00284ADA">
        <w:rPr>
          <w:rFonts w:ascii="Arial" w:hAnsi="Arial" w:cs="Arial"/>
          <w:sz w:val="24"/>
          <w:szCs w:val="24"/>
        </w:rPr>
        <w:t xml:space="preserve"> consumer base. This action is in line with the analysis of Choi and Wang (2009), who stress the need of adjusting to changing stakeholder preferences </w:t>
      </w:r>
      <w:r w:rsidRPr="00284ADA">
        <w:rPr>
          <w:rFonts w:ascii="Arial" w:hAnsi="Arial" w:cs="Arial"/>
          <w:sz w:val="24"/>
          <w:szCs w:val="24"/>
        </w:rPr>
        <w:t>to</w:t>
      </w:r>
      <w:r w:rsidRPr="00284ADA">
        <w:rPr>
          <w:rFonts w:ascii="Arial" w:hAnsi="Arial" w:cs="Arial"/>
          <w:sz w:val="24"/>
          <w:szCs w:val="24"/>
        </w:rPr>
        <w:t xml:space="preserve"> maintain long-term financial performance. Using data analytics to create customised promotions and further improving digital engagement through personalised marketing is in line with current strategy methods to increase customer spending and retention.</w:t>
      </w:r>
    </w:p>
    <w:p w14:paraId="2ECB2ECF" w14:textId="77777777" w:rsidR="00577160" w:rsidRDefault="00284ADA" w:rsidP="0097669D">
      <w:pPr>
        <w:pStyle w:val="ListParagraph"/>
        <w:numPr>
          <w:ilvl w:val="0"/>
          <w:numId w:val="1"/>
        </w:numPr>
        <w:spacing w:line="360" w:lineRule="auto"/>
        <w:rPr>
          <w:rFonts w:ascii="Arial" w:hAnsi="Arial" w:cs="Arial"/>
          <w:sz w:val="24"/>
          <w:szCs w:val="24"/>
        </w:rPr>
      </w:pPr>
      <w:r w:rsidRPr="0097669D">
        <w:rPr>
          <w:rFonts w:ascii="Arial" w:hAnsi="Arial" w:cs="Arial"/>
          <w:b/>
          <w:bCs/>
          <w:sz w:val="24"/>
          <w:szCs w:val="24"/>
        </w:rPr>
        <w:t>Sustainability initiatives:</w:t>
      </w:r>
      <w:r w:rsidRPr="00284ADA">
        <w:rPr>
          <w:rFonts w:ascii="Arial" w:hAnsi="Arial" w:cs="Arial"/>
          <w:sz w:val="24"/>
          <w:szCs w:val="24"/>
        </w:rPr>
        <w:t xml:space="preserve"> Putting more extensive sustainability efforts into place might save a lot of money on operations and improve McDonald's reputation as a brand. Restaurant operations can cut energy expenses and waste while simultaneously satisfying consumer demand for environmentally conscious business practices by switching to renewable energy sources and investing in biodegradable packaging (Dyson, 2010). According to Choi and Wang (2009), these kinds of initiatives are crucial in the current market, where sustainability has a big impact on customer choices and can boost financial success</w:t>
      </w:r>
      <w:r w:rsidR="00577160">
        <w:rPr>
          <w:rFonts w:ascii="Arial" w:hAnsi="Arial" w:cs="Arial"/>
          <w:sz w:val="24"/>
          <w:szCs w:val="24"/>
        </w:rPr>
        <w:t>.</w:t>
      </w:r>
    </w:p>
    <w:p w14:paraId="71375456" w14:textId="0123380B" w:rsidR="00284ADA" w:rsidRDefault="00577160" w:rsidP="0097669D">
      <w:pPr>
        <w:spacing w:line="360" w:lineRule="auto"/>
        <w:rPr>
          <w:rFonts w:ascii="Arial" w:hAnsi="Arial" w:cs="Arial"/>
          <w:sz w:val="24"/>
          <w:szCs w:val="24"/>
        </w:rPr>
      </w:pPr>
      <w:r w:rsidRPr="00577160">
        <w:rPr>
          <w:rFonts w:ascii="Arial" w:hAnsi="Arial" w:cs="Arial"/>
          <w:sz w:val="24"/>
          <w:szCs w:val="24"/>
        </w:rPr>
        <w:t xml:space="preserve">These tactics suggest a course that combines market diversification and active digital engagement to combine </w:t>
      </w:r>
      <w:r>
        <w:rPr>
          <w:rFonts w:ascii="Arial" w:hAnsi="Arial" w:cs="Arial"/>
          <w:sz w:val="24"/>
          <w:szCs w:val="24"/>
        </w:rPr>
        <w:t>cost-effectiveness</w:t>
      </w:r>
      <w:r w:rsidRPr="00577160">
        <w:rPr>
          <w:rFonts w:ascii="Arial" w:hAnsi="Arial" w:cs="Arial"/>
          <w:sz w:val="24"/>
          <w:szCs w:val="24"/>
        </w:rPr>
        <w:t xml:space="preserve"> with revenue development. Additionally, they advocate for a stronger focus on sustainability, hoping to establish McDonald's as a frontrunner in the cutthroat fast-food sector in terms of both financial accountability and environmental care.</w:t>
      </w:r>
    </w:p>
    <w:p w14:paraId="3D0EA631" w14:textId="77777777" w:rsidR="00577160" w:rsidRDefault="00577160" w:rsidP="00577160">
      <w:pPr>
        <w:rPr>
          <w:rFonts w:ascii="Arial" w:hAnsi="Arial" w:cs="Arial"/>
          <w:sz w:val="24"/>
          <w:szCs w:val="24"/>
        </w:rPr>
      </w:pPr>
    </w:p>
    <w:p w14:paraId="0B458E76" w14:textId="77777777" w:rsidR="00577160" w:rsidRDefault="00577160" w:rsidP="00577160">
      <w:pPr>
        <w:rPr>
          <w:rFonts w:ascii="Arial" w:hAnsi="Arial" w:cs="Arial"/>
          <w:sz w:val="24"/>
          <w:szCs w:val="24"/>
        </w:rPr>
      </w:pPr>
    </w:p>
    <w:p w14:paraId="1DFC8FD0" w14:textId="77777777" w:rsidR="00577160" w:rsidRDefault="00577160" w:rsidP="00577160">
      <w:pPr>
        <w:rPr>
          <w:rFonts w:ascii="Arial" w:hAnsi="Arial" w:cs="Arial"/>
          <w:sz w:val="24"/>
          <w:szCs w:val="24"/>
        </w:rPr>
      </w:pPr>
    </w:p>
    <w:p w14:paraId="33B4A4BB" w14:textId="77777777" w:rsidR="00577160" w:rsidRDefault="00577160" w:rsidP="00577160">
      <w:pPr>
        <w:rPr>
          <w:rFonts w:ascii="Arial" w:hAnsi="Arial" w:cs="Arial"/>
          <w:sz w:val="24"/>
          <w:szCs w:val="24"/>
        </w:rPr>
      </w:pPr>
    </w:p>
    <w:p w14:paraId="5A0C5B5D" w14:textId="77777777" w:rsidR="00577160" w:rsidRDefault="00577160" w:rsidP="00577160">
      <w:pPr>
        <w:rPr>
          <w:rFonts w:ascii="Arial" w:hAnsi="Arial" w:cs="Arial"/>
          <w:sz w:val="24"/>
          <w:szCs w:val="24"/>
        </w:rPr>
      </w:pPr>
    </w:p>
    <w:p w14:paraId="24FD0AC8" w14:textId="77777777" w:rsidR="00577160" w:rsidRDefault="00577160" w:rsidP="00577160">
      <w:pPr>
        <w:rPr>
          <w:rFonts w:ascii="Arial" w:hAnsi="Arial" w:cs="Arial"/>
          <w:sz w:val="24"/>
          <w:szCs w:val="24"/>
        </w:rPr>
      </w:pPr>
    </w:p>
    <w:p w14:paraId="3031312A" w14:textId="77777777" w:rsidR="0097669D" w:rsidRDefault="0097669D" w:rsidP="00577160">
      <w:pPr>
        <w:rPr>
          <w:rFonts w:ascii="Arial" w:hAnsi="Arial" w:cs="Arial"/>
          <w:sz w:val="24"/>
          <w:szCs w:val="24"/>
        </w:rPr>
      </w:pPr>
    </w:p>
    <w:p w14:paraId="7A938799" w14:textId="414FDF2A" w:rsidR="00577160" w:rsidRPr="0097669D" w:rsidRDefault="00577160" w:rsidP="00577160">
      <w:pPr>
        <w:rPr>
          <w:rFonts w:ascii="Arial Black" w:hAnsi="Arial Black" w:cs="Arial"/>
          <w:sz w:val="24"/>
          <w:szCs w:val="24"/>
        </w:rPr>
      </w:pPr>
      <w:r w:rsidRPr="0097669D">
        <w:rPr>
          <w:rFonts w:ascii="Arial Black" w:hAnsi="Arial Black" w:cs="Arial"/>
          <w:sz w:val="24"/>
          <w:szCs w:val="24"/>
        </w:rPr>
        <w:lastRenderedPageBreak/>
        <w:t>Conclusion</w:t>
      </w:r>
    </w:p>
    <w:p w14:paraId="7BEE53E8" w14:textId="776ECB6F" w:rsidR="00577160" w:rsidRDefault="00577160" w:rsidP="0097669D">
      <w:pPr>
        <w:spacing w:line="360" w:lineRule="auto"/>
        <w:rPr>
          <w:rFonts w:ascii="Arial" w:hAnsi="Arial" w:cs="Arial"/>
          <w:sz w:val="24"/>
          <w:szCs w:val="24"/>
        </w:rPr>
      </w:pPr>
      <w:r w:rsidRPr="00577160">
        <w:rPr>
          <w:rFonts w:ascii="Arial" w:hAnsi="Arial" w:cs="Arial"/>
          <w:sz w:val="24"/>
          <w:szCs w:val="24"/>
        </w:rPr>
        <w:t xml:space="preserve">Despite external obstacles, McDonald's financial </w:t>
      </w:r>
      <w:r>
        <w:rPr>
          <w:rFonts w:ascii="Arial" w:hAnsi="Arial" w:cs="Arial"/>
          <w:sz w:val="24"/>
          <w:szCs w:val="24"/>
        </w:rPr>
        <w:t>analysis</w:t>
      </w:r>
      <w:r w:rsidRPr="00577160">
        <w:rPr>
          <w:rFonts w:ascii="Arial" w:hAnsi="Arial" w:cs="Arial"/>
          <w:sz w:val="24"/>
          <w:szCs w:val="24"/>
        </w:rPr>
        <w:t xml:space="preserve"> from 2020 to 2022 shows a healthy and resilient financial position. By 2022, the corporation had stabilised its gross profit margin and shown signs of improvement in its net profit margins. Although there is always room for improvement in liquidity, the solvency ratio indicates a declining reliance on debt. These revelations highlight how well McDonald's has responded strategically to changing market dynamics and operational difficulties. With a strong foundation for strategic planning thanks to this comprehensive financial analysis, McDonald's will be able to optimise operations and put focused initiatives into place for long-term growth and profitability.</w:t>
      </w:r>
    </w:p>
    <w:p w14:paraId="47BB407A" w14:textId="77777777" w:rsidR="00577160" w:rsidRDefault="00577160" w:rsidP="0097669D">
      <w:pPr>
        <w:spacing w:line="360" w:lineRule="auto"/>
        <w:rPr>
          <w:rFonts w:ascii="Arial" w:hAnsi="Arial" w:cs="Arial"/>
          <w:sz w:val="24"/>
          <w:szCs w:val="24"/>
        </w:rPr>
      </w:pPr>
    </w:p>
    <w:p w14:paraId="66B059AC" w14:textId="77777777" w:rsidR="00577160" w:rsidRDefault="00577160" w:rsidP="00577160">
      <w:pPr>
        <w:rPr>
          <w:rFonts w:ascii="Arial" w:hAnsi="Arial" w:cs="Arial"/>
          <w:sz w:val="24"/>
          <w:szCs w:val="24"/>
        </w:rPr>
      </w:pPr>
    </w:p>
    <w:p w14:paraId="72A98229" w14:textId="77777777" w:rsidR="00577160" w:rsidRDefault="00577160" w:rsidP="00577160">
      <w:pPr>
        <w:rPr>
          <w:rFonts w:ascii="Arial" w:hAnsi="Arial" w:cs="Arial"/>
          <w:sz w:val="24"/>
          <w:szCs w:val="24"/>
        </w:rPr>
      </w:pPr>
    </w:p>
    <w:p w14:paraId="6E6C83AD" w14:textId="77777777" w:rsidR="00577160" w:rsidRDefault="00577160" w:rsidP="00577160">
      <w:pPr>
        <w:rPr>
          <w:rFonts w:ascii="Arial" w:hAnsi="Arial" w:cs="Arial"/>
          <w:sz w:val="24"/>
          <w:szCs w:val="24"/>
        </w:rPr>
      </w:pPr>
    </w:p>
    <w:p w14:paraId="4BD1FDE7" w14:textId="77777777" w:rsidR="00577160" w:rsidRDefault="00577160" w:rsidP="00577160">
      <w:pPr>
        <w:rPr>
          <w:rFonts w:ascii="Arial" w:hAnsi="Arial" w:cs="Arial"/>
          <w:sz w:val="24"/>
          <w:szCs w:val="24"/>
        </w:rPr>
      </w:pPr>
    </w:p>
    <w:p w14:paraId="57E6393A" w14:textId="77777777" w:rsidR="00577160" w:rsidRDefault="00577160" w:rsidP="00577160">
      <w:pPr>
        <w:rPr>
          <w:rFonts w:ascii="Arial" w:hAnsi="Arial" w:cs="Arial"/>
          <w:sz w:val="24"/>
          <w:szCs w:val="24"/>
        </w:rPr>
      </w:pPr>
    </w:p>
    <w:p w14:paraId="2A339E57" w14:textId="77777777" w:rsidR="00577160" w:rsidRDefault="00577160" w:rsidP="00577160">
      <w:pPr>
        <w:rPr>
          <w:rFonts w:ascii="Arial" w:hAnsi="Arial" w:cs="Arial"/>
          <w:sz w:val="24"/>
          <w:szCs w:val="24"/>
        </w:rPr>
      </w:pPr>
    </w:p>
    <w:p w14:paraId="691166DB" w14:textId="77777777" w:rsidR="00577160" w:rsidRDefault="00577160" w:rsidP="00577160">
      <w:pPr>
        <w:rPr>
          <w:rFonts w:ascii="Arial" w:hAnsi="Arial" w:cs="Arial"/>
          <w:sz w:val="24"/>
          <w:szCs w:val="24"/>
        </w:rPr>
      </w:pPr>
    </w:p>
    <w:p w14:paraId="3456E0DB" w14:textId="77777777" w:rsidR="00577160" w:rsidRDefault="00577160" w:rsidP="00577160">
      <w:pPr>
        <w:rPr>
          <w:rFonts w:ascii="Arial" w:hAnsi="Arial" w:cs="Arial"/>
          <w:sz w:val="24"/>
          <w:szCs w:val="24"/>
        </w:rPr>
      </w:pPr>
    </w:p>
    <w:p w14:paraId="1B9191EA" w14:textId="77777777" w:rsidR="00577160" w:rsidRDefault="00577160" w:rsidP="00577160">
      <w:pPr>
        <w:rPr>
          <w:rFonts w:ascii="Arial" w:hAnsi="Arial" w:cs="Arial"/>
          <w:sz w:val="24"/>
          <w:szCs w:val="24"/>
        </w:rPr>
      </w:pPr>
    </w:p>
    <w:p w14:paraId="5F598EAC" w14:textId="77777777" w:rsidR="00577160" w:rsidRDefault="00577160" w:rsidP="00577160">
      <w:pPr>
        <w:rPr>
          <w:rFonts w:ascii="Arial" w:hAnsi="Arial" w:cs="Arial"/>
          <w:sz w:val="24"/>
          <w:szCs w:val="24"/>
        </w:rPr>
      </w:pPr>
    </w:p>
    <w:p w14:paraId="259F8AEF" w14:textId="77777777" w:rsidR="00577160" w:rsidRDefault="00577160" w:rsidP="00577160">
      <w:pPr>
        <w:rPr>
          <w:rFonts w:ascii="Arial" w:hAnsi="Arial" w:cs="Arial"/>
          <w:sz w:val="24"/>
          <w:szCs w:val="24"/>
        </w:rPr>
      </w:pPr>
    </w:p>
    <w:p w14:paraId="78C34626" w14:textId="77777777" w:rsidR="00577160" w:rsidRDefault="00577160" w:rsidP="00577160">
      <w:pPr>
        <w:rPr>
          <w:rFonts w:ascii="Arial" w:hAnsi="Arial" w:cs="Arial"/>
          <w:sz w:val="24"/>
          <w:szCs w:val="24"/>
        </w:rPr>
      </w:pPr>
    </w:p>
    <w:p w14:paraId="6DC7F886" w14:textId="77777777" w:rsidR="00577160" w:rsidRDefault="00577160" w:rsidP="00577160">
      <w:pPr>
        <w:rPr>
          <w:rFonts w:ascii="Arial" w:hAnsi="Arial" w:cs="Arial"/>
          <w:sz w:val="24"/>
          <w:szCs w:val="24"/>
        </w:rPr>
      </w:pPr>
    </w:p>
    <w:p w14:paraId="36D81ECE" w14:textId="77777777" w:rsidR="00577160" w:rsidRDefault="00577160" w:rsidP="00577160">
      <w:pPr>
        <w:rPr>
          <w:rFonts w:ascii="Arial" w:hAnsi="Arial" w:cs="Arial"/>
          <w:sz w:val="24"/>
          <w:szCs w:val="24"/>
        </w:rPr>
      </w:pPr>
    </w:p>
    <w:p w14:paraId="7445A603" w14:textId="77777777" w:rsidR="00577160" w:rsidRDefault="00577160" w:rsidP="00577160">
      <w:pPr>
        <w:rPr>
          <w:rFonts w:ascii="Arial" w:hAnsi="Arial" w:cs="Arial"/>
          <w:sz w:val="24"/>
          <w:szCs w:val="24"/>
        </w:rPr>
      </w:pPr>
    </w:p>
    <w:p w14:paraId="7D33589C" w14:textId="77777777" w:rsidR="00577160" w:rsidRDefault="00577160" w:rsidP="00577160">
      <w:pPr>
        <w:rPr>
          <w:rFonts w:ascii="Arial" w:hAnsi="Arial" w:cs="Arial"/>
          <w:sz w:val="24"/>
          <w:szCs w:val="24"/>
        </w:rPr>
      </w:pPr>
    </w:p>
    <w:p w14:paraId="399D0A54" w14:textId="77777777" w:rsidR="00577160" w:rsidRDefault="00577160" w:rsidP="00577160">
      <w:pPr>
        <w:rPr>
          <w:rFonts w:ascii="Arial" w:hAnsi="Arial" w:cs="Arial"/>
          <w:sz w:val="24"/>
          <w:szCs w:val="24"/>
        </w:rPr>
      </w:pPr>
    </w:p>
    <w:p w14:paraId="5C312408" w14:textId="77777777" w:rsidR="00577160" w:rsidRDefault="00577160" w:rsidP="00577160">
      <w:pPr>
        <w:rPr>
          <w:rFonts w:ascii="Arial" w:hAnsi="Arial" w:cs="Arial"/>
          <w:sz w:val="24"/>
          <w:szCs w:val="24"/>
        </w:rPr>
      </w:pPr>
    </w:p>
    <w:p w14:paraId="16E4C319" w14:textId="77777777" w:rsidR="0097669D" w:rsidRDefault="0097669D" w:rsidP="00577160">
      <w:pPr>
        <w:rPr>
          <w:rFonts w:ascii="Arial" w:hAnsi="Arial" w:cs="Arial"/>
          <w:sz w:val="24"/>
          <w:szCs w:val="24"/>
        </w:rPr>
      </w:pPr>
    </w:p>
    <w:p w14:paraId="022760CE" w14:textId="5EC3C18A" w:rsidR="00577160" w:rsidRPr="0097669D" w:rsidRDefault="00577160" w:rsidP="00577160">
      <w:pPr>
        <w:rPr>
          <w:rFonts w:ascii="Arial Black" w:hAnsi="Arial Black" w:cs="Arial"/>
          <w:sz w:val="24"/>
          <w:szCs w:val="24"/>
        </w:rPr>
      </w:pPr>
      <w:r w:rsidRPr="0097669D">
        <w:rPr>
          <w:rFonts w:ascii="Arial Black" w:hAnsi="Arial Black" w:cs="Arial"/>
          <w:sz w:val="24"/>
          <w:szCs w:val="24"/>
        </w:rPr>
        <w:lastRenderedPageBreak/>
        <w:t xml:space="preserve">References </w:t>
      </w:r>
    </w:p>
    <w:p w14:paraId="64FAF423" w14:textId="2402798F" w:rsidR="00577160" w:rsidRDefault="00577160" w:rsidP="00577160">
      <w:pPr>
        <w:rPr>
          <w:rFonts w:ascii="Arial" w:hAnsi="Arial" w:cs="Arial"/>
          <w:sz w:val="24"/>
          <w:szCs w:val="24"/>
        </w:rPr>
      </w:pPr>
      <w:r w:rsidRPr="00577160">
        <w:rPr>
          <w:rFonts w:ascii="Arial" w:hAnsi="Arial" w:cs="Arial"/>
          <w:sz w:val="24"/>
          <w:szCs w:val="24"/>
        </w:rPr>
        <w:t xml:space="preserve">McDonald's Corporation. (2022). 2021 Annual Report. Available at: </w:t>
      </w:r>
      <w:hyperlink r:id="rId9" w:history="1">
        <w:r w:rsidRPr="00630819">
          <w:rPr>
            <w:rStyle w:val="Hyperlink"/>
            <w:rFonts w:ascii="Arial" w:hAnsi="Arial" w:cs="Arial"/>
            <w:sz w:val="24"/>
            <w:szCs w:val="24"/>
          </w:rPr>
          <w:t>https://www.mcdonalds.com/content/dam/gwscorp/investor-relations-content/annual-reports/2021-Annual-Report.pdf</w:t>
        </w:r>
      </w:hyperlink>
    </w:p>
    <w:p w14:paraId="1218206F" w14:textId="1C366FB5" w:rsidR="00577160" w:rsidRDefault="00577160" w:rsidP="00577160">
      <w:pPr>
        <w:rPr>
          <w:rFonts w:ascii="Arial" w:hAnsi="Arial" w:cs="Arial"/>
          <w:sz w:val="24"/>
          <w:szCs w:val="24"/>
        </w:rPr>
      </w:pPr>
      <w:r w:rsidRPr="00577160">
        <w:rPr>
          <w:rFonts w:ascii="Arial" w:hAnsi="Arial" w:cs="Arial"/>
          <w:sz w:val="24"/>
          <w:szCs w:val="24"/>
        </w:rPr>
        <w:t xml:space="preserve">Reuters. (2022). McDonald's Corporation Reports First Quarter 2022 Results. Available at: </w:t>
      </w:r>
      <w:hyperlink r:id="rId10" w:history="1">
        <w:r w:rsidRPr="00630819">
          <w:rPr>
            <w:rStyle w:val="Hyperlink"/>
            <w:rFonts w:ascii="Arial" w:hAnsi="Arial" w:cs="Arial"/>
            <w:sz w:val="24"/>
            <w:szCs w:val="24"/>
          </w:rPr>
          <w:t>https://www.reuters.com/article/mcdonalds-results-idUSASC017503</w:t>
        </w:r>
      </w:hyperlink>
    </w:p>
    <w:p w14:paraId="0515685F" w14:textId="07CBC5C9" w:rsidR="00577160" w:rsidRDefault="00577160" w:rsidP="00577160">
      <w:pPr>
        <w:rPr>
          <w:rFonts w:ascii="Arial" w:hAnsi="Arial" w:cs="Arial"/>
          <w:sz w:val="24"/>
          <w:szCs w:val="24"/>
        </w:rPr>
      </w:pPr>
      <w:r w:rsidRPr="00577160">
        <w:rPr>
          <w:rFonts w:ascii="Arial" w:hAnsi="Arial" w:cs="Arial"/>
          <w:sz w:val="24"/>
          <w:szCs w:val="24"/>
        </w:rPr>
        <w:t xml:space="preserve">McDonald's Corporation. (2022). 2021 Form 10-K. Available at: </w:t>
      </w:r>
      <w:hyperlink r:id="rId11" w:history="1">
        <w:r w:rsidRPr="00630819">
          <w:rPr>
            <w:rStyle w:val="Hyperlink"/>
            <w:rFonts w:ascii="Arial" w:hAnsi="Arial" w:cs="Arial"/>
            <w:sz w:val="24"/>
            <w:szCs w:val="24"/>
          </w:rPr>
          <w:t>https://www.sec.gov/ix?doc=/Archives/edgar/data/63908/000006390822000104/mcd-20220101.htm</w:t>
        </w:r>
      </w:hyperlink>
    </w:p>
    <w:p w14:paraId="7782BABC" w14:textId="73D2A684" w:rsidR="00577160" w:rsidRDefault="00577160" w:rsidP="00577160">
      <w:pPr>
        <w:rPr>
          <w:rFonts w:ascii="Arial" w:hAnsi="Arial" w:cs="Arial"/>
          <w:sz w:val="24"/>
          <w:szCs w:val="24"/>
        </w:rPr>
      </w:pPr>
      <w:r w:rsidRPr="00577160">
        <w:rPr>
          <w:rFonts w:ascii="Arial" w:hAnsi="Arial" w:cs="Arial"/>
          <w:sz w:val="24"/>
          <w:szCs w:val="24"/>
        </w:rPr>
        <w:t xml:space="preserve">Statista. (2022). McDonald's - Statistics &amp; Facts. Available at: </w:t>
      </w:r>
      <w:hyperlink r:id="rId12" w:history="1">
        <w:r w:rsidRPr="00630819">
          <w:rPr>
            <w:rStyle w:val="Hyperlink"/>
            <w:rFonts w:ascii="Arial" w:hAnsi="Arial" w:cs="Arial"/>
            <w:sz w:val="24"/>
            <w:szCs w:val="24"/>
          </w:rPr>
          <w:t>https://www.statista.com/topics/1002/mcdonalds/</w:t>
        </w:r>
      </w:hyperlink>
    </w:p>
    <w:p w14:paraId="2AE02FE1" w14:textId="0E061C85" w:rsidR="00577160" w:rsidRDefault="00577160" w:rsidP="00577160">
      <w:pPr>
        <w:rPr>
          <w:rFonts w:ascii="Arial" w:hAnsi="Arial" w:cs="Arial"/>
          <w:sz w:val="24"/>
          <w:szCs w:val="24"/>
        </w:rPr>
      </w:pPr>
      <w:r w:rsidRPr="00577160">
        <w:rPr>
          <w:rFonts w:ascii="Arial" w:hAnsi="Arial" w:cs="Arial"/>
          <w:sz w:val="24"/>
          <w:szCs w:val="24"/>
        </w:rPr>
        <w:t xml:space="preserve">CNBC. (2022). McDonald's earnings top estimates as new chicken sandwich fuels sales. Available at: </w:t>
      </w:r>
      <w:hyperlink r:id="rId13" w:history="1">
        <w:r w:rsidRPr="00630819">
          <w:rPr>
            <w:rStyle w:val="Hyperlink"/>
            <w:rFonts w:ascii="Arial" w:hAnsi="Arial" w:cs="Arial"/>
            <w:sz w:val="24"/>
            <w:szCs w:val="24"/>
          </w:rPr>
          <w:t>https://www.cnbc.com/2022/04/26/mcdonalds-mcd-q1-2022-earnings.html</w:t>
        </w:r>
      </w:hyperlink>
    </w:p>
    <w:p w14:paraId="274C80EA" w14:textId="1A1D0533" w:rsidR="00577160" w:rsidRDefault="00577160" w:rsidP="00577160">
      <w:pPr>
        <w:rPr>
          <w:rFonts w:ascii="Arial" w:hAnsi="Arial" w:cs="Arial"/>
          <w:sz w:val="24"/>
          <w:szCs w:val="24"/>
        </w:rPr>
      </w:pPr>
      <w:r w:rsidRPr="00577160">
        <w:rPr>
          <w:rFonts w:ascii="Arial" w:hAnsi="Arial" w:cs="Arial"/>
          <w:sz w:val="24"/>
          <w:szCs w:val="24"/>
        </w:rPr>
        <w:t xml:space="preserve">YCharts. (n.d.). McDonald's Revenue (TTM). Available at: </w:t>
      </w:r>
      <w:hyperlink r:id="rId14" w:history="1">
        <w:r w:rsidRPr="00630819">
          <w:rPr>
            <w:rStyle w:val="Hyperlink"/>
            <w:rFonts w:ascii="Arial" w:hAnsi="Arial" w:cs="Arial"/>
            <w:sz w:val="24"/>
            <w:szCs w:val="24"/>
          </w:rPr>
          <w:t>https://ycharts.com/companies/MCD/revenue_ttm</w:t>
        </w:r>
      </w:hyperlink>
    </w:p>
    <w:p w14:paraId="24A0DC0B" w14:textId="6AEA0014" w:rsidR="00577160" w:rsidRDefault="00577160" w:rsidP="00577160">
      <w:pPr>
        <w:rPr>
          <w:rFonts w:ascii="Arial" w:hAnsi="Arial" w:cs="Arial"/>
          <w:sz w:val="24"/>
          <w:szCs w:val="24"/>
        </w:rPr>
      </w:pPr>
      <w:r w:rsidRPr="00577160">
        <w:rPr>
          <w:rFonts w:ascii="Arial" w:hAnsi="Arial" w:cs="Arial"/>
          <w:sz w:val="24"/>
          <w:szCs w:val="24"/>
        </w:rPr>
        <w:t xml:space="preserve">YCharts. (n.d.). McDonald's Net Income (TTM). Available at: </w:t>
      </w:r>
      <w:hyperlink r:id="rId15" w:history="1">
        <w:r w:rsidRPr="00630819">
          <w:rPr>
            <w:rStyle w:val="Hyperlink"/>
            <w:rFonts w:ascii="Arial" w:hAnsi="Arial" w:cs="Arial"/>
            <w:sz w:val="24"/>
            <w:szCs w:val="24"/>
          </w:rPr>
          <w:t>https://ycharts.com/companies/MCD/net_income_ttm</w:t>
        </w:r>
      </w:hyperlink>
    </w:p>
    <w:p w14:paraId="6AE9FCE4" w14:textId="1BE6A8AC" w:rsidR="00577160" w:rsidRDefault="00577160" w:rsidP="00577160">
      <w:pPr>
        <w:rPr>
          <w:rFonts w:ascii="Arial" w:hAnsi="Arial" w:cs="Arial"/>
          <w:sz w:val="24"/>
          <w:szCs w:val="24"/>
        </w:rPr>
      </w:pPr>
      <w:r w:rsidRPr="00577160">
        <w:rPr>
          <w:rFonts w:ascii="Arial" w:hAnsi="Arial" w:cs="Arial"/>
          <w:sz w:val="24"/>
          <w:szCs w:val="24"/>
        </w:rPr>
        <w:t xml:space="preserve">YCharts. (n.d.). McDonald's Return on Equity (TTM). Available at: </w:t>
      </w:r>
      <w:hyperlink r:id="rId16" w:history="1">
        <w:r w:rsidRPr="00630819">
          <w:rPr>
            <w:rStyle w:val="Hyperlink"/>
            <w:rFonts w:ascii="Arial" w:hAnsi="Arial" w:cs="Arial"/>
            <w:sz w:val="24"/>
            <w:szCs w:val="24"/>
          </w:rPr>
          <w:t>https://ycharts.com/companies/MCD/roe_ttm</w:t>
        </w:r>
      </w:hyperlink>
    </w:p>
    <w:p w14:paraId="07196616" w14:textId="51F02601" w:rsidR="00577160" w:rsidRDefault="00577160" w:rsidP="00577160">
      <w:pPr>
        <w:rPr>
          <w:rFonts w:ascii="Arial" w:hAnsi="Arial" w:cs="Arial"/>
          <w:sz w:val="24"/>
          <w:szCs w:val="24"/>
        </w:rPr>
      </w:pPr>
      <w:r w:rsidRPr="00577160">
        <w:rPr>
          <w:rFonts w:ascii="Arial" w:hAnsi="Arial" w:cs="Arial"/>
          <w:sz w:val="24"/>
          <w:szCs w:val="24"/>
        </w:rPr>
        <w:t xml:space="preserve">YCharts. (n.d.). McDonald's Total Assets (Quarterly). Available at: </w:t>
      </w:r>
      <w:hyperlink r:id="rId17" w:history="1">
        <w:r w:rsidRPr="00630819">
          <w:rPr>
            <w:rStyle w:val="Hyperlink"/>
            <w:rFonts w:ascii="Arial" w:hAnsi="Arial" w:cs="Arial"/>
            <w:sz w:val="24"/>
            <w:szCs w:val="24"/>
          </w:rPr>
          <w:t>https://ycharts.com/companies/MCD/total_assets_quarterl</w:t>
        </w:r>
        <w:r w:rsidRPr="00630819">
          <w:rPr>
            <w:rStyle w:val="Hyperlink"/>
            <w:rFonts w:ascii="Arial" w:hAnsi="Arial" w:cs="Arial"/>
            <w:sz w:val="24"/>
            <w:szCs w:val="24"/>
          </w:rPr>
          <w:t>y</w:t>
        </w:r>
      </w:hyperlink>
    </w:p>
    <w:p w14:paraId="5476BF4C" w14:textId="3CDEC7E8" w:rsidR="00577160" w:rsidRDefault="00577160" w:rsidP="00577160">
      <w:pPr>
        <w:rPr>
          <w:rFonts w:ascii="Arial" w:hAnsi="Arial" w:cs="Arial"/>
          <w:sz w:val="24"/>
          <w:szCs w:val="24"/>
        </w:rPr>
      </w:pPr>
      <w:r w:rsidRPr="00577160">
        <w:rPr>
          <w:rFonts w:ascii="Arial" w:hAnsi="Arial" w:cs="Arial"/>
          <w:sz w:val="24"/>
          <w:szCs w:val="24"/>
        </w:rPr>
        <w:t xml:space="preserve">YCharts. (n.d.). McDonald's Total Liabilities (Quarterly). Available at: </w:t>
      </w:r>
      <w:hyperlink r:id="rId18" w:history="1">
        <w:r w:rsidRPr="00630819">
          <w:rPr>
            <w:rStyle w:val="Hyperlink"/>
            <w:rFonts w:ascii="Arial" w:hAnsi="Arial" w:cs="Arial"/>
            <w:sz w:val="24"/>
            <w:szCs w:val="24"/>
          </w:rPr>
          <w:t>https://ycharts.com/companies/MCD/total_liabilities_quarterly</w:t>
        </w:r>
      </w:hyperlink>
    </w:p>
    <w:p w14:paraId="638D58FE" w14:textId="390E1CDF" w:rsidR="00577160" w:rsidRDefault="00577160" w:rsidP="00577160">
      <w:pPr>
        <w:rPr>
          <w:rFonts w:ascii="Arial" w:hAnsi="Arial" w:cs="Arial"/>
          <w:sz w:val="24"/>
          <w:szCs w:val="24"/>
        </w:rPr>
      </w:pPr>
      <w:r w:rsidRPr="00577160">
        <w:rPr>
          <w:rFonts w:ascii="Arial" w:hAnsi="Arial" w:cs="Arial"/>
          <w:sz w:val="24"/>
          <w:szCs w:val="24"/>
        </w:rPr>
        <w:t xml:space="preserve">Investopedia. (2022). Capital Expenditure (CAPEX). Available at: </w:t>
      </w:r>
      <w:hyperlink r:id="rId19" w:history="1">
        <w:r w:rsidRPr="00630819">
          <w:rPr>
            <w:rStyle w:val="Hyperlink"/>
            <w:rFonts w:ascii="Arial" w:hAnsi="Arial" w:cs="Arial"/>
            <w:sz w:val="24"/>
            <w:szCs w:val="24"/>
          </w:rPr>
          <w:t>https://www.investopedia.com/terms/c/capitalexpenditure.asp</w:t>
        </w:r>
      </w:hyperlink>
    </w:p>
    <w:p w14:paraId="7820FFDF" w14:textId="0B0CDA5C" w:rsidR="00577160" w:rsidRDefault="00577160" w:rsidP="00577160">
      <w:pPr>
        <w:rPr>
          <w:rFonts w:ascii="Arial" w:hAnsi="Arial" w:cs="Arial"/>
          <w:sz w:val="24"/>
          <w:szCs w:val="24"/>
        </w:rPr>
      </w:pPr>
      <w:r w:rsidRPr="00577160">
        <w:rPr>
          <w:rFonts w:ascii="Arial" w:hAnsi="Arial" w:cs="Arial"/>
          <w:sz w:val="24"/>
          <w:szCs w:val="24"/>
        </w:rPr>
        <w:t xml:space="preserve">Chron. (n.d.). Advantages and Disadvantages of Cost-Volume-Profit Analysis. Available at: </w:t>
      </w:r>
      <w:hyperlink r:id="rId20" w:history="1">
        <w:r w:rsidRPr="00630819">
          <w:rPr>
            <w:rStyle w:val="Hyperlink"/>
            <w:rFonts w:ascii="Arial" w:hAnsi="Arial" w:cs="Arial"/>
            <w:sz w:val="24"/>
            <w:szCs w:val="24"/>
          </w:rPr>
          <w:t>https://smallbusiness.chron.com/advantages-disadvantages-costvolumeprofit-analysis-74360.html</w:t>
        </w:r>
      </w:hyperlink>
    </w:p>
    <w:p w14:paraId="0CA916AA" w14:textId="7AD0745D" w:rsidR="00577160" w:rsidRDefault="00577160" w:rsidP="00577160">
      <w:pPr>
        <w:rPr>
          <w:rFonts w:ascii="Arial" w:hAnsi="Arial" w:cs="Arial"/>
          <w:sz w:val="24"/>
          <w:szCs w:val="24"/>
        </w:rPr>
      </w:pPr>
      <w:proofErr w:type="spellStart"/>
      <w:r w:rsidRPr="00577160">
        <w:rPr>
          <w:rFonts w:ascii="Arial" w:hAnsi="Arial" w:cs="Arial"/>
          <w:sz w:val="24"/>
          <w:szCs w:val="24"/>
        </w:rPr>
        <w:t>Cleverism</w:t>
      </w:r>
      <w:proofErr w:type="spellEnd"/>
      <w:r w:rsidRPr="00577160">
        <w:rPr>
          <w:rFonts w:ascii="Arial" w:hAnsi="Arial" w:cs="Arial"/>
          <w:sz w:val="24"/>
          <w:szCs w:val="24"/>
        </w:rPr>
        <w:t xml:space="preserve">. (2021). McDonald's SWOT Analysis: SWOT Matrix, Competitor Analysis, PESTLE Analysis &amp; BCG Matrix. Available at: </w:t>
      </w:r>
      <w:hyperlink r:id="rId21" w:history="1">
        <w:r w:rsidRPr="00630819">
          <w:rPr>
            <w:rStyle w:val="Hyperlink"/>
            <w:rFonts w:ascii="Arial" w:hAnsi="Arial" w:cs="Arial"/>
            <w:sz w:val="24"/>
            <w:szCs w:val="24"/>
          </w:rPr>
          <w:t>https://www.cleverism.com/mcdonalds-swot-analysis</w:t>
        </w:r>
      </w:hyperlink>
    </w:p>
    <w:p w14:paraId="549265AD" w14:textId="77777777" w:rsidR="00577160" w:rsidRPr="00577160" w:rsidRDefault="00577160" w:rsidP="00577160">
      <w:pPr>
        <w:rPr>
          <w:rFonts w:ascii="Arial" w:hAnsi="Arial" w:cs="Arial"/>
          <w:sz w:val="24"/>
          <w:szCs w:val="24"/>
        </w:rPr>
      </w:pPr>
      <w:r w:rsidRPr="00577160">
        <w:rPr>
          <w:rFonts w:ascii="Arial" w:hAnsi="Arial" w:cs="Arial"/>
          <w:sz w:val="24"/>
          <w:szCs w:val="24"/>
        </w:rPr>
        <w:t>Choi, J., &amp; Wang, H. (2009). Stakeholder Relations and the Persistence of Corporate Financial Performance. Strategic Management Journal, 30(8), 895-907.</w:t>
      </w:r>
    </w:p>
    <w:p w14:paraId="0F537C69" w14:textId="77777777" w:rsidR="00577160" w:rsidRDefault="00577160" w:rsidP="00577160">
      <w:pPr>
        <w:rPr>
          <w:rFonts w:ascii="Arial" w:hAnsi="Arial" w:cs="Arial"/>
          <w:sz w:val="24"/>
          <w:szCs w:val="24"/>
        </w:rPr>
      </w:pPr>
      <w:r w:rsidRPr="00577160">
        <w:rPr>
          <w:rFonts w:ascii="Arial" w:hAnsi="Arial" w:cs="Arial"/>
          <w:sz w:val="24"/>
          <w:szCs w:val="24"/>
        </w:rPr>
        <w:t>Dyson, J. R. (2010). Accounting for Non-Accounting Students (8th Ed). Pearson.</w:t>
      </w:r>
    </w:p>
    <w:p w14:paraId="562FDF43" w14:textId="2DDBBDB6" w:rsidR="0097669D" w:rsidRDefault="0097669D" w:rsidP="00577160">
      <w:pPr>
        <w:rPr>
          <w:rFonts w:ascii="Arial" w:hAnsi="Arial" w:cs="Arial"/>
          <w:sz w:val="24"/>
          <w:szCs w:val="24"/>
        </w:rPr>
      </w:pPr>
      <w:proofErr w:type="spellStart"/>
      <w:r w:rsidRPr="0097669D">
        <w:rPr>
          <w:rFonts w:ascii="Arial" w:hAnsi="Arial" w:cs="Arial"/>
          <w:sz w:val="24"/>
          <w:szCs w:val="24"/>
        </w:rPr>
        <w:t>Fundera</w:t>
      </w:r>
      <w:proofErr w:type="spellEnd"/>
      <w:r w:rsidRPr="0097669D">
        <w:rPr>
          <w:rFonts w:ascii="Arial" w:hAnsi="Arial" w:cs="Arial"/>
          <w:sz w:val="24"/>
          <w:szCs w:val="24"/>
        </w:rPr>
        <w:t xml:space="preserve">. (n.d.). What is a Pro Forma Financial Statement? Available at: </w:t>
      </w:r>
      <w:hyperlink r:id="rId22" w:history="1">
        <w:r w:rsidRPr="00630819">
          <w:rPr>
            <w:rStyle w:val="Hyperlink"/>
            <w:rFonts w:ascii="Arial" w:hAnsi="Arial" w:cs="Arial"/>
            <w:sz w:val="24"/>
            <w:szCs w:val="24"/>
          </w:rPr>
          <w:t>https://www.fundera.com/blog/pro-forma-financial-statement</w:t>
        </w:r>
      </w:hyperlink>
    </w:p>
    <w:p w14:paraId="10D88477" w14:textId="6D4A4B19" w:rsidR="00577160" w:rsidRPr="00577160" w:rsidRDefault="00577160" w:rsidP="00577160">
      <w:pPr>
        <w:rPr>
          <w:rFonts w:ascii="Arial" w:hAnsi="Arial" w:cs="Arial"/>
          <w:sz w:val="24"/>
          <w:szCs w:val="24"/>
        </w:rPr>
      </w:pPr>
      <w:r w:rsidRPr="00577160">
        <w:rPr>
          <w:rFonts w:ascii="Arial" w:hAnsi="Arial" w:cs="Arial"/>
          <w:sz w:val="24"/>
          <w:szCs w:val="24"/>
        </w:rPr>
        <w:lastRenderedPageBreak/>
        <w:t>Kothari, S. P. (2001). Capital Markets Research in Accounting. Journal of Accounting and Economics, 31(1-3), 105-253.</w:t>
      </w:r>
    </w:p>
    <w:p w14:paraId="5D5E852C" w14:textId="77777777" w:rsidR="00577160" w:rsidRPr="00577160" w:rsidRDefault="00577160" w:rsidP="00577160">
      <w:pPr>
        <w:rPr>
          <w:rFonts w:ascii="Arial" w:hAnsi="Arial" w:cs="Arial"/>
          <w:sz w:val="24"/>
          <w:szCs w:val="24"/>
        </w:rPr>
      </w:pPr>
      <w:r w:rsidRPr="00577160">
        <w:rPr>
          <w:rFonts w:ascii="Arial" w:hAnsi="Arial" w:cs="Arial"/>
          <w:sz w:val="24"/>
          <w:szCs w:val="24"/>
        </w:rPr>
        <w:t>Ohlson, J. A. (1995). Earnings, Book Values and Dividends in Equity Valuation. Contemporary Accounting Research, 11(2), 661-688.</w:t>
      </w:r>
    </w:p>
    <w:p w14:paraId="38A2DA4D" w14:textId="2AA8D6BB" w:rsidR="00577160" w:rsidRDefault="00577160" w:rsidP="00577160">
      <w:pPr>
        <w:rPr>
          <w:rFonts w:ascii="Arial" w:hAnsi="Arial" w:cs="Arial"/>
          <w:sz w:val="24"/>
          <w:szCs w:val="24"/>
        </w:rPr>
      </w:pPr>
      <w:r w:rsidRPr="00577160">
        <w:rPr>
          <w:rFonts w:ascii="Arial" w:hAnsi="Arial" w:cs="Arial"/>
          <w:sz w:val="24"/>
          <w:szCs w:val="24"/>
        </w:rPr>
        <w:t xml:space="preserve">QuickBooks. (n.d.). What Is a Break-even Analysis? Available at: </w:t>
      </w:r>
      <w:hyperlink r:id="rId23" w:history="1">
        <w:r w:rsidRPr="00630819">
          <w:rPr>
            <w:rStyle w:val="Hyperlink"/>
            <w:rFonts w:ascii="Arial" w:hAnsi="Arial" w:cs="Arial"/>
            <w:sz w:val="24"/>
            <w:szCs w:val="24"/>
          </w:rPr>
          <w:t>https://quickbooks.intuit.com/ca/resources/cash-flow/break-even-analysis/</w:t>
        </w:r>
      </w:hyperlink>
    </w:p>
    <w:p w14:paraId="2DE608C5" w14:textId="22645EA8" w:rsidR="00577160" w:rsidRPr="00577160" w:rsidRDefault="0097669D" w:rsidP="00577160">
      <w:pPr>
        <w:rPr>
          <w:rFonts w:ascii="Arial" w:hAnsi="Arial" w:cs="Arial"/>
          <w:sz w:val="24"/>
          <w:szCs w:val="24"/>
        </w:rPr>
      </w:pPr>
      <w:r w:rsidRPr="0097669D">
        <w:rPr>
          <w:rFonts w:ascii="Arial" w:hAnsi="Arial" w:cs="Arial"/>
          <w:sz w:val="24"/>
          <w:szCs w:val="24"/>
        </w:rPr>
        <w:t>Walls, J. L., Berrone, P., &amp; Phan, P. H. (2012). Corporate Governance and Environmental Performance: Is There a Link? Strategic Management Journal, 33(8), 885-913.</w:t>
      </w:r>
    </w:p>
    <w:sectPr w:rsidR="00577160" w:rsidRPr="00577160" w:rsidSect="00940C72">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B014B" w14:textId="77777777" w:rsidR="00940C72" w:rsidRDefault="00940C72" w:rsidP="0097669D">
      <w:pPr>
        <w:spacing w:after="0" w:line="240" w:lineRule="auto"/>
      </w:pPr>
      <w:r>
        <w:separator/>
      </w:r>
    </w:p>
  </w:endnote>
  <w:endnote w:type="continuationSeparator" w:id="0">
    <w:p w14:paraId="3FAD85F3" w14:textId="77777777" w:rsidR="00940C72" w:rsidRDefault="00940C72" w:rsidP="00976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3107953"/>
      <w:docPartObj>
        <w:docPartGallery w:val="Page Numbers (Bottom of Page)"/>
        <w:docPartUnique/>
      </w:docPartObj>
    </w:sdtPr>
    <w:sdtEndPr>
      <w:rPr>
        <w:color w:val="7F7F7F" w:themeColor="background1" w:themeShade="7F"/>
        <w:spacing w:val="60"/>
      </w:rPr>
    </w:sdtEndPr>
    <w:sdtContent>
      <w:p w14:paraId="12FB1036" w14:textId="3DD284B1" w:rsidR="0097669D" w:rsidRDefault="0097669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12D0E5D" w14:textId="77777777" w:rsidR="0097669D" w:rsidRDefault="00976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FFD6D" w14:textId="77777777" w:rsidR="00940C72" w:rsidRDefault="00940C72" w:rsidP="0097669D">
      <w:pPr>
        <w:spacing w:after="0" w:line="240" w:lineRule="auto"/>
      </w:pPr>
      <w:r>
        <w:separator/>
      </w:r>
    </w:p>
  </w:footnote>
  <w:footnote w:type="continuationSeparator" w:id="0">
    <w:p w14:paraId="45197260" w14:textId="77777777" w:rsidR="00940C72" w:rsidRDefault="00940C72" w:rsidP="009766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D37751"/>
    <w:multiLevelType w:val="hybridMultilevel"/>
    <w:tmpl w:val="43882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111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94D"/>
    <w:rsid w:val="0019536E"/>
    <w:rsid w:val="00284ADA"/>
    <w:rsid w:val="003A2F4E"/>
    <w:rsid w:val="00522BD2"/>
    <w:rsid w:val="00577160"/>
    <w:rsid w:val="007A1C6A"/>
    <w:rsid w:val="0080594D"/>
    <w:rsid w:val="00940C72"/>
    <w:rsid w:val="009652AE"/>
    <w:rsid w:val="0097669D"/>
    <w:rsid w:val="00C433E6"/>
    <w:rsid w:val="00DA5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47679F"/>
  <w15:chartTrackingRefBased/>
  <w15:docId w15:val="{DD65D3E8-43E9-4EE6-8706-37C5A576F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9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9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9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9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9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9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9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9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9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9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9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9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9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9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9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94D"/>
    <w:rPr>
      <w:rFonts w:eastAsiaTheme="majorEastAsia" w:cstheme="majorBidi"/>
      <w:color w:val="272727" w:themeColor="text1" w:themeTint="D8"/>
    </w:rPr>
  </w:style>
  <w:style w:type="paragraph" w:styleId="Title">
    <w:name w:val="Title"/>
    <w:basedOn w:val="Normal"/>
    <w:next w:val="Normal"/>
    <w:link w:val="TitleChar"/>
    <w:uiPriority w:val="10"/>
    <w:qFormat/>
    <w:rsid w:val="008059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9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9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9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94D"/>
    <w:pPr>
      <w:spacing w:before="160"/>
      <w:jc w:val="center"/>
    </w:pPr>
    <w:rPr>
      <w:i/>
      <w:iCs/>
      <w:color w:val="404040" w:themeColor="text1" w:themeTint="BF"/>
    </w:rPr>
  </w:style>
  <w:style w:type="character" w:customStyle="1" w:styleId="QuoteChar">
    <w:name w:val="Quote Char"/>
    <w:basedOn w:val="DefaultParagraphFont"/>
    <w:link w:val="Quote"/>
    <w:uiPriority w:val="29"/>
    <w:rsid w:val="0080594D"/>
    <w:rPr>
      <w:i/>
      <w:iCs/>
      <w:color w:val="404040" w:themeColor="text1" w:themeTint="BF"/>
    </w:rPr>
  </w:style>
  <w:style w:type="paragraph" w:styleId="ListParagraph">
    <w:name w:val="List Paragraph"/>
    <w:basedOn w:val="Normal"/>
    <w:uiPriority w:val="34"/>
    <w:qFormat/>
    <w:rsid w:val="0080594D"/>
    <w:pPr>
      <w:ind w:left="720"/>
      <w:contextualSpacing/>
    </w:pPr>
  </w:style>
  <w:style w:type="character" w:styleId="IntenseEmphasis">
    <w:name w:val="Intense Emphasis"/>
    <w:basedOn w:val="DefaultParagraphFont"/>
    <w:uiPriority w:val="21"/>
    <w:qFormat/>
    <w:rsid w:val="0080594D"/>
    <w:rPr>
      <w:i/>
      <w:iCs/>
      <w:color w:val="0F4761" w:themeColor="accent1" w:themeShade="BF"/>
    </w:rPr>
  </w:style>
  <w:style w:type="paragraph" w:styleId="IntenseQuote">
    <w:name w:val="Intense Quote"/>
    <w:basedOn w:val="Normal"/>
    <w:next w:val="Normal"/>
    <w:link w:val="IntenseQuoteChar"/>
    <w:uiPriority w:val="30"/>
    <w:qFormat/>
    <w:rsid w:val="00805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94D"/>
    <w:rPr>
      <w:i/>
      <w:iCs/>
      <w:color w:val="0F4761" w:themeColor="accent1" w:themeShade="BF"/>
    </w:rPr>
  </w:style>
  <w:style w:type="character" w:styleId="IntenseReference">
    <w:name w:val="Intense Reference"/>
    <w:basedOn w:val="DefaultParagraphFont"/>
    <w:uiPriority w:val="32"/>
    <w:qFormat/>
    <w:rsid w:val="0080594D"/>
    <w:rPr>
      <w:b/>
      <w:bCs/>
      <w:smallCaps/>
      <w:color w:val="0F4761" w:themeColor="accent1" w:themeShade="BF"/>
      <w:spacing w:val="5"/>
    </w:rPr>
  </w:style>
  <w:style w:type="character" w:styleId="Hyperlink">
    <w:name w:val="Hyperlink"/>
    <w:basedOn w:val="DefaultParagraphFont"/>
    <w:uiPriority w:val="99"/>
    <w:unhideWhenUsed/>
    <w:rsid w:val="00577160"/>
    <w:rPr>
      <w:color w:val="467886" w:themeColor="hyperlink"/>
      <w:u w:val="single"/>
    </w:rPr>
  </w:style>
  <w:style w:type="character" w:styleId="UnresolvedMention">
    <w:name w:val="Unresolved Mention"/>
    <w:basedOn w:val="DefaultParagraphFont"/>
    <w:uiPriority w:val="99"/>
    <w:semiHidden/>
    <w:unhideWhenUsed/>
    <w:rsid w:val="00577160"/>
    <w:rPr>
      <w:color w:val="605E5C"/>
      <w:shd w:val="clear" w:color="auto" w:fill="E1DFDD"/>
    </w:rPr>
  </w:style>
  <w:style w:type="paragraph" w:styleId="Header">
    <w:name w:val="header"/>
    <w:basedOn w:val="Normal"/>
    <w:link w:val="HeaderChar"/>
    <w:uiPriority w:val="99"/>
    <w:unhideWhenUsed/>
    <w:rsid w:val="00976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69D"/>
  </w:style>
  <w:style w:type="paragraph" w:styleId="Footer">
    <w:name w:val="footer"/>
    <w:basedOn w:val="Normal"/>
    <w:link w:val="FooterChar"/>
    <w:uiPriority w:val="99"/>
    <w:unhideWhenUsed/>
    <w:rsid w:val="00976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69D"/>
  </w:style>
  <w:style w:type="paragraph" w:styleId="NoSpacing">
    <w:name w:val="No Spacing"/>
    <w:link w:val="NoSpacingChar"/>
    <w:uiPriority w:val="1"/>
    <w:qFormat/>
    <w:rsid w:val="0097669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7669D"/>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nbc.com/2022/04/26/mcdonalds-mcd-q1-2022-earnings.html" TargetMode="External"/><Relationship Id="rId18" Type="http://schemas.openxmlformats.org/officeDocument/2006/relationships/hyperlink" Target="https://ycharts.com/companies/MCD/total_liabilities_quarterly"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www.cleverism.com/mcdonalds-swot-analysis" TargetMode="External"/><Relationship Id="rId7" Type="http://schemas.openxmlformats.org/officeDocument/2006/relationships/endnotes" Target="endnotes.xml"/><Relationship Id="rId12" Type="http://schemas.openxmlformats.org/officeDocument/2006/relationships/hyperlink" Target="https://www.statista.com/topics/1002/mcdonalds/" TargetMode="External"/><Relationship Id="rId17" Type="http://schemas.openxmlformats.org/officeDocument/2006/relationships/hyperlink" Target="https://ycharts.com/companies/MCD/total_assets_quarterl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ycharts.com/companies/MCD/roe_ttm" TargetMode="External"/><Relationship Id="rId20" Type="http://schemas.openxmlformats.org/officeDocument/2006/relationships/hyperlink" Target="https://smallbusiness.chron.com/advantages-disadvantages-costvolumeprofit-analysis-7436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c.gov/ix?doc=/Archives/edgar/data/63908/000006390822000104/mcd-20220101.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ycharts.com/companies/MCD/net_income_ttm" TargetMode="External"/><Relationship Id="rId23" Type="http://schemas.openxmlformats.org/officeDocument/2006/relationships/hyperlink" Target="https://quickbooks.intuit.com/ca/resources/cash-flow/break-even-analysis/" TargetMode="External"/><Relationship Id="rId10" Type="http://schemas.openxmlformats.org/officeDocument/2006/relationships/hyperlink" Target="https://www.reuters.com/article/mcdonalds-results-idUSASC017503" TargetMode="External"/><Relationship Id="rId19" Type="http://schemas.openxmlformats.org/officeDocument/2006/relationships/hyperlink" Target="https://www.investopedia.com/terms/c/capitalexpenditure.asp" TargetMode="External"/><Relationship Id="rId4" Type="http://schemas.openxmlformats.org/officeDocument/2006/relationships/settings" Target="settings.xml"/><Relationship Id="rId9" Type="http://schemas.openxmlformats.org/officeDocument/2006/relationships/hyperlink" Target="https://www.mcdonalds.com/content/dam/gwscorp/investor-relations-content/annual-reports/2021-Annual-Report.pdf" TargetMode="External"/><Relationship Id="rId14" Type="http://schemas.openxmlformats.org/officeDocument/2006/relationships/hyperlink" Target="https://ycharts.com/companies/MCD/revenue_ttm" TargetMode="External"/><Relationship Id="rId22" Type="http://schemas.openxmlformats.org/officeDocument/2006/relationships/hyperlink" Target="https://www.fundera.com/blog/pro-forma-financial-statement"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D326EB513B4FF6A9F033BEFB573E15"/>
        <w:category>
          <w:name w:val="General"/>
          <w:gallery w:val="placeholder"/>
        </w:category>
        <w:types>
          <w:type w:val="bbPlcHdr"/>
        </w:types>
        <w:behaviors>
          <w:behavior w:val="content"/>
        </w:behaviors>
        <w:guid w:val="{A752F16B-15F0-47E4-8CA8-7A2E6501F8A0}"/>
      </w:docPartPr>
      <w:docPartBody>
        <w:p w:rsidR="00000000" w:rsidRDefault="007122DF" w:rsidP="007122DF">
          <w:pPr>
            <w:pStyle w:val="18D326EB513B4FF6A9F033BEFB573E1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2DF"/>
    <w:rsid w:val="007122DF"/>
    <w:rsid w:val="00C56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D326EB513B4FF6A9F033BEFB573E15">
    <w:name w:val="18D326EB513B4FF6A9F033BEFB573E15"/>
    <w:rsid w:val="007122DF"/>
  </w:style>
  <w:style w:type="paragraph" w:customStyle="1" w:styleId="1D71EEEE93664528B3B5077CE37D85C4">
    <w:name w:val="1D71EEEE93664528B3B5077CE37D85C4"/>
    <w:rsid w:val="007122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2024-05-12T00:00:00</PublishDate>
  <Abstract/>
  <CompanyAddress>Financial Management for Business Sustainability</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1832</Words>
  <Characters>12678</Characters>
  <Application>Microsoft Office Word</Application>
  <DocSecurity>0</DocSecurity>
  <Lines>288</Lines>
  <Paragraphs>88</Paragraphs>
  <ScaleCrop>false</ScaleCrop>
  <HeadingPairs>
    <vt:vector size="2" baseType="variant">
      <vt:variant>
        <vt:lpstr>Title</vt:lpstr>
      </vt:variant>
      <vt:variant>
        <vt:i4>1</vt:i4>
      </vt:variant>
    </vt:vector>
  </HeadingPairs>
  <TitlesOfParts>
    <vt:vector size="1" baseType="lpstr">
      <vt:lpstr/>
    </vt:vector>
  </TitlesOfParts>
  <Company>Adrian Sovinschi (2316798)</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
  <dc:creator>Mirabela Voican (1907947)</dc:creator>
  <cp:keywords/>
  <dc:description/>
  <cp:lastModifiedBy>Mirabela Voican (1907947)</cp:lastModifiedBy>
  <cp:revision>2</cp:revision>
  <dcterms:created xsi:type="dcterms:W3CDTF">2024-05-05T20:43:00Z</dcterms:created>
  <dcterms:modified xsi:type="dcterms:W3CDTF">2024-05-05T21:46:00Z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eab04151-3b9e-4d7b-b6a0-b7d7a1664673</vt:lpwstr>
  </property>
</Properties>
</file>