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015D5" w14:textId="77777777" w:rsidR="006C42AF" w:rsidRPr="006C42AF" w:rsidRDefault="006C42AF" w:rsidP="006C42AF">
      <w:pPr>
        <w:spacing w:after="160" w:line="259" w:lineRule="auto"/>
        <w:jc w:val="center"/>
        <w:rPr>
          <w:rFonts w:cs="Arial"/>
          <w:b/>
          <w:sz w:val="56"/>
          <w:szCs w:val="56"/>
        </w:rPr>
      </w:pPr>
      <w:r w:rsidRPr="006C42AF">
        <w:rPr>
          <w:rFonts w:cs="Arial"/>
          <w:b/>
          <w:sz w:val="56"/>
          <w:szCs w:val="56"/>
        </w:rPr>
        <w:t>Enterprise and Entrepreneurship</w:t>
      </w:r>
    </w:p>
    <w:p w14:paraId="667FF105" w14:textId="22F7E591" w:rsidR="006C42AF" w:rsidRPr="006C42AF" w:rsidRDefault="006C42AF" w:rsidP="006C42AF">
      <w:pPr>
        <w:spacing w:after="160" w:line="259" w:lineRule="auto"/>
        <w:jc w:val="center"/>
        <w:rPr>
          <w:rFonts w:cs="Arial"/>
          <w:b/>
          <w:sz w:val="48"/>
          <w:szCs w:val="48"/>
        </w:rPr>
      </w:pPr>
      <w:r w:rsidRPr="006C42AF">
        <w:rPr>
          <w:rFonts w:cs="Arial"/>
          <w:b/>
          <w:sz w:val="48"/>
          <w:szCs w:val="48"/>
        </w:rPr>
        <w:t>Individual Written Business Plan</w:t>
      </w:r>
    </w:p>
    <w:p w14:paraId="575767B1" w14:textId="07BF666B" w:rsidR="006C42AF" w:rsidRDefault="006C42AF" w:rsidP="006C42AF">
      <w:pPr>
        <w:spacing w:after="160" w:line="259" w:lineRule="auto"/>
        <w:jc w:val="center"/>
        <w:rPr>
          <w:rFonts w:cs="Arial"/>
          <w:b/>
          <w:sz w:val="44"/>
          <w:szCs w:val="44"/>
        </w:rPr>
      </w:pPr>
      <w:r>
        <w:rPr>
          <w:rFonts w:cs="Arial"/>
          <w:b/>
          <w:sz w:val="44"/>
          <w:szCs w:val="44"/>
        </w:rPr>
        <w:t xml:space="preserve">Name: </w:t>
      </w:r>
      <w:r w:rsidRPr="006C42AF">
        <w:rPr>
          <w:rFonts w:cs="Arial"/>
          <w:b/>
          <w:sz w:val="44"/>
          <w:szCs w:val="44"/>
        </w:rPr>
        <w:t>Daylia Gavin</w:t>
      </w:r>
    </w:p>
    <w:p w14:paraId="69BFF13E" w14:textId="1E5A42BF" w:rsidR="006C42AF" w:rsidRPr="006C42AF" w:rsidRDefault="006C42AF" w:rsidP="006C42AF">
      <w:pPr>
        <w:spacing w:after="160" w:line="259" w:lineRule="auto"/>
        <w:jc w:val="center"/>
        <w:rPr>
          <w:rFonts w:cs="Arial"/>
          <w:b/>
          <w:sz w:val="44"/>
          <w:szCs w:val="44"/>
        </w:rPr>
      </w:pPr>
      <w:r>
        <w:rPr>
          <w:rFonts w:cs="Arial"/>
          <w:b/>
          <w:sz w:val="44"/>
          <w:szCs w:val="44"/>
        </w:rPr>
        <w:t xml:space="preserve">Student Number: </w:t>
      </w:r>
      <w:r w:rsidRPr="006C42AF">
        <w:rPr>
          <w:rFonts w:cs="Arial"/>
          <w:b/>
          <w:sz w:val="44"/>
          <w:szCs w:val="44"/>
        </w:rPr>
        <w:t>2427090</w:t>
      </w:r>
    </w:p>
    <w:p w14:paraId="5410F91F" w14:textId="6B924C24" w:rsidR="00E20DBE" w:rsidRPr="006C42AF" w:rsidRDefault="00E20DBE" w:rsidP="006C42AF">
      <w:pPr>
        <w:spacing w:after="160" w:line="259" w:lineRule="auto"/>
        <w:jc w:val="center"/>
        <w:rPr>
          <w:b/>
          <w:bCs/>
          <w:sz w:val="48"/>
          <w:szCs w:val="48"/>
        </w:rPr>
      </w:pPr>
      <w:r w:rsidRPr="006C42AF">
        <w:rPr>
          <w:b/>
          <w:bCs/>
          <w:sz w:val="48"/>
          <w:szCs w:val="48"/>
        </w:rPr>
        <w:br w:type="page"/>
      </w:r>
    </w:p>
    <w:sdt>
      <w:sdtPr>
        <w:rPr>
          <w:rFonts w:ascii="Arial" w:eastAsiaTheme="minorHAnsi" w:hAnsi="Arial" w:cs="Arial"/>
          <w:b/>
          <w:bCs/>
          <w:color w:val="auto"/>
          <w:kern w:val="2"/>
          <w:sz w:val="24"/>
          <w:szCs w:val="22"/>
          <w14:ligatures w14:val="standardContextual"/>
        </w:rPr>
        <w:id w:val="-1756277229"/>
        <w:docPartObj>
          <w:docPartGallery w:val="Table of Contents"/>
          <w:docPartUnique/>
        </w:docPartObj>
      </w:sdtPr>
      <w:sdtEndPr>
        <w:rPr>
          <w:rFonts w:cstheme="minorBidi"/>
          <w:noProof/>
        </w:rPr>
      </w:sdtEndPr>
      <w:sdtContent>
        <w:p w14:paraId="4C73638A" w14:textId="22770935" w:rsidR="00E20DBE" w:rsidRPr="00B2478B" w:rsidRDefault="00E20DBE" w:rsidP="00B2478B">
          <w:pPr>
            <w:pStyle w:val="TOCHeading"/>
            <w:jc w:val="center"/>
            <w:rPr>
              <w:rFonts w:ascii="Arial" w:hAnsi="Arial" w:cs="Arial"/>
              <w:b/>
              <w:bCs/>
              <w:color w:val="auto"/>
            </w:rPr>
          </w:pPr>
          <w:r w:rsidRPr="00B2478B">
            <w:rPr>
              <w:rFonts w:ascii="Arial" w:hAnsi="Arial" w:cs="Arial"/>
              <w:b/>
              <w:bCs/>
              <w:color w:val="auto"/>
            </w:rPr>
            <w:t>Table of Contents</w:t>
          </w:r>
        </w:p>
        <w:p w14:paraId="5A857BF7" w14:textId="6DEC86CF" w:rsidR="00E20DBE" w:rsidRDefault="00E20DBE">
          <w:pPr>
            <w:pStyle w:val="TOC1"/>
            <w:tabs>
              <w:tab w:val="right" w:leader="dot" w:pos="9350"/>
            </w:tabs>
            <w:rPr>
              <w:noProof/>
            </w:rPr>
          </w:pPr>
          <w:r>
            <w:fldChar w:fldCharType="begin"/>
          </w:r>
          <w:r>
            <w:instrText xml:space="preserve"> TOC \o "1-3" \h \z \u </w:instrText>
          </w:r>
          <w:r>
            <w:fldChar w:fldCharType="separate"/>
          </w:r>
          <w:hyperlink w:anchor="_Toc212311121" w:history="1">
            <w:r w:rsidRPr="0001799E">
              <w:rPr>
                <w:rStyle w:val="Hyperlink"/>
                <w:noProof/>
              </w:rPr>
              <w:t>1. Overview of the Business Idea</w:t>
            </w:r>
            <w:r>
              <w:rPr>
                <w:noProof/>
                <w:webHidden/>
              </w:rPr>
              <w:tab/>
            </w:r>
            <w:r>
              <w:rPr>
                <w:noProof/>
                <w:webHidden/>
              </w:rPr>
              <w:fldChar w:fldCharType="begin"/>
            </w:r>
            <w:r>
              <w:rPr>
                <w:noProof/>
                <w:webHidden/>
              </w:rPr>
              <w:instrText xml:space="preserve"> PAGEREF _Toc212311121 \h </w:instrText>
            </w:r>
            <w:r>
              <w:rPr>
                <w:noProof/>
                <w:webHidden/>
              </w:rPr>
            </w:r>
            <w:r>
              <w:rPr>
                <w:noProof/>
                <w:webHidden/>
              </w:rPr>
              <w:fldChar w:fldCharType="separate"/>
            </w:r>
            <w:r>
              <w:rPr>
                <w:noProof/>
                <w:webHidden/>
              </w:rPr>
              <w:t>3</w:t>
            </w:r>
            <w:r>
              <w:rPr>
                <w:noProof/>
                <w:webHidden/>
              </w:rPr>
              <w:fldChar w:fldCharType="end"/>
            </w:r>
          </w:hyperlink>
        </w:p>
        <w:p w14:paraId="4DF1A3B9" w14:textId="67FD24DF" w:rsidR="00E20DBE" w:rsidRDefault="00000000">
          <w:pPr>
            <w:pStyle w:val="TOC1"/>
            <w:tabs>
              <w:tab w:val="right" w:leader="dot" w:pos="9350"/>
            </w:tabs>
            <w:rPr>
              <w:noProof/>
            </w:rPr>
          </w:pPr>
          <w:hyperlink w:anchor="_Toc212311122" w:history="1">
            <w:r w:rsidR="00E20DBE" w:rsidRPr="0001799E">
              <w:rPr>
                <w:rStyle w:val="Hyperlink"/>
                <w:noProof/>
              </w:rPr>
              <w:t>2. PESTEL Environmental Analysis</w:t>
            </w:r>
            <w:r w:rsidR="00E20DBE">
              <w:rPr>
                <w:noProof/>
                <w:webHidden/>
              </w:rPr>
              <w:tab/>
            </w:r>
            <w:r w:rsidR="00E20DBE">
              <w:rPr>
                <w:noProof/>
                <w:webHidden/>
              </w:rPr>
              <w:fldChar w:fldCharType="begin"/>
            </w:r>
            <w:r w:rsidR="00E20DBE">
              <w:rPr>
                <w:noProof/>
                <w:webHidden/>
              </w:rPr>
              <w:instrText xml:space="preserve"> PAGEREF _Toc212311122 \h </w:instrText>
            </w:r>
            <w:r w:rsidR="00E20DBE">
              <w:rPr>
                <w:noProof/>
                <w:webHidden/>
              </w:rPr>
            </w:r>
            <w:r w:rsidR="00E20DBE">
              <w:rPr>
                <w:noProof/>
                <w:webHidden/>
              </w:rPr>
              <w:fldChar w:fldCharType="separate"/>
            </w:r>
            <w:r w:rsidR="00E20DBE">
              <w:rPr>
                <w:noProof/>
                <w:webHidden/>
              </w:rPr>
              <w:t>3</w:t>
            </w:r>
            <w:r w:rsidR="00E20DBE">
              <w:rPr>
                <w:noProof/>
                <w:webHidden/>
              </w:rPr>
              <w:fldChar w:fldCharType="end"/>
            </w:r>
          </w:hyperlink>
        </w:p>
        <w:p w14:paraId="4A22C6C0" w14:textId="4443117D" w:rsidR="00E20DBE" w:rsidRDefault="00000000">
          <w:pPr>
            <w:pStyle w:val="TOC1"/>
            <w:tabs>
              <w:tab w:val="right" w:leader="dot" w:pos="9350"/>
            </w:tabs>
            <w:rPr>
              <w:noProof/>
            </w:rPr>
          </w:pPr>
          <w:hyperlink w:anchor="_Toc212311123" w:history="1">
            <w:r w:rsidR="00E20DBE" w:rsidRPr="0001799E">
              <w:rPr>
                <w:rStyle w:val="Hyperlink"/>
                <w:noProof/>
              </w:rPr>
              <w:t>3. Marketing Strategies</w:t>
            </w:r>
            <w:r w:rsidR="00E20DBE">
              <w:rPr>
                <w:noProof/>
                <w:webHidden/>
              </w:rPr>
              <w:tab/>
            </w:r>
            <w:r w:rsidR="00E20DBE">
              <w:rPr>
                <w:noProof/>
                <w:webHidden/>
              </w:rPr>
              <w:fldChar w:fldCharType="begin"/>
            </w:r>
            <w:r w:rsidR="00E20DBE">
              <w:rPr>
                <w:noProof/>
                <w:webHidden/>
              </w:rPr>
              <w:instrText xml:space="preserve"> PAGEREF _Toc212311123 \h </w:instrText>
            </w:r>
            <w:r w:rsidR="00E20DBE">
              <w:rPr>
                <w:noProof/>
                <w:webHidden/>
              </w:rPr>
            </w:r>
            <w:r w:rsidR="00E20DBE">
              <w:rPr>
                <w:noProof/>
                <w:webHidden/>
              </w:rPr>
              <w:fldChar w:fldCharType="separate"/>
            </w:r>
            <w:r w:rsidR="00E20DBE">
              <w:rPr>
                <w:noProof/>
                <w:webHidden/>
              </w:rPr>
              <w:t>5</w:t>
            </w:r>
            <w:r w:rsidR="00E20DBE">
              <w:rPr>
                <w:noProof/>
                <w:webHidden/>
              </w:rPr>
              <w:fldChar w:fldCharType="end"/>
            </w:r>
          </w:hyperlink>
        </w:p>
        <w:p w14:paraId="332F85B9" w14:textId="7105615E" w:rsidR="00E20DBE" w:rsidRDefault="00000000">
          <w:pPr>
            <w:pStyle w:val="TOC1"/>
            <w:tabs>
              <w:tab w:val="right" w:leader="dot" w:pos="9350"/>
            </w:tabs>
            <w:rPr>
              <w:noProof/>
            </w:rPr>
          </w:pPr>
          <w:hyperlink w:anchor="_Toc212311124" w:history="1">
            <w:r w:rsidR="00E20DBE" w:rsidRPr="0001799E">
              <w:rPr>
                <w:rStyle w:val="Hyperlink"/>
                <w:noProof/>
              </w:rPr>
              <w:t>4. Funding Requirements and Startup Expenses</w:t>
            </w:r>
            <w:r w:rsidR="00E20DBE">
              <w:rPr>
                <w:noProof/>
                <w:webHidden/>
              </w:rPr>
              <w:tab/>
            </w:r>
            <w:r w:rsidR="00E20DBE">
              <w:rPr>
                <w:noProof/>
                <w:webHidden/>
              </w:rPr>
              <w:fldChar w:fldCharType="begin"/>
            </w:r>
            <w:r w:rsidR="00E20DBE">
              <w:rPr>
                <w:noProof/>
                <w:webHidden/>
              </w:rPr>
              <w:instrText xml:space="preserve"> PAGEREF _Toc212311124 \h </w:instrText>
            </w:r>
            <w:r w:rsidR="00E20DBE">
              <w:rPr>
                <w:noProof/>
                <w:webHidden/>
              </w:rPr>
            </w:r>
            <w:r w:rsidR="00E20DBE">
              <w:rPr>
                <w:noProof/>
                <w:webHidden/>
              </w:rPr>
              <w:fldChar w:fldCharType="separate"/>
            </w:r>
            <w:r w:rsidR="00E20DBE">
              <w:rPr>
                <w:noProof/>
                <w:webHidden/>
              </w:rPr>
              <w:t>7</w:t>
            </w:r>
            <w:r w:rsidR="00E20DBE">
              <w:rPr>
                <w:noProof/>
                <w:webHidden/>
              </w:rPr>
              <w:fldChar w:fldCharType="end"/>
            </w:r>
          </w:hyperlink>
        </w:p>
        <w:p w14:paraId="4129D91B" w14:textId="0C50C95D" w:rsidR="00E20DBE" w:rsidRDefault="00000000">
          <w:pPr>
            <w:pStyle w:val="TOC2"/>
            <w:tabs>
              <w:tab w:val="right" w:leader="dot" w:pos="9350"/>
            </w:tabs>
            <w:rPr>
              <w:noProof/>
            </w:rPr>
          </w:pPr>
          <w:hyperlink w:anchor="_Toc212311125" w:history="1">
            <w:r w:rsidR="00E20DBE" w:rsidRPr="0001799E">
              <w:rPr>
                <w:rStyle w:val="Hyperlink"/>
                <w:noProof/>
              </w:rPr>
              <w:t>Estimated initial start-up cost:</w:t>
            </w:r>
            <w:r w:rsidR="00E20DBE">
              <w:rPr>
                <w:noProof/>
                <w:webHidden/>
              </w:rPr>
              <w:tab/>
            </w:r>
            <w:r w:rsidR="00E20DBE">
              <w:rPr>
                <w:noProof/>
                <w:webHidden/>
              </w:rPr>
              <w:fldChar w:fldCharType="begin"/>
            </w:r>
            <w:r w:rsidR="00E20DBE">
              <w:rPr>
                <w:noProof/>
                <w:webHidden/>
              </w:rPr>
              <w:instrText xml:space="preserve"> PAGEREF _Toc212311125 \h </w:instrText>
            </w:r>
            <w:r w:rsidR="00E20DBE">
              <w:rPr>
                <w:noProof/>
                <w:webHidden/>
              </w:rPr>
            </w:r>
            <w:r w:rsidR="00E20DBE">
              <w:rPr>
                <w:noProof/>
                <w:webHidden/>
              </w:rPr>
              <w:fldChar w:fldCharType="separate"/>
            </w:r>
            <w:r w:rsidR="00E20DBE">
              <w:rPr>
                <w:noProof/>
                <w:webHidden/>
              </w:rPr>
              <w:t>7</w:t>
            </w:r>
            <w:r w:rsidR="00E20DBE">
              <w:rPr>
                <w:noProof/>
                <w:webHidden/>
              </w:rPr>
              <w:fldChar w:fldCharType="end"/>
            </w:r>
          </w:hyperlink>
        </w:p>
        <w:p w14:paraId="7D7AC4E9" w14:textId="2D2536E5" w:rsidR="00E20DBE" w:rsidRDefault="00000000">
          <w:pPr>
            <w:pStyle w:val="TOC2"/>
            <w:tabs>
              <w:tab w:val="right" w:leader="dot" w:pos="9350"/>
            </w:tabs>
            <w:rPr>
              <w:noProof/>
            </w:rPr>
          </w:pPr>
          <w:hyperlink w:anchor="_Toc212311126" w:history="1">
            <w:r w:rsidR="00E20DBE" w:rsidRPr="0001799E">
              <w:rPr>
                <w:rStyle w:val="Hyperlink"/>
                <w:noProof/>
              </w:rPr>
              <w:t>Funding Sources:</w:t>
            </w:r>
            <w:r w:rsidR="00E20DBE">
              <w:rPr>
                <w:noProof/>
                <w:webHidden/>
              </w:rPr>
              <w:tab/>
            </w:r>
            <w:r w:rsidR="00E20DBE">
              <w:rPr>
                <w:noProof/>
                <w:webHidden/>
              </w:rPr>
              <w:fldChar w:fldCharType="begin"/>
            </w:r>
            <w:r w:rsidR="00E20DBE">
              <w:rPr>
                <w:noProof/>
                <w:webHidden/>
              </w:rPr>
              <w:instrText xml:space="preserve"> PAGEREF _Toc212311126 \h </w:instrText>
            </w:r>
            <w:r w:rsidR="00E20DBE">
              <w:rPr>
                <w:noProof/>
                <w:webHidden/>
              </w:rPr>
            </w:r>
            <w:r w:rsidR="00E20DBE">
              <w:rPr>
                <w:noProof/>
                <w:webHidden/>
              </w:rPr>
              <w:fldChar w:fldCharType="separate"/>
            </w:r>
            <w:r w:rsidR="00E20DBE">
              <w:rPr>
                <w:noProof/>
                <w:webHidden/>
              </w:rPr>
              <w:t>7</w:t>
            </w:r>
            <w:r w:rsidR="00E20DBE">
              <w:rPr>
                <w:noProof/>
                <w:webHidden/>
              </w:rPr>
              <w:fldChar w:fldCharType="end"/>
            </w:r>
          </w:hyperlink>
        </w:p>
        <w:p w14:paraId="69E11242" w14:textId="2EC51F4E" w:rsidR="00E20DBE" w:rsidRDefault="00000000">
          <w:pPr>
            <w:pStyle w:val="TOC1"/>
            <w:tabs>
              <w:tab w:val="right" w:leader="dot" w:pos="9350"/>
            </w:tabs>
            <w:rPr>
              <w:noProof/>
            </w:rPr>
          </w:pPr>
          <w:hyperlink w:anchor="_Toc212311127" w:history="1">
            <w:r w:rsidR="00E20DBE" w:rsidRPr="0001799E">
              <w:rPr>
                <w:rStyle w:val="Hyperlink"/>
                <w:noProof/>
              </w:rPr>
              <w:t>5. Conclusion</w:t>
            </w:r>
            <w:r w:rsidR="00E20DBE">
              <w:rPr>
                <w:noProof/>
                <w:webHidden/>
              </w:rPr>
              <w:tab/>
            </w:r>
            <w:r w:rsidR="00E20DBE">
              <w:rPr>
                <w:noProof/>
                <w:webHidden/>
              </w:rPr>
              <w:fldChar w:fldCharType="begin"/>
            </w:r>
            <w:r w:rsidR="00E20DBE">
              <w:rPr>
                <w:noProof/>
                <w:webHidden/>
              </w:rPr>
              <w:instrText xml:space="preserve"> PAGEREF _Toc212311127 \h </w:instrText>
            </w:r>
            <w:r w:rsidR="00E20DBE">
              <w:rPr>
                <w:noProof/>
                <w:webHidden/>
              </w:rPr>
            </w:r>
            <w:r w:rsidR="00E20DBE">
              <w:rPr>
                <w:noProof/>
                <w:webHidden/>
              </w:rPr>
              <w:fldChar w:fldCharType="separate"/>
            </w:r>
            <w:r w:rsidR="00E20DBE">
              <w:rPr>
                <w:noProof/>
                <w:webHidden/>
              </w:rPr>
              <w:t>7</w:t>
            </w:r>
            <w:r w:rsidR="00E20DBE">
              <w:rPr>
                <w:noProof/>
                <w:webHidden/>
              </w:rPr>
              <w:fldChar w:fldCharType="end"/>
            </w:r>
          </w:hyperlink>
        </w:p>
        <w:p w14:paraId="7A86524D" w14:textId="7955C6B0" w:rsidR="00E20DBE" w:rsidRDefault="00000000">
          <w:pPr>
            <w:pStyle w:val="TOC1"/>
            <w:tabs>
              <w:tab w:val="right" w:leader="dot" w:pos="9350"/>
            </w:tabs>
            <w:rPr>
              <w:noProof/>
            </w:rPr>
          </w:pPr>
          <w:hyperlink w:anchor="_Toc212311128" w:history="1">
            <w:r w:rsidR="00E20DBE" w:rsidRPr="0001799E">
              <w:rPr>
                <w:rStyle w:val="Hyperlink"/>
                <w:noProof/>
              </w:rPr>
              <w:t>6. Reference</w:t>
            </w:r>
            <w:r w:rsidR="00E20DBE">
              <w:rPr>
                <w:noProof/>
                <w:webHidden/>
              </w:rPr>
              <w:tab/>
            </w:r>
            <w:r w:rsidR="00E20DBE">
              <w:rPr>
                <w:noProof/>
                <w:webHidden/>
              </w:rPr>
              <w:fldChar w:fldCharType="begin"/>
            </w:r>
            <w:r w:rsidR="00E20DBE">
              <w:rPr>
                <w:noProof/>
                <w:webHidden/>
              </w:rPr>
              <w:instrText xml:space="preserve"> PAGEREF _Toc212311128 \h </w:instrText>
            </w:r>
            <w:r w:rsidR="00E20DBE">
              <w:rPr>
                <w:noProof/>
                <w:webHidden/>
              </w:rPr>
            </w:r>
            <w:r w:rsidR="00E20DBE">
              <w:rPr>
                <w:noProof/>
                <w:webHidden/>
              </w:rPr>
              <w:fldChar w:fldCharType="separate"/>
            </w:r>
            <w:r w:rsidR="00E20DBE">
              <w:rPr>
                <w:noProof/>
                <w:webHidden/>
              </w:rPr>
              <w:t>9</w:t>
            </w:r>
            <w:r w:rsidR="00E20DBE">
              <w:rPr>
                <w:noProof/>
                <w:webHidden/>
              </w:rPr>
              <w:fldChar w:fldCharType="end"/>
            </w:r>
          </w:hyperlink>
        </w:p>
        <w:p w14:paraId="01BE89EA" w14:textId="6AB4503C" w:rsidR="00E20DBE" w:rsidRDefault="00E20DBE">
          <w:r>
            <w:rPr>
              <w:b/>
              <w:bCs/>
              <w:noProof/>
            </w:rPr>
            <w:fldChar w:fldCharType="end"/>
          </w:r>
        </w:p>
      </w:sdtContent>
    </w:sdt>
    <w:p w14:paraId="59519C69" w14:textId="77777777" w:rsidR="00E20DBE" w:rsidRDefault="00E20DBE">
      <w:pPr>
        <w:spacing w:after="160" w:line="259" w:lineRule="auto"/>
        <w:jc w:val="left"/>
        <w:rPr>
          <w:b/>
          <w:bCs/>
          <w:sz w:val="32"/>
          <w:szCs w:val="32"/>
        </w:rPr>
      </w:pPr>
      <w:r>
        <w:rPr>
          <w:b/>
          <w:bCs/>
          <w:sz w:val="32"/>
          <w:szCs w:val="32"/>
        </w:rPr>
        <w:br w:type="page"/>
      </w:r>
    </w:p>
    <w:p w14:paraId="71AA5F47" w14:textId="49BECC0B" w:rsidR="0053343B" w:rsidRPr="00B2478B" w:rsidRDefault="00E07D08" w:rsidP="00B2478B">
      <w:pPr>
        <w:jc w:val="center"/>
        <w:rPr>
          <w:b/>
          <w:bCs/>
          <w:sz w:val="32"/>
          <w:szCs w:val="32"/>
        </w:rPr>
      </w:pPr>
      <w:r w:rsidRPr="00E07D08">
        <w:rPr>
          <w:b/>
          <w:bCs/>
          <w:sz w:val="32"/>
          <w:szCs w:val="32"/>
        </w:rPr>
        <w:t>GreenFlow</w:t>
      </w:r>
      <w:r w:rsidR="00E0703D" w:rsidRPr="00AC0137">
        <w:rPr>
          <w:b/>
          <w:bCs/>
          <w:sz w:val="32"/>
          <w:szCs w:val="32"/>
        </w:rPr>
        <w:t xml:space="preserve"> Solutions UK: A Sustainable Business Venture in Biodegradable Beverage Packaging</w:t>
      </w:r>
    </w:p>
    <w:p w14:paraId="301627AC" w14:textId="77777777" w:rsidR="0053343B" w:rsidRDefault="0053343B" w:rsidP="00AC0137">
      <w:pPr>
        <w:pStyle w:val="Heading1"/>
      </w:pPr>
      <w:bookmarkStart w:id="0" w:name="_Toc212311121"/>
      <w:r>
        <w:t>1. Overview of the Business Idea</w:t>
      </w:r>
      <w:bookmarkEnd w:id="0"/>
    </w:p>
    <w:p w14:paraId="4E30BA94" w14:textId="1069F340" w:rsidR="00A36D3A" w:rsidRDefault="00E07D08" w:rsidP="00AC0137">
      <w:r>
        <w:t>GreenFlow</w:t>
      </w:r>
      <w:r w:rsidR="00A36D3A">
        <w:t xml:space="preserve"> Solutions UK is a proposed sustainable business that aims to produce and sell biodegradable and reusable beverage containers, including cups, straws, and lids, using renewable, plant-based materials, which are bamboo </w:t>
      </w:r>
      <w:r>
        <w:t>fiber</w:t>
      </w:r>
      <w:r w:rsidR="00A36D3A">
        <w:t xml:space="preserve">, cornstarch and sugarcane pulp. The enterprise will focus on mitigating the environmental issue of plastic pollution by offering </w:t>
      </w:r>
      <w:r w:rsidR="00B2478B">
        <w:t>more affordable and higher-quality alternatives to single-use plastic packaging, which is widely</w:t>
      </w:r>
      <w:r>
        <w:t xml:space="preserve"> used in the UK's food and beverage sector</w:t>
      </w:r>
      <w:r w:rsidR="00A36D3A">
        <w:t>.</w:t>
      </w:r>
    </w:p>
    <w:p w14:paraId="6D889EB6" w14:textId="0829AB4A" w:rsidR="00A36D3A" w:rsidRDefault="00A36D3A" w:rsidP="00AC0137">
      <w:r>
        <w:t xml:space="preserve">The business will </w:t>
      </w:r>
      <w:r w:rsidR="00B2478B">
        <w:t>focus on cafes, restaurants, corporate offices, and retail clients in London, Manchester, and Birmingham, with plans to expand</w:t>
      </w:r>
      <w:r>
        <w:t xml:space="preserve"> to other regions of the United Kingdom. With the rising sustainability trend, </w:t>
      </w:r>
      <w:r w:rsidR="00E07D08">
        <w:t>GreenFlow</w:t>
      </w:r>
      <w:r>
        <w:t xml:space="preserve"> will be a brand that benefits the UK in its shift towards a circular economy as an environmentally friendly brand.</w:t>
      </w:r>
    </w:p>
    <w:p w14:paraId="2D3DA713" w14:textId="0E4E4D50" w:rsidR="00A36D3A" w:rsidRDefault="00E07D08" w:rsidP="00AC0137">
      <w:r>
        <w:t>GreenFlow</w:t>
      </w:r>
      <w:r w:rsidR="00A36D3A">
        <w:t xml:space="preserve"> Solutions will be established as a </w:t>
      </w:r>
      <w:r>
        <w:t>L</w:t>
      </w:r>
      <w:r w:rsidR="00A36D3A">
        <w:t xml:space="preserve">imited </w:t>
      </w:r>
      <w:r>
        <w:t>C</w:t>
      </w:r>
      <w:r w:rsidR="00A36D3A">
        <w:t>ompany (Ltd)</w:t>
      </w:r>
      <w:r w:rsidR="00E0703D">
        <w:t>,</w:t>
      </w:r>
      <w:r w:rsidR="00A36D3A">
        <w:t xml:space="preserve"> which is a legal structure in which the owners have limited liability to the company, but external investors are allowed to invest in the company without losing control of the strategic decisions made by the company. The organisational structure shall be composed of </w:t>
      </w:r>
      <w:r w:rsidR="00E0703D">
        <w:t xml:space="preserve">the </w:t>
      </w:r>
      <w:r w:rsidR="00A36D3A">
        <w:t>Chief Executive Officer (CEO), Chief Operations Officer (COO), Marketing Director, Financial Manager and Production Supervisor. This framework will guarantee effective communication, accountability, and operational effectiveness (Burns, 2016).</w:t>
      </w:r>
    </w:p>
    <w:p w14:paraId="4E0024E6" w14:textId="76F5EBF1" w:rsidR="00A36D3A" w:rsidRDefault="00A36D3A" w:rsidP="00AC0137">
      <w:r>
        <w:t xml:space="preserve">The mission of the enterprise is to </w:t>
      </w:r>
      <w:r w:rsidR="00E0703D">
        <w:t>minimise</w:t>
      </w:r>
      <w:r>
        <w:t xml:space="preserve"> the environmental footprint of the beverage industry by advancing the application of sustainable packaging solutions. It has a vision of being the most preferred eco-friendly beverage packaging provider in the UK by 2030, which is innovative, environmentally responsible, and socially contributing. The principles of sustainability, innovation, quality, and community impact are the core values of </w:t>
      </w:r>
      <w:r w:rsidR="00E07D08">
        <w:t>GreenFlow</w:t>
      </w:r>
      <w:r>
        <w:t xml:space="preserve"> that will dictate its decision-making and brand identity.</w:t>
      </w:r>
    </w:p>
    <w:p w14:paraId="322F346D" w14:textId="1F189DE2" w:rsidR="00A36D3A" w:rsidRDefault="00AC0137" w:rsidP="00AC0137">
      <w:pPr>
        <w:pStyle w:val="Heading1"/>
      </w:pPr>
      <w:bookmarkStart w:id="1" w:name="_Toc212311122"/>
      <w:r>
        <w:t xml:space="preserve">2. </w:t>
      </w:r>
      <w:r w:rsidR="00A36D3A">
        <w:t>PESTEL Environmental Analysis</w:t>
      </w:r>
      <w:bookmarkEnd w:id="1"/>
    </w:p>
    <w:p w14:paraId="51AA94F6" w14:textId="0DF86B7D" w:rsidR="00A36D3A" w:rsidRDefault="00A36D3A" w:rsidP="00AC0137">
      <w:r>
        <w:t xml:space="preserve">A PESTEL model will give a strategic insight </w:t>
      </w:r>
      <w:r w:rsidR="00E0703D">
        <w:t>into</w:t>
      </w:r>
      <w:r>
        <w:t xml:space="preserve"> the external environment that will affect </w:t>
      </w:r>
      <w:r w:rsidR="00E07D08">
        <w:t>GreenFlow</w:t>
      </w:r>
      <w:r>
        <w:t xml:space="preserve"> Solutions in the UK market.</w:t>
      </w:r>
    </w:p>
    <w:p w14:paraId="56A31BE2" w14:textId="64A68C69" w:rsidR="00A36D3A" w:rsidRPr="00AC0137" w:rsidRDefault="00A36D3A" w:rsidP="00AC0137">
      <w:pPr>
        <w:rPr>
          <w:b/>
          <w:bCs/>
        </w:rPr>
      </w:pPr>
      <w:r w:rsidRPr="00AC0137">
        <w:rPr>
          <w:b/>
          <w:bCs/>
        </w:rPr>
        <w:t>Political</w:t>
      </w:r>
    </w:p>
    <w:p w14:paraId="4A7190E8" w14:textId="30A83788" w:rsidR="00A36D3A" w:rsidRDefault="00A36D3A" w:rsidP="00AC0137">
      <w:r>
        <w:t xml:space="preserve">The government of the UK has enacted various environmental policies that limit the production of plastics and promote the use of biodegradable materials. Plastic Packaging Tax (2022) involves the payment of tax by manufacturers and importers of plastic packaging that has less than 30 </w:t>
      </w:r>
      <w:r w:rsidR="00E0703D">
        <w:t>per cent</w:t>
      </w:r>
      <w:r>
        <w:t xml:space="preserve"> recycled material, with single-use products like straws, </w:t>
      </w:r>
      <w:r w:rsidR="00E0703D">
        <w:t>stirrers</w:t>
      </w:r>
      <w:r>
        <w:t xml:space="preserve">, and cotton buds being banned as well </w:t>
      </w:r>
      <w:r w:rsidR="00E07D08">
        <w:t>(</w:t>
      </w:r>
      <w:r>
        <w:t xml:space="preserve">DEFRA, 2023). This will </w:t>
      </w:r>
      <w:r w:rsidR="00E07D08">
        <w:t xml:space="preserve">create a </w:t>
      </w:r>
      <w:proofErr w:type="spellStart"/>
      <w:r w:rsidR="00E07D08">
        <w:t>favourable</w:t>
      </w:r>
      <w:proofErr w:type="spellEnd"/>
      <w:r w:rsidR="00E07D08">
        <w:t xml:space="preserve"> market environment for GreenFlow's biodegradable products, helping to sustain the business and maintain competitiveness</w:t>
      </w:r>
      <w:r>
        <w:t>.</w:t>
      </w:r>
    </w:p>
    <w:p w14:paraId="46FB708E" w14:textId="64657BE0" w:rsidR="00A36D3A" w:rsidRPr="00AC0137" w:rsidRDefault="00A36D3A" w:rsidP="00AC0137">
      <w:pPr>
        <w:rPr>
          <w:b/>
          <w:bCs/>
        </w:rPr>
      </w:pPr>
      <w:r w:rsidRPr="00AC0137">
        <w:rPr>
          <w:b/>
          <w:bCs/>
        </w:rPr>
        <w:t>Economic</w:t>
      </w:r>
    </w:p>
    <w:p w14:paraId="3719D147" w14:textId="453647E1" w:rsidR="00A36D3A" w:rsidRDefault="00A36D3A" w:rsidP="00AC0137">
      <w:r>
        <w:t xml:space="preserve">The UK economy has been resilient, and the demand </w:t>
      </w:r>
      <w:r w:rsidR="00E0703D">
        <w:t>for</w:t>
      </w:r>
      <w:r>
        <w:t xml:space="preserve"> sustainable commodities has been high despite current inflation and supply chain issues (ONS, 2024). It is estimated that the green economy will develop tremendously as businesses and customers are becoming more concerned about the environment.</w:t>
      </w:r>
      <w:r w:rsidR="00E07D08">
        <w:t xml:space="preserve"> However, these</w:t>
      </w:r>
      <w:r>
        <w:t xml:space="preserve"> may add to the production costs due to high energy costs and unstable costs of raw materials. To curb this, </w:t>
      </w:r>
      <w:r w:rsidR="00E07D08">
        <w:t>GreenFlow</w:t>
      </w:r>
      <w:r>
        <w:t xml:space="preserve"> will seek local sourcing of biodegradable materials to curb dependence on imports and ensure that costs remain constant.</w:t>
      </w:r>
    </w:p>
    <w:p w14:paraId="30F018F9" w14:textId="244E2827" w:rsidR="00A36D3A" w:rsidRPr="00AC0137" w:rsidRDefault="00A36D3A" w:rsidP="00AC0137">
      <w:pPr>
        <w:rPr>
          <w:b/>
          <w:bCs/>
        </w:rPr>
      </w:pPr>
      <w:r w:rsidRPr="00AC0137">
        <w:rPr>
          <w:b/>
          <w:bCs/>
        </w:rPr>
        <w:t>Social</w:t>
      </w:r>
    </w:p>
    <w:p w14:paraId="031362F1" w14:textId="1764B12C" w:rsidR="00A36D3A" w:rsidRDefault="00A36D3A" w:rsidP="00AC0137">
      <w:r>
        <w:t xml:space="preserve">The UK has experienced a shift in consumer preference towards sustainability. </w:t>
      </w:r>
      <w:r w:rsidR="00E07D08">
        <w:t>M</w:t>
      </w:r>
      <w:r>
        <w:t xml:space="preserve">ore than 60% of UK consumers </w:t>
      </w:r>
      <w:r w:rsidR="00E0703D">
        <w:t>take</w:t>
      </w:r>
      <w:r>
        <w:t xml:space="preserve"> into consideration the impact of the environment when it comes to making a purchasing decision, especially those in </w:t>
      </w:r>
      <w:r w:rsidR="00E0703D">
        <w:t>the millennial</w:t>
      </w:r>
      <w:r>
        <w:t xml:space="preserve"> and </w:t>
      </w:r>
      <w:r w:rsidR="00E0703D">
        <w:t>Generation</w:t>
      </w:r>
      <w:r>
        <w:t xml:space="preserve"> Z</w:t>
      </w:r>
      <w:r w:rsidR="00E07D08">
        <w:t xml:space="preserve"> (Deloitte, 2023)</w:t>
      </w:r>
      <w:r>
        <w:t xml:space="preserve">. This increasing level of social consciousness offers a solid customer base to the products of </w:t>
      </w:r>
      <w:r w:rsidR="00E07D08">
        <w:t>GreenFlow</w:t>
      </w:r>
      <w:r>
        <w:t xml:space="preserve">. Moreover, companies are being pressured to prove their social responsibility, and this leads to the B2B demand </w:t>
      </w:r>
      <w:r w:rsidR="00E0703D">
        <w:t>for</w:t>
      </w:r>
      <w:r>
        <w:t xml:space="preserve"> environmentally friendly packaging that complies with corporate sustainability.</w:t>
      </w:r>
    </w:p>
    <w:p w14:paraId="19C7772B" w14:textId="65672999" w:rsidR="00A36D3A" w:rsidRPr="00AC0137" w:rsidRDefault="00A36D3A" w:rsidP="00AC0137">
      <w:pPr>
        <w:rPr>
          <w:b/>
          <w:bCs/>
        </w:rPr>
      </w:pPr>
      <w:r w:rsidRPr="00AC0137">
        <w:rPr>
          <w:b/>
          <w:bCs/>
        </w:rPr>
        <w:t>Technological</w:t>
      </w:r>
    </w:p>
    <w:p w14:paraId="1333D9AA" w14:textId="5C500D8A" w:rsidR="00A36D3A" w:rsidRDefault="00A36D3A" w:rsidP="00AC0137">
      <w:r>
        <w:t xml:space="preserve">Developments in green technology and </w:t>
      </w:r>
      <w:r w:rsidR="00E0703D">
        <w:t>biomaterial</w:t>
      </w:r>
      <w:r>
        <w:t xml:space="preserve"> development have contributed to better biodegradable alternatives by making them more efficient and economical (OECD, 2022). The use of 3D </w:t>
      </w:r>
      <w:proofErr w:type="spellStart"/>
      <w:r>
        <w:t>moulding</w:t>
      </w:r>
      <w:proofErr w:type="spellEnd"/>
      <w:r>
        <w:t xml:space="preserve">, precision manufacturing and energy-efficient production systems is </w:t>
      </w:r>
      <w:r w:rsidR="00E0703D">
        <w:t>one</w:t>
      </w:r>
      <w:r>
        <w:t xml:space="preserve"> of the technologies that enable startups like </w:t>
      </w:r>
      <w:r w:rsidR="00E07D08">
        <w:t>GreenFlow</w:t>
      </w:r>
      <w:r>
        <w:t xml:space="preserve"> to produce </w:t>
      </w:r>
      <w:r w:rsidR="00E0703D">
        <w:t>high-quality</w:t>
      </w:r>
      <w:r>
        <w:t xml:space="preserve"> products with minimal waste. To improve consistency and scalability and remain environmentally friendly, the business will invest in automated production lines.</w:t>
      </w:r>
    </w:p>
    <w:p w14:paraId="473203E2" w14:textId="41B3ACB9" w:rsidR="00A36D3A" w:rsidRPr="00AC0137" w:rsidRDefault="00A36D3A" w:rsidP="00AC0137">
      <w:pPr>
        <w:rPr>
          <w:b/>
          <w:bCs/>
        </w:rPr>
      </w:pPr>
      <w:r w:rsidRPr="00AC0137">
        <w:rPr>
          <w:b/>
          <w:bCs/>
        </w:rPr>
        <w:t>Environmental</w:t>
      </w:r>
    </w:p>
    <w:p w14:paraId="64CBC69F" w14:textId="020DC0B5" w:rsidR="00A36D3A" w:rsidRDefault="00A36D3A" w:rsidP="00AC0137">
      <w:r>
        <w:t xml:space="preserve">The problem of plastic pollution is severe in the UK, where the country produces about 5 million </w:t>
      </w:r>
      <w:r w:rsidR="00E07D08">
        <w:t>tons</w:t>
      </w:r>
      <w:r>
        <w:t xml:space="preserve"> of plastic waste every year, with less than 50 </w:t>
      </w:r>
      <w:r w:rsidR="00E0703D">
        <w:t>percent</w:t>
      </w:r>
      <w:r>
        <w:t xml:space="preserve"> being recycled (DEFRA, 2023). The effect of plastic on the environment of the marine ecosystem and landfill locations has caused more </w:t>
      </w:r>
      <w:r w:rsidR="00E0703D">
        <w:t>demand</w:t>
      </w:r>
      <w:r>
        <w:t xml:space="preserve"> among the population in </w:t>
      </w:r>
      <w:proofErr w:type="spellStart"/>
      <w:r w:rsidR="00E0703D">
        <w:t>favour</w:t>
      </w:r>
      <w:proofErr w:type="spellEnd"/>
      <w:r>
        <w:t xml:space="preserve"> of sustainable solutions. The business model of </w:t>
      </w:r>
      <w:r w:rsidR="00E07D08">
        <w:t>GreenFlow</w:t>
      </w:r>
      <w:r>
        <w:t xml:space="preserve"> is a direct solution to this problem, as it helps to ensure environmental sustainability through the decrease of carbon emissions and </w:t>
      </w:r>
      <w:r w:rsidR="00E0703D">
        <w:t>the increase of</w:t>
      </w:r>
      <w:r>
        <w:t xml:space="preserve"> the use of compostable packaging.</w:t>
      </w:r>
    </w:p>
    <w:p w14:paraId="3BE90B3C" w14:textId="24F5FC64" w:rsidR="00A36D3A" w:rsidRPr="00AC0137" w:rsidRDefault="00A36D3A" w:rsidP="00AC0137">
      <w:pPr>
        <w:rPr>
          <w:b/>
          <w:bCs/>
        </w:rPr>
      </w:pPr>
      <w:r w:rsidRPr="00AC0137">
        <w:rPr>
          <w:b/>
          <w:bCs/>
        </w:rPr>
        <w:t>Legal</w:t>
      </w:r>
    </w:p>
    <w:p w14:paraId="7660C7F2" w14:textId="038C20C3" w:rsidR="00A36D3A" w:rsidRDefault="00A36D3A" w:rsidP="00AC0137">
      <w:r>
        <w:t xml:space="preserve">The Environment Act of 2021 and the Extended </w:t>
      </w:r>
      <w:r w:rsidR="00E0703D">
        <w:t>Producer</w:t>
      </w:r>
      <w:r>
        <w:t xml:space="preserve"> Responsibility (EPR) policy</w:t>
      </w:r>
      <w:r w:rsidR="00E0703D">
        <w:t>,</w:t>
      </w:r>
      <w:r>
        <w:t xml:space="preserve"> as enacted by the UK government</w:t>
      </w:r>
      <w:r w:rsidR="00E0703D">
        <w:t>,</w:t>
      </w:r>
      <w:r>
        <w:t xml:space="preserve"> mandate producers to assume responsibility </w:t>
      </w:r>
      <w:r w:rsidR="00E0703D">
        <w:t>for</w:t>
      </w:r>
      <w:r>
        <w:t xml:space="preserve"> their packaging waste at every stage of its lifecycle. Adherence to these structures will be critical towards the legitimacy and acceptance of </w:t>
      </w:r>
      <w:r w:rsidR="00E07D08">
        <w:t>GreenFlow</w:t>
      </w:r>
      <w:r>
        <w:t xml:space="preserve"> in the market. The company will focus on the British Standards Institution (BSI) environment-related certifications to enhance its brand image and be fully in line with the law.</w:t>
      </w:r>
    </w:p>
    <w:p w14:paraId="2B075770" w14:textId="0445D9EB" w:rsidR="00A36D3A" w:rsidRDefault="00AC0137" w:rsidP="00AC0137">
      <w:pPr>
        <w:pStyle w:val="Heading1"/>
      </w:pPr>
      <w:bookmarkStart w:id="2" w:name="_Toc212311123"/>
      <w:r>
        <w:t xml:space="preserve">3. </w:t>
      </w:r>
      <w:r w:rsidR="00A36D3A">
        <w:t>Marketing Strategies</w:t>
      </w:r>
      <w:bookmarkEnd w:id="2"/>
    </w:p>
    <w:p w14:paraId="7309EE19" w14:textId="4FB30914" w:rsidR="00A36D3A" w:rsidRDefault="00A36D3A" w:rsidP="00AC0137">
      <w:r>
        <w:t xml:space="preserve">The marketing approach of </w:t>
      </w:r>
      <w:r w:rsidR="00E07D08">
        <w:t>GreenFlow</w:t>
      </w:r>
      <w:r>
        <w:t xml:space="preserve"> will be based on differentiation, which will be achieved by sustainability, quality, and brand transparency. To position itself effectively in the UK market, the company will apply the 4Ps of marketing, which include Product, Price, Place, and Promotion.</w:t>
      </w:r>
    </w:p>
    <w:p w14:paraId="25064EE8" w14:textId="77777777" w:rsidR="00A36D3A" w:rsidRPr="00AC0137" w:rsidRDefault="00A36D3A" w:rsidP="00AC0137">
      <w:pPr>
        <w:rPr>
          <w:b/>
          <w:bCs/>
        </w:rPr>
      </w:pPr>
      <w:r w:rsidRPr="00AC0137">
        <w:rPr>
          <w:b/>
          <w:bCs/>
        </w:rPr>
        <w:t>Product:</w:t>
      </w:r>
    </w:p>
    <w:p w14:paraId="7E0DEDE6" w14:textId="4422ADC1" w:rsidR="00A36D3A" w:rsidRDefault="00E07D08" w:rsidP="00AC0137">
      <w:r>
        <w:t>GreenFlow</w:t>
      </w:r>
      <w:r w:rsidR="00A36D3A">
        <w:t xml:space="preserve"> will provide a product line of biodegradable beverage cups, straws, and lids, which will come in different sizes and designs. All products will be manufactured using certified compostable materials that </w:t>
      </w:r>
      <w:r w:rsidR="00E0703D">
        <w:t>degrade</w:t>
      </w:r>
      <w:r w:rsidR="00A36D3A">
        <w:t xml:space="preserve"> in six months. The package will contain eco-labelling and education </w:t>
      </w:r>
      <w:r w:rsidR="00E0703D">
        <w:t>for consumers about proper disposal and the environmental benefits</w:t>
      </w:r>
      <w:r w:rsidR="00A36D3A">
        <w:t>. The combination of quality, affordability and environmental responsibility will be the unique selling proposition (USP) of the company. Business clients will have custom printing options to aid branding requirements.</w:t>
      </w:r>
    </w:p>
    <w:p w14:paraId="1950C75E" w14:textId="77777777" w:rsidR="00A36D3A" w:rsidRPr="00AC0137" w:rsidRDefault="00A36D3A" w:rsidP="00AC0137">
      <w:pPr>
        <w:rPr>
          <w:b/>
          <w:bCs/>
        </w:rPr>
      </w:pPr>
      <w:r w:rsidRPr="00AC0137">
        <w:rPr>
          <w:b/>
          <w:bCs/>
        </w:rPr>
        <w:t>Price:</w:t>
      </w:r>
    </w:p>
    <w:p w14:paraId="6A748B24" w14:textId="6C99CE29" w:rsidR="00A36D3A" w:rsidRDefault="00E07D08" w:rsidP="00AC0137">
      <w:r>
        <w:t>GreenFlow</w:t>
      </w:r>
      <w:r w:rsidR="00A36D3A">
        <w:t xml:space="preserve"> will implement a penetration pricing model </w:t>
      </w:r>
      <w:r w:rsidR="00E0703D">
        <w:t>to</w:t>
      </w:r>
      <w:r w:rsidR="00A36D3A">
        <w:t xml:space="preserve"> enter the market and find partners among independent cafes, restaurant chains, and eco-friendly retailers (Kotler et al., 2022). In the </w:t>
      </w:r>
      <w:r w:rsidR="00E0703D">
        <w:t>long term</w:t>
      </w:r>
      <w:r w:rsidR="00A36D3A">
        <w:t xml:space="preserve">, as soon as customer loyalty is established, the company will switch to value-based pricing, which will correspond to the high level of quality and environmental friendliness of the products. The business will also provide volume discounts, loyalty programs and </w:t>
      </w:r>
      <w:r w:rsidR="00E0703D">
        <w:t>long-term</w:t>
      </w:r>
      <w:r w:rsidR="00A36D3A">
        <w:t xml:space="preserve"> contract incentives to business clients to guarantee recurring revenue.</w:t>
      </w:r>
    </w:p>
    <w:p w14:paraId="140AC291" w14:textId="193ADC09" w:rsidR="00A36D3A" w:rsidRPr="00AC0137" w:rsidRDefault="00A36D3A" w:rsidP="00AC0137">
      <w:pPr>
        <w:rPr>
          <w:b/>
          <w:bCs/>
        </w:rPr>
      </w:pPr>
      <w:r w:rsidRPr="00AC0137">
        <w:rPr>
          <w:b/>
          <w:bCs/>
        </w:rPr>
        <w:t>Place:</w:t>
      </w:r>
    </w:p>
    <w:p w14:paraId="77EEF5D5" w14:textId="69B99BBF" w:rsidR="00A36D3A" w:rsidRDefault="00A36D3A" w:rsidP="00AC0137">
      <w:r>
        <w:t xml:space="preserve">A hybrid distribution model is to be used in the company, which will be a combination of business-to-business (B2B) and business-to-consumer (B2C) channels. B2B distribution will target the establishment of partnerships with cafe chains, corporate offices, and hospitality businesses, whereas B2C sales will be supported by an online shop and third-party services, including Amazon UK, Etsy, and online retailers that are environmentally friendly. The employment of a logistics partner that is dedicated to carbon-neutral delivery will be in line with the sustainability ethos of </w:t>
      </w:r>
      <w:r w:rsidR="00E07D08">
        <w:t>GreenFlow</w:t>
      </w:r>
      <w:r>
        <w:t>.</w:t>
      </w:r>
    </w:p>
    <w:p w14:paraId="21FAA16C" w14:textId="7EDCCE9A" w:rsidR="0053343B" w:rsidRPr="00A36D3A" w:rsidRDefault="0053343B" w:rsidP="00AC0137">
      <w:pPr>
        <w:rPr>
          <w:b/>
          <w:bCs/>
        </w:rPr>
      </w:pPr>
      <w:r w:rsidRPr="00A36D3A">
        <w:rPr>
          <w:b/>
          <w:bCs/>
        </w:rPr>
        <w:t>Promotion:</w:t>
      </w:r>
    </w:p>
    <w:p w14:paraId="5F5B7C86" w14:textId="514BBEF9" w:rsidR="00A36D3A" w:rsidRDefault="00A36D3A" w:rsidP="00AC0137">
      <w:r>
        <w:t xml:space="preserve">The promotional campaign of </w:t>
      </w:r>
      <w:r w:rsidR="00E07D08">
        <w:t>GreenFlow</w:t>
      </w:r>
      <w:r>
        <w:t xml:space="preserve"> will focus on environmental education, product transparency, and community involvement. Digital marketing will be used by the company to create brand awareness, mainly via social media, such as Instagram, LinkedIn, and </w:t>
      </w:r>
      <w:r w:rsidR="00E0703D">
        <w:t>TikTok</w:t>
      </w:r>
      <w:r>
        <w:t>, to reach consumers who are conscious of the environment. Sustainability influencer partnership will increase credibility and reach.</w:t>
      </w:r>
    </w:p>
    <w:p w14:paraId="4AF60202" w14:textId="6454B118" w:rsidR="00A36D3A" w:rsidRDefault="00A36D3A" w:rsidP="00AC0137">
      <w:r>
        <w:t xml:space="preserve">Offline marketing will involve attending sustainability expos, trade fairs, and other local community events like The Sustainability Show London. Its eco-friendly message will be </w:t>
      </w:r>
      <w:r w:rsidR="00E0703D">
        <w:t>summarised</w:t>
      </w:r>
      <w:r>
        <w:t xml:space="preserve"> in the brand slogan Sip Smart, Save the Planet (Armstrong and Cunningham, 2022).</w:t>
      </w:r>
    </w:p>
    <w:p w14:paraId="5BF5436C" w14:textId="7184F72F" w:rsidR="00A36D3A" w:rsidRDefault="00A36D3A" w:rsidP="00AC0137">
      <w:r>
        <w:t xml:space="preserve">Moreover, </w:t>
      </w:r>
      <w:r w:rsidR="00E07D08">
        <w:t>GreenFlow</w:t>
      </w:r>
      <w:r>
        <w:t xml:space="preserve"> will embrace corporate social responsibility (CSR) by partnering with local UK environmental charities. The company will donate to reforestation initiatives or community waste </w:t>
      </w:r>
      <w:proofErr w:type="spellStart"/>
      <w:r w:rsidR="00E0703D">
        <w:t>minimisation</w:t>
      </w:r>
      <w:proofErr w:type="spellEnd"/>
      <w:r>
        <w:t xml:space="preserve"> efforts </w:t>
      </w:r>
      <w:r w:rsidR="00E0703D">
        <w:t>for</w:t>
      </w:r>
      <w:r>
        <w:t xml:space="preserve"> each 1000 items sold. This approach will enhance brand reputation as well as customer trust and loyalty.</w:t>
      </w:r>
    </w:p>
    <w:p w14:paraId="0A4A846D" w14:textId="46155491" w:rsidR="00A36D3A" w:rsidRDefault="00A36D3A" w:rsidP="00AC0137">
      <w:pPr>
        <w:pStyle w:val="Heading1"/>
      </w:pPr>
      <w:bookmarkStart w:id="3" w:name="_Toc212311124"/>
      <w:r>
        <w:t>4. Funding Requirements and Startup Expenses</w:t>
      </w:r>
      <w:bookmarkEnd w:id="3"/>
    </w:p>
    <w:p w14:paraId="59A23FA8" w14:textId="7B9DB355" w:rsidR="00A36D3A" w:rsidRDefault="00E07D08" w:rsidP="00AC0137">
      <w:r>
        <w:t>GreenFlow</w:t>
      </w:r>
      <w:r w:rsidR="00A36D3A">
        <w:t xml:space="preserve"> Solutions UK will need to be funded with an estimated </w:t>
      </w:r>
      <w:r w:rsidR="00E0703D">
        <w:t>120,000</w:t>
      </w:r>
      <w:r w:rsidR="00A36D3A">
        <w:t xml:space="preserve"> to help set up, produce, market and run the business within the initial three months.</w:t>
      </w:r>
    </w:p>
    <w:p w14:paraId="27A1FA6E" w14:textId="0838121D" w:rsidR="0053343B" w:rsidRDefault="00A36D3A" w:rsidP="00AC0137">
      <w:pPr>
        <w:pStyle w:val="Heading2"/>
      </w:pPr>
      <w:bookmarkStart w:id="4" w:name="_Toc212311125"/>
      <w:r>
        <w:t>Estimated initial start-up cost:</w:t>
      </w:r>
      <w:bookmarkEnd w:id="4"/>
    </w:p>
    <w:tbl>
      <w:tblPr>
        <w:tblStyle w:val="TableGrid"/>
        <w:tblW w:w="0" w:type="auto"/>
        <w:tblLook w:val="04A0" w:firstRow="1" w:lastRow="0" w:firstColumn="1" w:lastColumn="0" w:noHBand="0" w:noVBand="1"/>
      </w:tblPr>
      <w:tblGrid>
        <w:gridCol w:w="6374"/>
        <w:gridCol w:w="2976"/>
      </w:tblGrid>
      <w:tr w:rsidR="00BF263C" w14:paraId="422253B1" w14:textId="77777777" w:rsidTr="00E07D08">
        <w:tc>
          <w:tcPr>
            <w:tcW w:w="6374" w:type="dxa"/>
          </w:tcPr>
          <w:p w14:paraId="24A93240" w14:textId="0D354223" w:rsidR="00BF263C" w:rsidRPr="00E07D08" w:rsidRDefault="00BF263C" w:rsidP="00E07D08">
            <w:pPr>
              <w:jc w:val="center"/>
              <w:rPr>
                <w:b/>
                <w:bCs/>
              </w:rPr>
            </w:pPr>
            <w:r w:rsidRPr="00E07D08">
              <w:rPr>
                <w:b/>
                <w:bCs/>
              </w:rPr>
              <w:t>Expense Category</w:t>
            </w:r>
          </w:p>
        </w:tc>
        <w:tc>
          <w:tcPr>
            <w:tcW w:w="2976" w:type="dxa"/>
          </w:tcPr>
          <w:p w14:paraId="09F975A1" w14:textId="4F36F22F" w:rsidR="00BF263C" w:rsidRPr="00E07D08" w:rsidRDefault="00BF263C" w:rsidP="00E07D08">
            <w:pPr>
              <w:jc w:val="center"/>
              <w:rPr>
                <w:b/>
                <w:bCs/>
              </w:rPr>
            </w:pPr>
            <w:r w:rsidRPr="00E07D08">
              <w:rPr>
                <w:b/>
                <w:bCs/>
              </w:rPr>
              <w:t>Estimated Cost (£)</w:t>
            </w:r>
          </w:p>
        </w:tc>
      </w:tr>
      <w:tr w:rsidR="00BF263C" w14:paraId="56BD88FA" w14:textId="77777777" w:rsidTr="00E07D08">
        <w:tc>
          <w:tcPr>
            <w:tcW w:w="6374" w:type="dxa"/>
          </w:tcPr>
          <w:p w14:paraId="39F17B9A" w14:textId="09F5DB21" w:rsidR="00BF263C" w:rsidRDefault="00BF263C" w:rsidP="00AC0137">
            <w:r w:rsidRPr="00AE55AD">
              <w:t>Equipment and Machinery</w:t>
            </w:r>
          </w:p>
        </w:tc>
        <w:tc>
          <w:tcPr>
            <w:tcW w:w="2976" w:type="dxa"/>
          </w:tcPr>
          <w:p w14:paraId="001F95AC" w14:textId="0DECB962" w:rsidR="00BF263C" w:rsidRDefault="00A36D3A" w:rsidP="00E07D08">
            <w:pPr>
              <w:jc w:val="center"/>
            </w:pPr>
            <w:r>
              <w:t>40</w:t>
            </w:r>
            <w:r w:rsidR="00BF263C" w:rsidRPr="00AE55AD">
              <w:t>,000</w:t>
            </w:r>
          </w:p>
        </w:tc>
      </w:tr>
      <w:tr w:rsidR="00BF263C" w14:paraId="545028E9" w14:textId="77777777" w:rsidTr="00E07D08">
        <w:tc>
          <w:tcPr>
            <w:tcW w:w="6374" w:type="dxa"/>
          </w:tcPr>
          <w:p w14:paraId="403CC014" w14:textId="4B0230C7" w:rsidR="00BF263C" w:rsidRDefault="00BF263C" w:rsidP="00AC0137">
            <w:r w:rsidRPr="00AE55AD">
              <w:t>Raw Materials (first month)</w:t>
            </w:r>
          </w:p>
        </w:tc>
        <w:tc>
          <w:tcPr>
            <w:tcW w:w="2976" w:type="dxa"/>
          </w:tcPr>
          <w:p w14:paraId="75A19EA5" w14:textId="10D28BDD" w:rsidR="00BF263C" w:rsidRDefault="00A36D3A" w:rsidP="00E07D08">
            <w:pPr>
              <w:jc w:val="center"/>
            </w:pPr>
            <w:r>
              <w:t>20</w:t>
            </w:r>
            <w:r w:rsidR="00BF263C" w:rsidRPr="00AE55AD">
              <w:t>,000</w:t>
            </w:r>
          </w:p>
        </w:tc>
      </w:tr>
      <w:tr w:rsidR="00BF263C" w14:paraId="513A6C0C" w14:textId="77777777" w:rsidTr="00E07D08">
        <w:tc>
          <w:tcPr>
            <w:tcW w:w="6374" w:type="dxa"/>
          </w:tcPr>
          <w:p w14:paraId="223E4DFC" w14:textId="22EB82E3" w:rsidR="00BF263C" w:rsidRDefault="00BF263C" w:rsidP="00AC0137">
            <w:r w:rsidRPr="00AE55AD">
              <w:t>Rent and Utilities</w:t>
            </w:r>
          </w:p>
        </w:tc>
        <w:tc>
          <w:tcPr>
            <w:tcW w:w="2976" w:type="dxa"/>
          </w:tcPr>
          <w:p w14:paraId="4B428022" w14:textId="25F655A8" w:rsidR="00BF263C" w:rsidRDefault="00BF263C" w:rsidP="00E07D08">
            <w:pPr>
              <w:jc w:val="center"/>
            </w:pPr>
            <w:r w:rsidRPr="00AE55AD">
              <w:t>1</w:t>
            </w:r>
            <w:r w:rsidR="00A36D3A">
              <w:t>2</w:t>
            </w:r>
            <w:r w:rsidRPr="00AE55AD">
              <w:t>,000</w:t>
            </w:r>
          </w:p>
        </w:tc>
      </w:tr>
      <w:tr w:rsidR="00BF263C" w14:paraId="71790DED" w14:textId="77777777" w:rsidTr="00E07D08">
        <w:tc>
          <w:tcPr>
            <w:tcW w:w="6374" w:type="dxa"/>
          </w:tcPr>
          <w:p w14:paraId="494FDE14" w14:textId="32BAB646" w:rsidR="00BF263C" w:rsidRDefault="00BF263C" w:rsidP="00AC0137">
            <w:r w:rsidRPr="00AE55AD">
              <w:t>Marketing and Promotion</w:t>
            </w:r>
          </w:p>
        </w:tc>
        <w:tc>
          <w:tcPr>
            <w:tcW w:w="2976" w:type="dxa"/>
          </w:tcPr>
          <w:p w14:paraId="18077751" w14:textId="2F745112" w:rsidR="00BF263C" w:rsidRDefault="00BF263C" w:rsidP="00E07D08">
            <w:pPr>
              <w:jc w:val="center"/>
            </w:pPr>
            <w:r w:rsidRPr="00AE55AD">
              <w:t>1</w:t>
            </w:r>
            <w:r w:rsidR="00A36D3A">
              <w:t>8</w:t>
            </w:r>
            <w:r w:rsidRPr="00AE55AD">
              <w:t>,000</w:t>
            </w:r>
          </w:p>
        </w:tc>
      </w:tr>
      <w:tr w:rsidR="00BF263C" w14:paraId="0A22523D" w14:textId="77777777" w:rsidTr="00E07D08">
        <w:tc>
          <w:tcPr>
            <w:tcW w:w="6374" w:type="dxa"/>
          </w:tcPr>
          <w:p w14:paraId="4C184372" w14:textId="60B7A6A2" w:rsidR="00BF263C" w:rsidRDefault="00BF263C" w:rsidP="00AC0137">
            <w:r w:rsidRPr="00AE55AD">
              <w:t>Staff Salaries (first month)</w:t>
            </w:r>
          </w:p>
        </w:tc>
        <w:tc>
          <w:tcPr>
            <w:tcW w:w="2976" w:type="dxa"/>
          </w:tcPr>
          <w:p w14:paraId="59E03A1D" w14:textId="4C0679D0" w:rsidR="00BF263C" w:rsidRDefault="00BF263C" w:rsidP="00E07D08">
            <w:pPr>
              <w:jc w:val="center"/>
            </w:pPr>
            <w:r w:rsidRPr="00AE55AD">
              <w:t>1</w:t>
            </w:r>
            <w:r w:rsidR="00A36D3A">
              <w:t>8</w:t>
            </w:r>
            <w:r w:rsidRPr="00AE55AD">
              <w:t>,000</w:t>
            </w:r>
          </w:p>
        </w:tc>
      </w:tr>
      <w:tr w:rsidR="00BF263C" w14:paraId="0B8986FE" w14:textId="77777777" w:rsidTr="00E07D08">
        <w:tc>
          <w:tcPr>
            <w:tcW w:w="6374" w:type="dxa"/>
          </w:tcPr>
          <w:p w14:paraId="61B9B09F" w14:textId="5C7EF2D0" w:rsidR="00BF263C" w:rsidRDefault="00BF263C" w:rsidP="00AC0137">
            <w:r w:rsidRPr="00AE55AD">
              <w:t>Legal and Registration Fees</w:t>
            </w:r>
          </w:p>
        </w:tc>
        <w:tc>
          <w:tcPr>
            <w:tcW w:w="2976" w:type="dxa"/>
          </w:tcPr>
          <w:p w14:paraId="2BB9A206" w14:textId="411160CC" w:rsidR="00BF263C" w:rsidRDefault="00A36D3A" w:rsidP="00E07D08">
            <w:pPr>
              <w:jc w:val="center"/>
            </w:pPr>
            <w:r>
              <w:t>6</w:t>
            </w:r>
            <w:r w:rsidR="00BF263C" w:rsidRPr="00AE55AD">
              <w:t>,000</w:t>
            </w:r>
          </w:p>
        </w:tc>
      </w:tr>
      <w:tr w:rsidR="00BF263C" w14:paraId="78989231" w14:textId="77777777" w:rsidTr="00E07D08">
        <w:tc>
          <w:tcPr>
            <w:tcW w:w="6374" w:type="dxa"/>
          </w:tcPr>
          <w:p w14:paraId="360C6457" w14:textId="6BA6831A" w:rsidR="00BF263C" w:rsidRDefault="00BF263C" w:rsidP="00AC0137">
            <w:r w:rsidRPr="00AE55AD">
              <w:t>Miscellaneous Expenses</w:t>
            </w:r>
          </w:p>
        </w:tc>
        <w:tc>
          <w:tcPr>
            <w:tcW w:w="2976" w:type="dxa"/>
          </w:tcPr>
          <w:p w14:paraId="14721B93" w14:textId="7885621E" w:rsidR="00BF263C" w:rsidRDefault="00A36D3A" w:rsidP="00E07D08">
            <w:pPr>
              <w:jc w:val="center"/>
            </w:pPr>
            <w:r>
              <w:t>6</w:t>
            </w:r>
            <w:r w:rsidR="00BF263C" w:rsidRPr="00AE55AD">
              <w:t>,000</w:t>
            </w:r>
          </w:p>
        </w:tc>
      </w:tr>
      <w:tr w:rsidR="00BF263C" w14:paraId="7B6C5B5E" w14:textId="77777777" w:rsidTr="00E07D08">
        <w:tc>
          <w:tcPr>
            <w:tcW w:w="6374" w:type="dxa"/>
          </w:tcPr>
          <w:p w14:paraId="102D600F" w14:textId="1ED296A5" w:rsidR="00BF263C" w:rsidRPr="00E07D08" w:rsidRDefault="00BF263C" w:rsidP="00AC0137">
            <w:pPr>
              <w:rPr>
                <w:b/>
                <w:bCs/>
              </w:rPr>
            </w:pPr>
            <w:r w:rsidRPr="00E07D08">
              <w:rPr>
                <w:b/>
                <w:bCs/>
              </w:rPr>
              <w:t>Total Estimated Cost</w:t>
            </w:r>
          </w:p>
        </w:tc>
        <w:tc>
          <w:tcPr>
            <w:tcW w:w="2976" w:type="dxa"/>
          </w:tcPr>
          <w:p w14:paraId="37CAD579" w14:textId="3DB0B65A" w:rsidR="00BF263C" w:rsidRDefault="00BF263C" w:rsidP="00E07D08">
            <w:pPr>
              <w:jc w:val="center"/>
            </w:pPr>
            <w:r w:rsidRPr="00AE55AD">
              <w:t>1</w:t>
            </w:r>
            <w:r w:rsidR="00A36D3A">
              <w:t>2</w:t>
            </w:r>
            <w:r w:rsidRPr="00AE55AD">
              <w:t>0,000</w:t>
            </w:r>
          </w:p>
        </w:tc>
      </w:tr>
    </w:tbl>
    <w:p w14:paraId="3CB58174" w14:textId="77777777" w:rsidR="00570C0A" w:rsidRDefault="00570C0A" w:rsidP="00AC0137">
      <w:pPr>
        <w:pStyle w:val="Heading2"/>
      </w:pPr>
      <w:bookmarkStart w:id="5" w:name="_Toc212311126"/>
      <w:r>
        <w:t>Funding Sources:</w:t>
      </w:r>
      <w:bookmarkEnd w:id="5"/>
    </w:p>
    <w:p w14:paraId="1A340101" w14:textId="22893EC7" w:rsidR="00570C0A" w:rsidRDefault="00570C0A" w:rsidP="00AC0137">
      <w:r>
        <w:t xml:space="preserve">The business will be funded by personal capital (40 </w:t>
      </w:r>
      <w:r w:rsidR="00E0703D">
        <w:t>percent</w:t>
      </w:r>
      <w:r>
        <w:t xml:space="preserve">) and external sources (60 </w:t>
      </w:r>
      <w:r w:rsidR="00E0703D">
        <w:t>percent</w:t>
      </w:r>
      <w:r>
        <w:t xml:space="preserve">). </w:t>
      </w:r>
      <w:r w:rsidR="00E07D08">
        <w:t>GreenFlow</w:t>
      </w:r>
      <w:r>
        <w:t xml:space="preserve"> will apply to the UK Government Start Up Loan Scheme and request green finance through the Carbon Trust Green Business Fund and Sustainable Innovation Fund of the British Business Bank (UK Government, 2023). Privately owned investors interested in environmental sustainability shall also be targeted.</w:t>
      </w:r>
    </w:p>
    <w:p w14:paraId="116E1BF0" w14:textId="588B9AA6" w:rsidR="00570C0A" w:rsidRDefault="00570C0A" w:rsidP="00AC0137">
      <w:r>
        <w:t xml:space="preserve">The capital will be </w:t>
      </w:r>
      <w:proofErr w:type="spellStart"/>
      <w:r w:rsidR="00E0703D">
        <w:t>utilised</w:t>
      </w:r>
      <w:proofErr w:type="spellEnd"/>
      <w:r>
        <w:t xml:space="preserve"> in equipment acquisition, the lease of production facility, staffing, marketing and working capital. </w:t>
      </w:r>
      <w:r w:rsidR="00E07D08">
        <w:t>GreenFlow</w:t>
      </w:r>
      <w:r>
        <w:t xml:space="preserve"> is projected to reach its breakeven point in 18-24 months due to the gradual increase in B2B partnerships and online sales growth. Future research, product diversification, and European market expansion will be financed by profit reinvestment.</w:t>
      </w:r>
    </w:p>
    <w:p w14:paraId="56BC7A89" w14:textId="41827D7F" w:rsidR="00570C0A" w:rsidRDefault="00570C0A" w:rsidP="00AC0137">
      <w:pPr>
        <w:pStyle w:val="Heading1"/>
      </w:pPr>
      <w:bookmarkStart w:id="6" w:name="_Toc212311127"/>
      <w:r>
        <w:t>5. Conclusion</w:t>
      </w:r>
      <w:bookmarkEnd w:id="6"/>
    </w:p>
    <w:p w14:paraId="70D3879A" w14:textId="7DC3E8B4" w:rsidR="00570C0A" w:rsidRDefault="00E07D08" w:rsidP="00AC0137">
      <w:r>
        <w:t>GreenFlow</w:t>
      </w:r>
      <w:r w:rsidR="00570C0A">
        <w:t xml:space="preserve"> Solutions UK offers a robust, innovative and socially beneficial business proposal that is in line with the consumer trends, as well as the government sustainability goals. The business is a solution to the urgent problem of plastic pollution, offering a viable, affordable, and eco-friendly biodegradable beverage packaging.</w:t>
      </w:r>
    </w:p>
    <w:p w14:paraId="7E0602F9" w14:textId="3B5D20BB" w:rsidR="00570C0A" w:rsidRDefault="00570C0A" w:rsidP="00AC0137">
      <w:r>
        <w:t xml:space="preserve">Having a clear management framework, good marketing strategy, and clear financial planning, </w:t>
      </w:r>
      <w:r w:rsidR="00E07D08">
        <w:t>GreenFlow</w:t>
      </w:r>
      <w:r>
        <w:t xml:space="preserve"> can be viable and profitable in the long term. It corresponds to the existing political, social, and environmental priorities</w:t>
      </w:r>
      <w:r w:rsidR="00E0703D">
        <w:t>,</w:t>
      </w:r>
      <w:r>
        <w:t xml:space="preserve"> which makes it </w:t>
      </w:r>
      <w:r w:rsidR="00E0703D">
        <w:t>increases</w:t>
      </w:r>
      <w:r>
        <w:t xml:space="preserve"> its growth potential in the UK green economy.</w:t>
      </w:r>
    </w:p>
    <w:p w14:paraId="483A3B32" w14:textId="43B10512" w:rsidR="0053343B" w:rsidRDefault="00570C0A" w:rsidP="00AC0137">
      <w:r>
        <w:t xml:space="preserve">Through innovation, operational efficiency, and social responsibility, </w:t>
      </w:r>
      <w:r w:rsidR="00E07D08">
        <w:t>GreenFlow</w:t>
      </w:r>
      <w:r>
        <w:t xml:space="preserve"> Solutions UK will be able to position itself as a leader in the business of sustainable packaging. The decision to </w:t>
      </w:r>
      <w:r w:rsidR="00E0703D">
        <w:t>minimise</w:t>
      </w:r>
      <w:r>
        <w:t xml:space="preserve"> </w:t>
      </w:r>
      <w:r w:rsidR="00E0703D">
        <w:t>waste</w:t>
      </w:r>
      <w:r>
        <w:t xml:space="preserve"> and advance the </w:t>
      </w:r>
      <w:r w:rsidR="00E0703D">
        <w:t>circular</w:t>
      </w:r>
      <w:r>
        <w:t xml:space="preserve"> economy will have a positive impact on the environment and enhance the reputation of the company among consumers and investors.</w:t>
      </w:r>
    </w:p>
    <w:p w14:paraId="0000630B" w14:textId="77777777" w:rsidR="00BF263C" w:rsidRDefault="00BF263C" w:rsidP="00AC0137">
      <w:pPr>
        <w:rPr>
          <w:b/>
          <w:bCs/>
        </w:rPr>
      </w:pPr>
      <w:r>
        <w:rPr>
          <w:b/>
          <w:bCs/>
        </w:rPr>
        <w:br w:type="page"/>
      </w:r>
    </w:p>
    <w:p w14:paraId="7CFDD9F5" w14:textId="67EFEAEA" w:rsidR="0053343B" w:rsidRDefault="00C27C40" w:rsidP="00AC0137">
      <w:pPr>
        <w:pStyle w:val="Heading1"/>
      </w:pPr>
      <w:bookmarkStart w:id="7" w:name="_Toc212311128"/>
      <w:r>
        <w:t xml:space="preserve">6. </w:t>
      </w:r>
      <w:r w:rsidR="0053343B" w:rsidRPr="00BF263C">
        <w:t>Reference</w:t>
      </w:r>
      <w:bookmarkEnd w:id="7"/>
      <w:r w:rsidR="00E07D08">
        <w:t>s</w:t>
      </w:r>
      <w:r w:rsidR="0053343B" w:rsidRPr="00BF263C">
        <w:t xml:space="preserve"> </w:t>
      </w:r>
    </w:p>
    <w:p w14:paraId="5EDC09CA" w14:textId="136438C6" w:rsidR="0053343B" w:rsidRDefault="0053343B" w:rsidP="00E07D08">
      <w:r>
        <w:t>Armstrong, G. and Cunningham, M. (2022)</w:t>
      </w:r>
      <w:r w:rsidR="00E0703D">
        <w:t>.</w:t>
      </w:r>
      <w:r>
        <w:t xml:space="preserve"> Principles of Marketing. 19th </w:t>
      </w:r>
      <w:proofErr w:type="spellStart"/>
      <w:r>
        <w:t>edn</w:t>
      </w:r>
      <w:proofErr w:type="spellEnd"/>
      <w:r>
        <w:t>. Harlow: Pearson Education.</w:t>
      </w:r>
    </w:p>
    <w:p w14:paraId="067C5C77" w14:textId="7F8B236A" w:rsidR="0053343B" w:rsidRDefault="0053343B" w:rsidP="00E07D08">
      <w:r>
        <w:t>Burns, P. (2016)</w:t>
      </w:r>
      <w:r w:rsidR="00E0703D">
        <w:t>.</w:t>
      </w:r>
      <w:r>
        <w:t xml:space="preserve"> Entrepreneurship and Small Business. 4th </w:t>
      </w:r>
      <w:proofErr w:type="spellStart"/>
      <w:r>
        <w:t>edn</w:t>
      </w:r>
      <w:proofErr w:type="spellEnd"/>
      <w:r>
        <w:t>. London: Palgrave Macmillan.</w:t>
      </w:r>
    </w:p>
    <w:p w14:paraId="0B8EF7F1" w14:textId="5FC32E43" w:rsidR="0053343B" w:rsidRDefault="0053343B" w:rsidP="00E07D08">
      <w:r>
        <w:t>Department for Environment, Food and Rural Affairs (DEFRA). (2023)</w:t>
      </w:r>
      <w:r w:rsidR="00E07D08">
        <w:t>.</w:t>
      </w:r>
      <w:r>
        <w:t xml:space="preserve"> Policy Paper: Single-Use Plastics Ban in England. London: DEFRA.</w:t>
      </w:r>
    </w:p>
    <w:p w14:paraId="264A991C" w14:textId="5DD29755" w:rsidR="0053343B" w:rsidRDefault="0053343B" w:rsidP="00E07D08">
      <w:r>
        <w:t>Deloitte. (2023)</w:t>
      </w:r>
      <w:r w:rsidR="00E07D08">
        <w:t>.</w:t>
      </w:r>
      <w:r>
        <w:t xml:space="preserve"> Sustainable Consumer 2023: UK Edition. London: Deloitte Insights.</w:t>
      </w:r>
    </w:p>
    <w:p w14:paraId="3F9CA3A5" w14:textId="00774163" w:rsidR="0053343B" w:rsidRDefault="0053343B" w:rsidP="00E07D08">
      <w:r>
        <w:t>Kotler, P., Keller, K. and Chernev, A. (2022)</w:t>
      </w:r>
      <w:r w:rsidR="00E0703D">
        <w:t>.</w:t>
      </w:r>
      <w:r>
        <w:t xml:space="preserve"> Marketing Management. 16th </w:t>
      </w:r>
      <w:proofErr w:type="spellStart"/>
      <w:r>
        <w:t>edn</w:t>
      </w:r>
      <w:proofErr w:type="spellEnd"/>
      <w:r>
        <w:t>. Harlow: Pearson.</w:t>
      </w:r>
    </w:p>
    <w:p w14:paraId="3FB9A389" w14:textId="73046D4B" w:rsidR="0053343B" w:rsidRDefault="0053343B" w:rsidP="00E07D08">
      <w:r>
        <w:t>Organisation for Economic Co-operation and Development (OECD). (2022)</w:t>
      </w:r>
      <w:r w:rsidR="00E07D08">
        <w:t>.</w:t>
      </w:r>
      <w:r>
        <w:t xml:space="preserve"> Innovation and Sustainability in Manufacturing. Paris: OECD Publishing.</w:t>
      </w:r>
    </w:p>
    <w:p w14:paraId="1BF67F0A" w14:textId="0BE1D926" w:rsidR="0053343B" w:rsidRDefault="0053343B" w:rsidP="00E07D08">
      <w:r>
        <w:t>Office for National Statistics (ONS). (2024)</w:t>
      </w:r>
      <w:r w:rsidR="00E07D08">
        <w:t>.</w:t>
      </w:r>
      <w:r>
        <w:t xml:space="preserve"> UK Economic Outlook: Inflation and Green Growth. London: ONS.</w:t>
      </w:r>
    </w:p>
    <w:p w14:paraId="68C4CD88" w14:textId="725446DE" w:rsidR="00075AC0" w:rsidRPr="0053343B" w:rsidRDefault="0053343B" w:rsidP="00E07D08">
      <w:r>
        <w:t>UK Government. (2023)</w:t>
      </w:r>
      <w:r w:rsidR="00E07D08">
        <w:t>.</w:t>
      </w:r>
      <w:r>
        <w:t xml:space="preserve"> Start Up Loans and Green Business Funding Schemes. London: HM Government.</w:t>
      </w:r>
    </w:p>
    <w:sectPr w:rsidR="00075AC0" w:rsidRPr="0053343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77CE6" w14:textId="77777777" w:rsidR="00A16A30" w:rsidRDefault="00A16A30" w:rsidP="00E20DBE">
      <w:pPr>
        <w:spacing w:line="240" w:lineRule="auto"/>
      </w:pPr>
      <w:r>
        <w:separator/>
      </w:r>
    </w:p>
  </w:endnote>
  <w:endnote w:type="continuationSeparator" w:id="0">
    <w:p w14:paraId="41F11C9B" w14:textId="77777777" w:rsidR="00A16A30" w:rsidRDefault="00A16A30" w:rsidP="00E20D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1351049"/>
      <w:docPartObj>
        <w:docPartGallery w:val="Page Numbers (Bottom of Page)"/>
        <w:docPartUnique/>
      </w:docPartObj>
    </w:sdtPr>
    <w:sdtEndPr>
      <w:rPr>
        <w:noProof/>
      </w:rPr>
    </w:sdtEndPr>
    <w:sdtContent>
      <w:p w14:paraId="6CB4E3E4" w14:textId="3ECDF79E" w:rsidR="00E20DBE" w:rsidRDefault="00E20D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353863" w14:textId="77777777" w:rsidR="00E20DBE" w:rsidRDefault="00E20D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65DC4" w14:textId="77777777" w:rsidR="00A16A30" w:rsidRDefault="00A16A30" w:rsidP="00E20DBE">
      <w:pPr>
        <w:spacing w:line="240" w:lineRule="auto"/>
      </w:pPr>
      <w:r>
        <w:separator/>
      </w:r>
    </w:p>
  </w:footnote>
  <w:footnote w:type="continuationSeparator" w:id="0">
    <w:p w14:paraId="16C26A94" w14:textId="77777777" w:rsidR="00A16A30" w:rsidRDefault="00A16A30" w:rsidP="00E20DB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43B"/>
    <w:rsid w:val="00075AC0"/>
    <w:rsid w:val="000C48DA"/>
    <w:rsid w:val="001143EE"/>
    <w:rsid w:val="00163D1A"/>
    <w:rsid w:val="002240E7"/>
    <w:rsid w:val="002A354A"/>
    <w:rsid w:val="00334668"/>
    <w:rsid w:val="003F03F9"/>
    <w:rsid w:val="00437B8A"/>
    <w:rsid w:val="004F6245"/>
    <w:rsid w:val="0053343B"/>
    <w:rsid w:val="00570C0A"/>
    <w:rsid w:val="00584F11"/>
    <w:rsid w:val="006C42AF"/>
    <w:rsid w:val="0079075D"/>
    <w:rsid w:val="00893F07"/>
    <w:rsid w:val="009C04EB"/>
    <w:rsid w:val="00A16A30"/>
    <w:rsid w:val="00A36D3A"/>
    <w:rsid w:val="00AC0137"/>
    <w:rsid w:val="00B2478B"/>
    <w:rsid w:val="00B50D2A"/>
    <w:rsid w:val="00BF263C"/>
    <w:rsid w:val="00C27C40"/>
    <w:rsid w:val="00C7317E"/>
    <w:rsid w:val="00C90632"/>
    <w:rsid w:val="00E0703D"/>
    <w:rsid w:val="00E07D08"/>
    <w:rsid w:val="00E12CF7"/>
    <w:rsid w:val="00E20DBE"/>
    <w:rsid w:val="00F47BC1"/>
    <w:rsid w:val="00F84A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571886"/>
  <w15:chartTrackingRefBased/>
  <w15:docId w15:val="{C10D345B-076A-4213-9983-8AAAB07D0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D2A"/>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E0703D"/>
    <w:pPr>
      <w:keepNext/>
      <w:keepLines/>
      <w:outlineLvl w:val="0"/>
    </w:pPr>
    <w:rPr>
      <w:rFonts w:eastAsiaTheme="majorEastAsia" w:cstheme="majorBidi"/>
      <w:b/>
      <w:kern w:val="0"/>
      <w:szCs w:val="29"/>
      <w14:ligatures w14:val="none"/>
    </w:rPr>
  </w:style>
  <w:style w:type="paragraph" w:styleId="Heading2">
    <w:name w:val="heading 2"/>
    <w:basedOn w:val="Normal"/>
    <w:next w:val="Normal"/>
    <w:link w:val="Heading2Char"/>
    <w:uiPriority w:val="9"/>
    <w:unhideWhenUsed/>
    <w:qFormat/>
    <w:rsid w:val="00AC0137"/>
    <w:pPr>
      <w:keepNext/>
      <w:keepLines/>
      <w:outlineLvl w:val="1"/>
    </w:pPr>
    <w:rPr>
      <w:rFonts w:eastAsiaTheme="majorEastAsia" w:cstheme="majorBidi"/>
      <w:b/>
      <w:kern w:val="0"/>
      <w:szCs w:val="23"/>
      <w14:ligatures w14:val="none"/>
    </w:rPr>
  </w:style>
  <w:style w:type="paragraph" w:styleId="Heading3">
    <w:name w:val="heading 3"/>
    <w:basedOn w:val="Normal"/>
    <w:next w:val="Normal"/>
    <w:link w:val="Heading3Char"/>
    <w:uiPriority w:val="9"/>
    <w:unhideWhenUsed/>
    <w:qFormat/>
    <w:rsid w:val="002240E7"/>
    <w:pPr>
      <w:keepNext/>
      <w:keepLines/>
      <w:outlineLvl w:val="2"/>
    </w:pPr>
    <w:rPr>
      <w:rFonts w:eastAsiaTheme="majorEastAsia" w:cstheme="majorBidi"/>
      <w:b/>
      <w:kern w:val="0"/>
      <w:szCs w:val="21"/>
      <w14:ligatures w14:val="none"/>
    </w:rPr>
  </w:style>
  <w:style w:type="paragraph" w:styleId="Heading4">
    <w:name w:val="heading 4"/>
    <w:basedOn w:val="Normal"/>
    <w:next w:val="Normal"/>
    <w:link w:val="Heading4Char"/>
    <w:uiPriority w:val="9"/>
    <w:semiHidden/>
    <w:unhideWhenUsed/>
    <w:qFormat/>
    <w:rsid w:val="0053343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3343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3343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3343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3343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3343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03D"/>
    <w:rPr>
      <w:rFonts w:ascii="Arial" w:eastAsiaTheme="majorEastAsia" w:hAnsi="Arial" w:cstheme="majorBidi"/>
      <w:b/>
      <w:kern w:val="0"/>
      <w:sz w:val="24"/>
      <w:szCs w:val="29"/>
      <w14:ligatures w14:val="none"/>
    </w:rPr>
  </w:style>
  <w:style w:type="character" w:customStyle="1" w:styleId="Heading2Char">
    <w:name w:val="Heading 2 Char"/>
    <w:basedOn w:val="DefaultParagraphFont"/>
    <w:link w:val="Heading2"/>
    <w:uiPriority w:val="9"/>
    <w:rsid w:val="00AC0137"/>
    <w:rPr>
      <w:rFonts w:ascii="Arial" w:eastAsiaTheme="majorEastAsia" w:hAnsi="Arial" w:cstheme="majorBidi"/>
      <w:b/>
      <w:kern w:val="0"/>
      <w:sz w:val="24"/>
      <w:szCs w:val="23"/>
      <w14:ligatures w14:val="none"/>
    </w:rPr>
  </w:style>
  <w:style w:type="character" w:customStyle="1" w:styleId="Heading3Char">
    <w:name w:val="Heading 3 Char"/>
    <w:basedOn w:val="DefaultParagraphFont"/>
    <w:link w:val="Heading3"/>
    <w:uiPriority w:val="9"/>
    <w:rsid w:val="002240E7"/>
    <w:rPr>
      <w:rFonts w:ascii="Arial" w:eastAsiaTheme="majorEastAsia" w:hAnsi="Arial" w:cstheme="majorBidi"/>
      <w:b/>
      <w:kern w:val="0"/>
      <w:sz w:val="24"/>
      <w:szCs w:val="21"/>
      <w14:ligatures w14:val="none"/>
    </w:rPr>
  </w:style>
  <w:style w:type="character" w:customStyle="1" w:styleId="Heading4Char">
    <w:name w:val="Heading 4 Char"/>
    <w:basedOn w:val="DefaultParagraphFont"/>
    <w:link w:val="Heading4"/>
    <w:uiPriority w:val="9"/>
    <w:semiHidden/>
    <w:rsid w:val="0053343B"/>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53343B"/>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53343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3343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3343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3343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334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4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343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34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343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3343B"/>
    <w:rPr>
      <w:rFonts w:ascii="Arial" w:hAnsi="Arial"/>
      <w:i/>
      <w:iCs/>
      <w:color w:val="404040" w:themeColor="text1" w:themeTint="BF"/>
      <w:sz w:val="24"/>
    </w:rPr>
  </w:style>
  <w:style w:type="paragraph" w:styleId="ListParagraph">
    <w:name w:val="List Paragraph"/>
    <w:basedOn w:val="Normal"/>
    <w:uiPriority w:val="34"/>
    <w:qFormat/>
    <w:rsid w:val="0053343B"/>
    <w:pPr>
      <w:ind w:left="720"/>
      <w:contextualSpacing/>
    </w:pPr>
  </w:style>
  <w:style w:type="character" w:styleId="IntenseEmphasis">
    <w:name w:val="Intense Emphasis"/>
    <w:basedOn w:val="DefaultParagraphFont"/>
    <w:uiPriority w:val="21"/>
    <w:qFormat/>
    <w:rsid w:val="0053343B"/>
    <w:rPr>
      <w:i/>
      <w:iCs/>
      <w:color w:val="0F4761" w:themeColor="accent1" w:themeShade="BF"/>
    </w:rPr>
  </w:style>
  <w:style w:type="paragraph" w:styleId="IntenseQuote">
    <w:name w:val="Intense Quote"/>
    <w:basedOn w:val="Normal"/>
    <w:next w:val="Normal"/>
    <w:link w:val="IntenseQuoteChar"/>
    <w:uiPriority w:val="30"/>
    <w:qFormat/>
    <w:rsid w:val="005334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343B"/>
    <w:rPr>
      <w:rFonts w:ascii="Arial" w:hAnsi="Arial"/>
      <w:i/>
      <w:iCs/>
      <w:color w:val="0F4761" w:themeColor="accent1" w:themeShade="BF"/>
      <w:sz w:val="24"/>
    </w:rPr>
  </w:style>
  <w:style w:type="character" w:styleId="IntenseReference">
    <w:name w:val="Intense Reference"/>
    <w:basedOn w:val="DefaultParagraphFont"/>
    <w:uiPriority w:val="32"/>
    <w:qFormat/>
    <w:rsid w:val="0053343B"/>
    <w:rPr>
      <w:b/>
      <w:bCs/>
      <w:smallCaps/>
      <w:color w:val="0F4761" w:themeColor="accent1" w:themeShade="BF"/>
      <w:spacing w:val="5"/>
    </w:rPr>
  </w:style>
  <w:style w:type="table" w:styleId="TableGrid">
    <w:name w:val="Table Grid"/>
    <w:basedOn w:val="TableNormal"/>
    <w:uiPriority w:val="39"/>
    <w:rsid w:val="005334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20DBE"/>
    <w:pPr>
      <w:tabs>
        <w:tab w:val="center" w:pos="4680"/>
        <w:tab w:val="right" w:pos="9360"/>
      </w:tabs>
      <w:spacing w:line="240" w:lineRule="auto"/>
    </w:pPr>
  </w:style>
  <w:style w:type="character" w:customStyle="1" w:styleId="HeaderChar">
    <w:name w:val="Header Char"/>
    <w:basedOn w:val="DefaultParagraphFont"/>
    <w:link w:val="Header"/>
    <w:uiPriority w:val="99"/>
    <w:rsid w:val="00E20DBE"/>
    <w:rPr>
      <w:rFonts w:ascii="Arial" w:hAnsi="Arial"/>
      <w:sz w:val="24"/>
    </w:rPr>
  </w:style>
  <w:style w:type="paragraph" w:styleId="Footer">
    <w:name w:val="footer"/>
    <w:basedOn w:val="Normal"/>
    <w:link w:val="FooterChar"/>
    <w:uiPriority w:val="99"/>
    <w:unhideWhenUsed/>
    <w:rsid w:val="00E20DBE"/>
    <w:pPr>
      <w:tabs>
        <w:tab w:val="center" w:pos="4680"/>
        <w:tab w:val="right" w:pos="9360"/>
      </w:tabs>
      <w:spacing w:line="240" w:lineRule="auto"/>
    </w:pPr>
  </w:style>
  <w:style w:type="character" w:customStyle="1" w:styleId="FooterChar">
    <w:name w:val="Footer Char"/>
    <w:basedOn w:val="DefaultParagraphFont"/>
    <w:link w:val="Footer"/>
    <w:uiPriority w:val="99"/>
    <w:rsid w:val="00E20DBE"/>
    <w:rPr>
      <w:rFonts w:ascii="Arial" w:hAnsi="Arial"/>
      <w:sz w:val="24"/>
    </w:rPr>
  </w:style>
  <w:style w:type="paragraph" w:styleId="TOCHeading">
    <w:name w:val="TOC Heading"/>
    <w:basedOn w:val="Heading1"/>
    <w:next w:val="Normal"/>
    <w:uiPriority w:val="39"/>
    <w:unhideWhenUsed/>
    <w:qFormat/>
    <w:rsid w:val="00E20DBE"/>
    <w:pPr>
      <w:spacing w:before="240" w:line="259" w:lineRule="auto"/>
      <w:jc w:val="left"/>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E20DBE"/>
    <w:pPr>
      <w:spacing w:after="100"/>
    </w:pPr>
  </w:style>
  <w:style w:type="paragraph" w:styleId="TOC2">
    <w:name w:val="toc 2"/>
    <w:basedOn w:val="Normal"/>
    <w:next w:val="Normal"/>
    <w:autoRedefine/>
    <w:uiPriority w:val="39"/>
    <w:unhideWhenUsed/>
    <w:rsid w:val="00E20DBE"/>
    <w:pPr>
      <w:spacing w:after="100"/>
      <w:ind w:left="240"/>
    </w:pPr>
  </w:style>
  <w:style w:type="character" w:styleId="Hyperlink">
    <w:name w:val="Hyperlink"/>
    <w:basedOn w:val="DefaultParagraphFont"/>
    <w:uiPriority w:val="99"/>
    <w:unhideWhenUsed/>
    <w:rsid w:val="00E20DB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9AFD25-01AE-476D-977C-33255587B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9</Pages>
  <Words>1752</Words>
  <Characters>10433</Characters>
  <Application>Microsoft Office Word</Application>
  <DocSecurity>0</DocSecurity>
  <Lines>198</Lines>
  <Paragraphs>82</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1. Overview of the Business Idea</vt:lpstr>
      <vt:lpstr>2. PESTEL Environmental Analysis</vt:lpstr>
      <vt:lpstr>3. Marketing Strategies</vt:lpstr>
      <vt:lpstr>4. Funding Requirements and Startup Expenses</vt:lpstr>
      <vt:lpstr>    Estimated initial start-up cost:</vt:lpstr>
      <vt:lpstr>    Funding Sources:</vt:lpstr>
      <vt:lpstr>5. Conclusion</vt:lpstr>
      <vt:lpstr>6. References </vt:lpstr>
    </vt:vector>
  </TitlesOfParts>
  <Company/>
  <LinksUpToDate>false</LinksUpToDate>
  <CharactersWithSpaces>12104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Daylia Gavin (2427090)</dc:creator>
  <cp:keywords/>
  <dc:description/>
  <cp:revision>14</cp:revision>
  <dcterms:created xsi:type="dcterms:W3CDTF">2025-10-25T11:25:00Z</dcterms:created>
  <dcterms:modified xsi:type="dcterms:W3CDTF">2025-10-26T15:14:00Z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803d1967-0bb8-4257-afa9-668e0fe4f88f</vt:lpwstr>
  </property>
</Properties>
</file>