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194D1" w14:textId="77777777" w:rsidR="003F10D7" w:rsidRDefault="003F10D7" w:rsidP="003F10D7">
      <w:pPr>
        <w:spacing w:line="259" w:lineRule="auto"/>
        <w:jc w:val="center"/>
        <w:rPr>
          <w:rFonts w:cs="Arial"/>
          <w:color w:val="000000" w:themeColor="text1"/>
          <w:lang w:val=""/>
        </w:rPr>
      </w:pPr>
    </w:p>
    <w:p w14:paraId="6679EDFA" w14:textId="77777777" w:rsidR="003F10D7" w:rsidRDefault="003F10D7" w:rsidP="003F10D7">
      <w:pPr>
        <w:spacing w:line="259" w:lineRule="auto"/>
        <w:jc w:val="center"/>
        <w:rPr>
          <w:rFonts w:cs="Arial"/>
          <w:color w:val="000000" w:themeColor="text1"/>
          <w:lang w:val=""/>
        </w:rPr>
      </w:pPr>
    </w:p>
    <w:p w14:paraId="4420661D" w14:textId="77777777" w:rsidR="003F10D7" w:rsidRDefault="003F10D7" w:rsidP="003F10D7">
      <w:pPr>
        <w:spacing w:line="259" w:lineRule="auto"/>
        <w:jc w:val="center"/>
        <w:rPr>
          <w:rFonts w:cs="Arial"/>
          <w:color w:val="000000" w:themeColor="text1"/>
          <w:lang w:val=""/>
        </w:rPr>
      </w:pPr>
    </w:p>
    <w:p w14:paraId="013C6C46" w14:textId="77777777" w:rsidR="003F10D7" w:rsidRDefault="003F10D7" w:rsidP="003F10D7">
      <w:pPr>
        <w:spacing w:line="259" w:lineRule="auto"/>
        <w:jc w:val="center"/>
        <w:rPr>
          <w:rFonts w:cs="Arial"/>
          <w:color w:val="000000" w:themeColor="text1"/>
          <w:lang w:val=""/>
        </w:rPr>
      </w:pPr>
    </w:p>
    <w:p w14:paraId="25DCC59A" w14:textId="29FA452C" w:rsidR="003F10D7" w:rsidRPr="003F10D7" w:rsidRDefault="003F10D7" w:rsidP="003F10D7">
      <w:pPr>
        <w:spacing w:line="259" w:lineRule="auto"/>
        <w:jc w:val="center"/>
        <w:rPr>
          <w:rFonts w:cs="Arial"/>
          <w:color w:val="000000" w:themeColor="text1"/>
          <w:lang w:val=""/>
        </w:rPr>
      </w:pPr>
      <w:r w:rsidRPr="003F10D7">
        <w:rPr>
          <w:rFonts w:cs="Arial"/>
          <w:color w:val="000000" w:themeColor="text1"/>
          <w:lang w:val=""/>
        </w:rPr>
        <w:t>Assignment Type: Report</w:t>
      </w:r>
    </w:p>
    <w:p w14:paraId="7D98299E" w14:textId="11E375FC" w:rsidR="009E035B" w:rsidRDefault="003F10D7" w:rsidP="003F10D7">
      <w:pPr>
        <w:spacing w:line="259" w:lineRule="auto"/>
        <w:jc w:val="center"/>
        <w:rPr>
          <w:rFonts w:cs="Arial"/>
          <w:color w:val="000000" w:themeColor="text1"/>
          <w:lang w:val=""/>
        </w:rPr>
      </w:pPr>
      <w:r w:rsidRPr="003F10D7">
        <w:rPr>
          <w:rFonts w:cs="Arial"/>
          <w:color w:val="000000" w:themeColor="text1"/>
          <w:lang w:val=""/>
        </w:rPr>
        <w:t>Report Title: Sustainable Transport in the A</w:t>
      </w:r>
      <w:r w:rsidR="00CB3DD2">
        <w:rPr>
          <w:rFonts w:cs="Arial"/>
          <w:color w:val="000000" w:themeColor="text1"/>
          <w:lang w:val=""/>
        </w:rPr>
        <w:t>viation</w:t>
      </w:r>
    </w:p>
    <w:p w14:paraId="219561A4" w14:textId="69CD21D7" w:rsidR="003F10D7" w:rsidRPr="003F10D7" w:rsidRDefault="003F10D7" w:rsidP="003F10D7">
      <w:pPr>
        <w:spacing w:line="259" w:lineRule="auto"/>
        <w:jc w:val="center"/>
        <w:rPr>
          <w:rFonts w:cs="Arial"/>
          <w:color w:val="000000" w:themeColor="text1"/>
          <w:lang w:val=""/>
        </w:rPr>
      </w:pPr>
      <w:r w:rsidRPr="003F10D7">
        <w:rPr>
          <w:rFonts w:cs="Arial"/>
          <w:color w:val="000000" w:themeColor="text1"/>
          <w:lang w:val=""/>
        </w:rPr>
        <w:t xml:space="preserve"> Industry</w:t>
      </w:r>
    </w:p>
    <w:p w14:paraId="7ACF88FF" w14:textId="77777777" w:rsidR="003F10D7" w:rsidRPr="003F10D7" w:rsidRDefault="003F10D7" w:rsidP="003F10D7">
      <w:pPr>
        <w:spacing w:line="259" w:lineRule="auto"/>
        <w:jc w:val="center"/>
        <w:rPr>
          <w:rFonts w:cs="Arial"/>
          <w:color w:val="000000" w:themeColor="text1"/>
          <w:lang w:val=""/>
        </w:rPr>
      </w:pPr>
      <w:r w:rsidRPr="003F10D7">
        <w:rPr>
          <w:rFonts w:cs="Arial"/>
          <w:color w:val="000000" w:themeColor="text1"/>
          <w:lang w:val=""/>
        </w:rPr>
        <w:t>Programme: BA (Hons) International Hotel Management</w:t>
      </w:r>
    </w:p>
    <w:p w14:paraId="06C7963A" w14:textId="77777777" w:rsidR="003F10D7" w:rsidRPr="003F10D7" w:rsidRDefault="003F10D7" w:rsidP="003F10D7">
      <w:pPr>
        <w:spacing w:line="259" w:lineRule="auto"/>
        <w:jc w:val="center"/>
        <w:rPr>
          <w:rFonts w:cs="Arial"/>
          <w:color w:val="000000" w:themeColor="text1"/>
          <w:lang w:val=""/>
        </w:rPr>
      </w:pPr>
      <w:r w:rsidRPr="003F10D7">
        <w:rPr>
          <w:rFonts w:cs="Arial"/>
          <w:color w:val="000000" w:themeColor="text1"/>
          <w:lang w:val=""/>
        </w:rPr>
        <w:t>Module Code: BMIH5006</w:t>
      </w:r>
    </w:p>
    <w:p w14:paraId="349C6D42" w14:textId="3DC0F19A" w:rsidR="003F10D7" w:rsidRPr="003F10D7" w:rsidRDefault="005F69ED" w:rsidP="005F69ED">
      <w:pPr>
        <w:spacing w:line="259" w:lineRule="auto"/>
        <w:jc w:val="center"/>
        <w:rPr>
          <w:rFonts w:cs="Arial"/>
          <w:color w:val="000000" w:themeColor="text1"/>
        </w:rPr>
      </w:pPr>
      <w:r>
        <w:rPr>
          <w:rFonts w:cs="Arial"/>
          <w:color w:val="000000" w:themeColor="text1"/>
          <w:lang w:val=""/>
        </w:rPr>
        <w:t>Tutor</w:t>
      </w:r>
      <w:r w:rsidR="003F10D7" w:rsidRPr="003F10D7">
        <w:rPr>
          <w:rFonts w:cs="Arial"/>
          <w:color w:val="000000" w:themeColor="text1"/>
          <w:lang w:val=""/>
        </w:rPr>
        <w:t xml:space="preserve"> </w:t>
      </w:r>
      <w:r w:rsidR="003F10D7" w:rsidRPr="003F10D7">
        <w:rPr>
          <w:rFonts w:cs="Arial"/>
          <w:color w:val="000000" w:themeColor="text1"/>
        </w:rPr>
        <w:t>Daniel Payne</w:t>
      </w:r>
    </w:p>
    <w:p w14:paraId="7018467B" w14:textId="5DE1F1E3" w:rsidR="003F10D7" w:rsidRPr="003F10D7" w:rsidRDefault="003F10D7" w:rsidP="003F10D7">
      <w:pPr>
        <w:spacing w:line="259" w:lineRule="auto"/>
        <w:jc w:val="center"/>
        <w:rPr>
          <w:rFonts w:cs="Arial"/>
          <w:color w:val="000000" w:themeColor="text1"/>
        </w:rPr>
      </w:pPr>
      <w:r w:rsidRPr="003F10D7">
        <w:rPr>
          <w:rFonts w:cs="Arial"/>
          <w:color w:val="000000" w:themeColor="text1"/>
        </w:rPr>
        <w:t xml:space="preserve">Student Name: Rehan </w:t>
      </w:r>
      <w:r>
        <w:rPr>
          <w:rFonts w:cs="Arial"/>
          <w:color w:val="000000" w:themeColor="text1"/>
        </w:rPr>
        <w:t>A</w:t>
      </w:r>
      <w:r w:rsidRPr="003F10D7">
        <w:rPr>
          <w:rFonts w:cs="Arial"/>
          <w:color w:val="000000" w:themeColor="text1"/>
        </w:rPr>
        <w:t xml:space="preserve">li </w:t>
      </w:r>
      <w:r>
        <w:rPr>
          <w:rFonts w:cs="Arial"/>
          <w:color w:val="000000" w:themeColor="text1"/>
        </w:rPr>
        <w:t>S</w:t>
      </w:r>
      <w:r w:rsidRPr="003F10D7">
        <w:rPr>
          <w:rFonts w:cs="Arial"/>
          <w:color w:val="000000" w:themeColor="text1"/>
        </w:rPr>
        <w:t>hah</w:t>
      </w:r>
    </w:p>
    <w:p w14:paraId="6E54BDCA" w14:textId="157D60DD" w:rsidR="003F10D7" w:rsidRPr="003F10D7" w:rsidRDefault="003F10D7" w:rsidP="003F10D7">
      <w:pPr>
        <w:spacing w:line="259" w:lineRule="auto"/>
        <w:jc w:val="center"/>
        <w:rPr>
          <w:rFonts w:cs="Arial"/>
          <w:color w:val="000000" w:themeColor="text1"/>
          <w:lang w:val=""/>
        </w:rPr>
      </w:pPr>
      <w:r w:rsidRPr="003F10D7">
        <w:rPr>
          <w:rFonts w:cs="Arial"/>
          <w:color w:val="000000" w:themeColor="text1"/>
          <w:lang w:val=""/>
        </w:rPr>
        <w:t xml:space="preserve">Student ID: </w:t>
      </w:r>
      <w:r w:rsidRPr="003F10D7">
        <w:rPr>
          <w:rFonts w:cs="Arial"/>
          <w:color w:val="000000" w:themeColor="text1"/>
        </w:rPr>
        <w:t>2241266</w:t>
      </w:r>
    </w:p>
    <w:p w14:paraId="60C7F29B" w14:textId="43380921" w:rsidR="00FD51D9" w:rsidRDefault="003F10D7">
      <w:pPr>
        <w:spacing w:line="259" w:lineRule="auto"/>
        <w:jc w:val="left"/>
        <w:rPr>
          <w:rFonts w:cs="Arial"/>
          <w:color w:val="000000" w:themeColor="text1"/>
          <w:lang w:val=""/>
        </w:rPr>
      </w:pPr>
      <w:r>
        <w:rPr>
          <w:rFonts w:cs="Arial"/>
          <w:color w:val="000000" w:themeColor="text1"/>
          <w:lang w:val=""/>
        </w:rPr>
        <w:tab/>
      </w:r>
    </w:p>
    <w:p w14:paraId="70F94BBA" w14:textId="77777777" w:rsidR="003F10D7" w:rsidRDefault="003F10D7">
      <w:pPr>
        <w:spacing w:line="259" w:lineRule="auto"/>
        <w:jc w:val="left"/>
        <w:rPr>
          <w:rFonts w:cs="Arial"/>
          <w:color w:val="000000" w:themeColor="text1"/>
          <w:lang w:val=""/>
        </w:rPr>
      </w:pPr>
    </w:p>
    <w:p w14:paraId="403DF7FC" w14:textId="77777777" w:rsidR="003F10D7" w:rsidRDefault="003F10D7">
      <w:pPr>
        <w:spacing w:line="259" w:lineRule="auto"/>
        <w:jc w:val="left"/>
        <w:rPr>
          <w:rFonts w:cs="Arial"/>
          <w:color w:val="000000" w:themeColor="text1"/>
          <w:lang w:val=""/>
        </w:rPr>
      </w:pPr>
    </w:p>
    <w:p w14:paraId="765EDBB3" w14:textId="77777777" w:rsidR="003F10D7" w:rsidRDefault="003F10D7">
      <w:pPr>
        <w:spacing w:line="259" w:lineRule="auto"/>
        <w:jc w:val="left"/>
        <w:rPr>
          <w:rFonts w:cs="Arial"/>
          <w:color w:val="000000" w:themeColor="text1"/>
          <w:lang w:val=""/>
        </w:rPr>
      </w:pPr>
    </w:p>
    <w:p w14:paraId="3B005189" w14:textId="77777777" w:rsidR="003F10D7" w:rsidRDefault="003F10D7">
      <w:pPr>
        <w:spacing w:line="259" w:lineRule="auto"/>
        <w:jc w:val="left"/>
        <w:rPr>
          <w:rFonts w:cs="Arial"/>
          <w:color w:val="000000" w:themeColor="text1"/>
          <w:lang w:val=""/>
        </w:rPr>
      </w:pPr>
    </w:p>
    <w:p w14:paraId="6624C5F5" w14:textId="77777777" w:rsidR="003F10D7" w:rsidRDefault="003F10D7">
      <w:pPr>
        <w:spacing w:line="259" w:lineRule="auto"/>
        <w:jc w:val="left"/>
        <w:rPr>
          <w:rFonts w:cs="Arial"/>
          <w:color w:val="000000" w:themeColor="text1"/>
          <w:lang w:val=""/>
        </w:rPr>
      </w:pPr>
    </w:p>
    <w:p w14:paraId="2E3F6637" w14:textId="77777777" w:rsidR="003F10D7" w:rsidRDefault="003F10D7">
      <w:pPr>
        <w:spacing w:line="259" w:lineRule="auto"/>
        <w:jc w:val="left"/>
        <w:rPr>
          <w:rFonts w:cs="Arial"/>
          <w:color w:val="000000" w:themeColor="text1"/>
          <w:lang w:val=""/>
        </w:rPr>
      </w:pPr>
    </w:p>
    <w:p w14:paraId="4957F1DA" w14:textId="77777777" w:rsidR="003F10D7" w:rsidRDefault="003F10D7">
      <w:pPr>
        <w:spacing w:line="259" w:lineRule="auto"/>
        <w:jc w:val="left"/>
        <w:rPr>
          <w:rFonts w:cs="Arial"/>
          <w:color w:val="000000" w:themeColor="text1"/>
          <w:lang w:val=""/>
        </w:rPr>
      </w:pPr>
    </w:p>
    <w:p w14:paraId="06797E5F" w14:textId="77777777" w:rsidR="003F10D7" w:rsidRDefault="003F10D7">
      <w:pPr>
        <w:spacing w:line="259" w:lineRule="auto"/>
        <w:jc w:val="left"/>
        <w:rPr>
          <w:rFonts w:cs="Arial"/>
          <w:color w:val="000000" w:themeColor="text1"/>
          <w:lang w:val=""/>
        </w:rPr>
      </w:pPr>
    </w:p>
    <w:p w14:paraId="3EBF86FC" w14:textId="77777777" w:rsidR="003F10D7" w:rsidRPr="003268BC" w:rsidRDefault="003F10D7">
      <w:pPr>
        <w:spacing w:line="259" w:lineRule="auto"/>
        <w:jc w:val="left"/>
        <w:rPr>
          <w:rFonts w:cs="Arial"/>
          <w:color w:val="000000" w:themeColor="text1"/>
          <w:lang w:val=""/>
        </w:rPr>
      </w:pPr>
    </w:p>
    <w:p w14:paraId="71B2FBF9" w14:textId="26A62BD2" w:rsidR="00FD51D9" w:rsidRPr="003268BC" w:rsidRDefault="00417A48" w:rsidP="00FD51D9">
      <w:pPr>
        <w:spacing w:line="259" w:lineRule="auto"/>
        <w:jc w:val="center"/>
        <w:rPr>
          <w:rFonts w:cs="Arial"/>
          <w:b/>
          <w:bCs/>
          <w:color w:val="000000" w:themeColor="text1"/>
          <w:lang w:val=""/>
        </w:rPr>
      </w:pPr>
      <w:r>
        <w:rPr>
          <w:rFonts w:cs="Arial"/>
          <w:b/>
          <w:bCs/>
          <w:color w:val="000000" w:themeColor="text1"/>
          <w:lang w:val=""/>
        </w:rPr>
        <w:t xml:space="preserve"> </w:t>
      </w:r>
      <w:r w:rsidR="005A3047" w:rsidRPr="003268BC">
        <w:rPr>
          <w:rFonts w:cs="Arial"/>
          <w:b/>
          <w:bCs/>
          <w:color w:val="000000" w:themeColor="text1"/>
          <w:lang w:val=""/>
        </w:rPr>
        <w:t>AI declaration</w:t>
      </w:r>
    </w:p>
    <w:p w14:paraId="7A796D39" w14:textId="64142294" w:rsidR="00FD51D9" w:rsidRPr="003268BC" w:rsidRDefault="005A3047" w:rsidP="00D42164">
      <w:pPr>
        <w:rPr>
          <w:rFonts w:cs="Arial"/>
          <w:color w:val="000000" w:themeColor="text1"/>
          <w:lang w:val=""/>
        </w:rPr>
      </w:pPr>
      <w:r w:rsidRPr="003268BC">
        <w:rPr>
          <w:rFonts w:cs="Arial"/>
          <w:color w:val="000000" w:themeColor="text1"/>
          <w:lang w:val=""/>
        </w:rPr>
        <w:t xml:space="preserve">I </w:t>
      </w:r>
      <w:r w:rsidR="00417A48">
        <w:rPr>
          <w:rFonts w:cs="Arial"/>
          <w:color w:val="000000" w:themeColor="text1"/>
          <w:lang w:val=""/>
        </w:rPr>
        <w:t>confirm that i have</w:t>
      </w:r>
      <w:r w:rsidR="000E0CA5">
        <w:rPr>
          <w:rFonts w:cs="Arial"/>
          <w:color w:val="000000" w:themeColor="text1"/>
          <w:lang w:val=""/>
        </w:rPr>
        <w:t xml:space="preserve"> not used</w:t>
      </w:r>
      <w:r w:rsidR="00417A48">
        <w:rPr>
          <w:rFonts w:cs="Arial"/>
          <w:color w:val="000000" w:themeColor="text1"/>
          <w:lang w:val=""/>
        </w:rPr>
        <w:t xml:space="preserve"> any AI tools in the research and creation of this Assignment.</w:t>
      </w:r>
      <w:r w:rsidR="005F69ED">
        <w:rPr>
          <w:rFonts w:cs="Arial"/>
          <w:color w:val="000000" w:themeColor="text1"/>
          <w:lang w:val=""/>
        </w:rPr>
        <w:t xml:space="preserve"> I confirm that i have not presented any AI generated materials as my own work. I confirm i have copies of my drafts, notes, and other resources i used, which i may be asked to provide in evidence.</w:t>
      </w:r>
      <w:r w:rsidRPr="003268BC">
        <w:rPr>
          <w:rFonts w:cs="Arial"/>
          <w:color w:val="000000" w:themeColor="text1"/>
          <w:lang w:val=""/>
        </w:rPr>
        <w:br w:type="page"/>
      </w:r>
    </w:p>
    <w:p w14:paraId="1F6027F5" w14:textId="77777777" w:rsidR="00FD51D9" w:rsidRPr="003268BC" w:rsidRDefault="005A3047" w:rsidP="00FD51D9">
      <w:pPr>
        <w:spacing w:line="259" w:lineRule="auto"/>
        <w:jc w:val="center"/>
        <w:rPr>
          <w:rFonts w:cs="Arial"/>
          <w:b/>
          <w:bCs/>
          <w:color w:val="000000" w:themeColor="text1"/>
          <w:lang w:val=""/>
        </w:rPr>
      </w:pPr>
      <w:r w:rsidRPr="003268BC">
        <w:rPr>
          <w:rFonts w:cs="Arial"/>
          <w:b/>
          <w:bCs/>
          <w:color w:val="000000" w:themeColor="text1"/>
          <w:lang w:val=""/>
        </w:rPr>
        <w:lastRenderedPageBreak/>
        <w:t>Executive summary</w:t>
      </w:r>
    </w:p>
    <w:p w14:paraId="46E9AC68" w14:textId="5349329E" w:rsidR="00EE4585" w:rsidRPr="003268BC" w:rsidRDefault="005A3047" w:rsidP="00D42164">
      <w:pPr>
        <w:rPr>
          <w:rFonts w:cs="Arial"/>
          <w:color w:val="000000" w:themeColor="text1"/>
          <w:lang w:val=""/>
        </w:rPr>
      </w:pPr>
      <w:r w:rsidRPr="003268BC">
        <w:rPr>
          <w:rFonts w:cs="Arial"/>
          <w:color w:val="000000" w:themeColor="text1"/>
          <w:lang w:val=""/>
        </w:rPr>
        <w:t>The report evaluates how aviation plays an essential function in hospitality operations through environmental impact analysis and exploration of development issues and sustainable approaches. The study considers three essential aspects of the hospitality industry, including its financial performance, ecological impact, and new strategies for sustainable hospitality operations specifically for this sector. The investigation establishes that aviation operates as the foundation of worldwide hospitality operations because it moves roughly 4.5 billion passengers annually and helps boost global economic productivity. The sector supports 19.6 million employment positions through hospitality-related establishments and provides extensive economic worth through operational activities. The research reveals substantial environmental concerns because the transportation industry generates substantial CO</w:t>
      </w:r>
      <w:r w:rsidRPr="003268BC">
        <w:rPr>
          <w:rFonts w:ascii="Cambria Math" w:hAnsi="Cambria Math" w:cs="Cambria Math"/>
          <w:color w:val="000000" w:themeColor="text1"/>
          <w:lang w:val=""/>
        </w:rPr>
        <w:t>₂</w:t>
      </w:r>
      <w:r w:rsidRPr="003268BC">
        <w:rPr>
          <w:rFonts w:cs="Arial"/>
          <w:color w:val="000000" w:themeColor="text1"/>
          <w:lang w:val=""/>
        </w:rPr>
        <w:t xml:space="preserve"> emissions while causing noise disturbances and deteriorating air quality at busy transport centres. </w:t>
      </w:r>
      <w:r w:rsidR="00127A90">
        <w:rPr>
          <w:rFonts w:cs="Arial"/>
          <w:color w:val="000000" w:themeColor="text1"/>
          <w:lang w:val=""/>
        </w:rPr>
        <w:t>The report findings</w:t>
      </w:r>
      <w:r w:rsidRPr="003268BC">
        <w:rPr>
          <w:rFonts w:cs="Arial"/>
          <w:color w:val="000000" w:themeColor="text1"/>
          <w:lang w:val=""/>
        </w:rPr>
        <w:t xml:space="preserve"> show that the industry now implements sustainability practices through three main initiatives, including Sustainable Aviation Fuels (SAF) programs operational enhancement advances, and modern ground transportation systems. British Airways implements SAF through a program, while Emirates Airlines operates "Flextracks" as its system to achieve efficient routes. The assessment suggests that institutions should create complete SAF implementation plans and set up airport-hotel transport connections while building standard measures for environmental performance. The recommendations establish a balance between promoting sector expansion and environmental sustainability goals and operational efficiency standards and service quality.</w:t>
      </w:r>
      <w:r w:rsidRPr="003268BC">
        <w:rPr>
          <w:rFonts w:cs="Arial"/>
          <w:color w:val="000000" w:themeColor="text1"/>
          <w:lang w:val=""/>
        </w:rPr>
        <w:br w:type="page"/>
      </w:r>
    </w:p>
    <w:sdt>
      <w:sdtPr>
        <w:rPr>
          <w:rFonts w:ascii="Arial" w:eastAsiaTheme="minorHAnsi" w:hAnsi="Arial" w:cs="Arial"/>
          <w:color w:val="auto"/>
          <w:kern w:val="2"/>
          <w:sz w:val="24"/>
          <w:szCs w:val="22"/>
          <w:lang w:val="en-GB"/>
          <w14:ligatures w14:val="standardContextual"/>
        </w:rPr>
        <w:id w:val="-303539273"/>
        <w:docPartObj>
          <w:docPartGallery w:val="Table of Contents"/>
          <w:docPartUnique/>
        </w:docPartObj>
      </w:sdtPr>
      <w:sdtEndPr>
        <w:rPr>
          <w:b/>
          <w:bCs/>
          <w:noProof/>
        </w:rPr>
      </w:sdtEndPr>
      <w:sdtContent>
        <w:p w14:paraId="0D87F9C9" w14:textId="77777777" w:rsidR="00EE4585" w:rsidRPr="003268BC" w:rsidRDefault="005A3047">
          <w:pPr>
            <w:pStyle w:val="TOCHeading"/>
            <w:rPr>
              <w:rFonts w:ascii="Arial" w:hAnsi="Arial" w:cs="Arial"/>
            </w:rPr>
          </w:pPr>
          <w:r w:rsidRPr="003268BC">
            <w:rPr>
              <w:rFonts w:ascii="Arial" w:hAnsi="Arial" w:cs="Arial"/>
            </w:rPr>
            <w:t>Table of Contents</w:t>
          </w:r>
        </w:p>
        <w:p w14:paraId="335F4A4E" w14:textId="617D6EF3" w:rsidR="001455E0" w:rsidRDefault="005A3047">
          <w:pPr>
            <w:pStyle w:val="TOC1"/>
            <w:tabs>
              <w:tab w:val="left" w:pos="480"/>
              <w:tab w:val="right" w:leader="dot" w:pos="9016"/>
            </w:tabs>
            <w:rPr>
              <w:rFonts w:asciiTheme="minorHAnsi" w:eastAsiaTheme="minorEastAsia" w:hAnsiTheme="minorHAnsi"/>
              <w:noProof/>
              <w:szCs w:val="24"/>
            </w:rPr>
          </w:pPr>
          <w:r w:rsidRPr="003268BC">
            <w:rPr>
              <w:rFonts w:cs="Arial"/>
            </w:rPr>
            <w:fldChar w:fldCharType="begin"/>
          </w:r>
          <w:r w:rsidRPr="003268BC">
            <w:rPr>
              <w:rFonts w:cs="Arial"/>
            </w:rPr>
            <w:instrText xml:space="preserve"> TOC \o "1-3" \h \z \u </w:instrText>
          </w:r>
          <w:r w:rsidRPr="003268BC">
            <w:rPr>
              <w:rFonts w:cs="Arial"/>
            </w:rPr>
            <w:fldChar w:fldCharType="separate"/>
          </w:r>
          <w:hyperlink w:anchor="_Toc191297821" w:history="1">
            <w:r w:rsidR="001455E0" w:rsidRPr="00F6504C">
              <w:rPr>
                <w:rStyle w:val="Hyperlink"/>
                <w:rFonts w:cs="Arial"/>
                <w:noProof/>
                <w:lang w:val=""/>
              </w:rPr>
              <w:t>1</w:t>
            </w:r>
            <w:r w:rsidR="001455E0">
              <w:rPr>
                <w:rFonts w:asciiTheme="minorHAnsi" w:eastAsiaTheme="minorEastAsia" w:hAnsiTheme="minorHAnsi"/>
                <w:noProof/>
                <w:szCs w:val="24"/>
              </w:rPr>
              <w:tab/>
            </w:r>
            <w:r w:rsidR="001455E0" w:rsidRPr="00F6504C">
              <w:rPr>
                <w:rStyle w:val="Hyperlink"/>
                <w:rFonts w:cs="Arial"/>
                <w:noProof/>
                <w:lang w:val=""/>
              </w:rPr>
              <w:t>Introduction</w:t>
            </w:r>
            <w:r w:rsidR="001455E0">
              <w:rPr>
                <w:noProof/>
                <w:webHidden/>
              </w:rPr>
              <w:tab/>
            </w:r>
            <w:r w:rsidR="001455E0">
              <w:rPr>
                <w:noProof/>
                <w:webHidden/>
              </w:rPr>
              <w:fldChar w:fldCharType="begin"/>
            </w:r>
            <w:r w:rsidR="001455E0">
              <w:rPr>
                <w:noProof/>
                <w:webHidden/>
              </w:rPr>
              <w:instrText xml:space="preserve"> PAGEREF _Toc191297821 \h </w:instrText>
            </w:r>
            <w:r w:rsidR="001455E0">
              <w:rPr>
                <w:noProof/>
                <w:webHidden/>
              </w:rPr>
            </w:r>
            <w:r w:rsidR="001455E0">
              <w:rPr>
                <w:noProof/>
                <w:webHidden/>
              </w:rPr>
              <w:fldChar w:fldCharType="separate"/>
            </w:r>
            <w:r w:rsidR="001455E0">
              <w:rPr>
                <w:noProof/>
                <w:webHidden/>
              </w:rPr>
              <w:t>4</w:t>
            </w:r>
            <w:r w:rsidR="001455E0">
              <w:rPr>
                <w:noProof/>
                <w:webHidden/>
              </w:rPr>
              <w:fldChar w:fldCharType="end"/>
            </w:r>
          </w:hyperlink>
        </w:p>
        <w:p w14:paraId="69B267FA" w14:textId="1BDB7874" w:rsidR="001455E0" w:rsidRDefault="001455E0">
          <w:pPr>
            <w:pStyle w:val="TOC1"/>
            <w:tabs>
              <w:tab w:val="left" w:pos="480"/>
              <w:tab w:val="right" w:leader="dot" w:pos="9016"/>
            </w:tabs>
            <w:rPr>
              <w:rFonts w:asciiTheme="minorHAnsi" w:eastAsiaTheme="minorEastAsia" w:hAnsiTheme="minorHAnsi"/>
              <w:noProof/>
              <w:szCs w:val="24"/>
            </w:rPr>
          </w:pPr>
          <w:hyperlink w:anchor="_Toc191297822" w:history="1">
            <w:r w:rsidRPr="00F6504C">
              <w:rPr>
                <w:rStyle w:val="Hyperlink"/>
                <w:rFonts w:cs="Arial"/>
                <w:noProof/>
                <w:lang w:val=""/>
              </w:rPr>
              <w:t>2</w:t>
            </w:r>
            <w:r>
              <w:rPr>
                <w:rFonts w:asciiTheme="minorHAnsi" w:eastAsiaTheme="minorEastAsia" w:hAnsiTheme="minorHAnsi"/>
                <w:noProof/>
                <w:szCs w:val="24"/>
              </w:rPr>
              <w:tab/>
            </w:r>
            <w:r w:rsidRPr="00F6504C">
              <w:rPr>
                <w:rStyle w:val="Hyperlink"/>
                <w:rFonts w:cs="Arial"/>
                <w:noProof/>
                <w:lang w:val=""/>
              </w:rPr>
              <w:t>Main Findings</w:t>
            </w:r>
            <w:r>
              <w:rPr>
                <w:noProof/>
                <w:webHidden/>
              </w:rPr>
              <w:tab/>
            </w:r>
            <w:r>
              <w:rPr>
                <w:noProof/>
                <w:webHidden/>
              </w:rPr>
              <w:fldChar w:fldCharType="begin"/>
            </w:r>
            <w:r>
              <w:rPr>
                <w:noProof/>
                <w:webHidden/>
              </w:rPr>
              <w:instrText xml:space="preserve"> PAGEREF _Toc191297822 \h </w:instrText>
            </w:r>
            <w:r>
              <w:rPr>
                <w:noProof/>
                <w:webHidden/>
              </w:rPr>
            </w:r>
            <w:r>
              <w:rPr>
                <w:noProof/>
                <w:webHidden/>
              </w:rPr>
              <w:fldChar w:fldCharType="separate"/>
            </w:r>
            <w:r>
              <w:rPr>
                <w:noProof/>
                <w:webHidden/>
              </w:rPr>
              <w:t>4</w:t>
            </w:r>
            <w:r>
              <w:rPr>
                <w:noProof/>
                <w:webHidden/>
              </w:rPr>
              <w:fldChar w:fldCharType="end"/>
            </w:r>
          </w:hyperlink>
        </w:p>
        <w:p w14:paraId="7C4BD342" w14:textId="0F4C52FA" w:rsidR="001455E0" w:rsidRDefault="001455E0" w:rsidP="009E035B">
          <w:pPr>
            <w:pStyle w:val="TOC2"/>
            <w:tabs>
              <w:tab w:val="left" w:pos="960"/>
              <w:tab w:val="right" w:leader="dot" w:pos="9016"/>
            </w:tabs>
            <w:ind w:left="0"/>
            <w:rPr>
              <w:rFonts w:asciiTheme="minorHAnsi" w:eastAsiaTheme="minorEastAsia" w:hAnsiTheme="minorHAnsi"/>
              <w:noProof/>
              <w:szCs w:val="24"/>
            </w:rPr>
          </w:pPr>
          <w:hyperlink w:anchor="_Toc191297823" w:history="1">
            <w:r w:rsidRPr="00F6504C">
              <w:rPr>
                <w:rStyle w:val="Hyperlink"/>
                <w:rFonts w:cs="Arial"/>
                <w:noProof/>
                <w:lang w:val=""/>
              </w:rPr>
              <w:t>2.1</w:t>
            </w:r>
            <w:r>
              <w:rPr>
                <w:rFonts w:asciiTheme="minorHAnsi" w:eastAsiaTheme="minorEastAsia" w:hAnsiTheme="minorHAnsi"/>
                <w:noProof/>
                <w:szCs w:val="24"/>
              </w:rPr>
              <w:tab/>
            </w:r>
            <w:r w:rsidRPr="00F6504C">
              <w:rPr>
                <w:rStyle w:val="Hyperlink"/>
                <w:rFonts w:cs="Arial"/>
                <w:noProof/>
                <w:lang w:val=""/>
              </w:rPr>
              <w:t>Aviation in Hospitality Industry</w:t>
            </w:r>
            <w:r>
              <w:rPr>
                <w:noProof/>
                <w:webHidden/>
              </w:rPr>
              <w:tab/>
            </w:r>
            <w:r>
              <w:rPr>
                <w:noProof/>
                <w:webHidden/>
              </w:rPr>
              <w:fldChar w:fldCharType="begin"/>
            </w:r>
            <w:r>
              <w:rPr>
                <w:noProof/>
                <w:webHidden/>
              </w:rPr>
              <w:instrText xml:space="preserve"> PAGEREF _Toc191297823 \h </w:instrText>
            </w:r>
            <w:r>
              <w:rPr>
                <w:noProof/>
                <w:webHidden/>
              </w:rPr>
            </w:r>
            <w:r>
              <w:rPr>
                <w:noProof/>
                <w:webHidden/>
              </w:rPr>
              <w:fldChar w:fldCharType="separate"/>
            </w:r>
            <w:r>
              <w:rPr>
                <w:noProof/>
                <w:webHidden/>
              </w:rPr>
              <w:t>4</w:t>
            </w:r>
            <w:r>
              <w:rPr>
                <w:noProof/>
                <w:webHidden/>
              </w:rPr>
              <w:fldChar w:fldCharType="end"/>
            </w:r>
          </w:hyperlink>
        </w:p>
        <w:p w14:paraId="03F48B55" w14:textId="586D0EBB" w:rsidR="001455E0" w:rsidRDefault="001455E0" w:rsidP="009E035B">
          <w:pPr>
            <w:pStyle w:val="TOC2"/>
            <w:tabs>
              <w:tab w:val="left" w:pos="960"/>
              <w:tab w:val="right" w:leader="dot" w:pos="9016"/>
            </w:tabs>
            <w:ind w:left="0"/>
            <w:rPr>
              <w:rFonts w:asciiTheme="minorHAnsi" w:eastAsiaTheme="minorEastAsia" w:hAnsiTheme="minorHAnsi"/>
              <w:noProof/>
              <w:szCs w:val="24"/>
            </w:rPr>
          </w:pPr>
          <w:hyperlink w:anchor="_Toc191297824" w:history="1">
            <w:r w:rsidRPr="00F6504C">
              <w:rPr>
                <w:rStyle w:val="Hyperlink"/>
                <w:rFonts w:eastAsia="Times New Roman" w:cs="Arial"/>
                <w:noProof/>
                <w:lang w:eastAsia="en-GB"/>
              </w:rPr>
              <w:t>2.2</w:t>
            </w:r>
            <w:r>
              <w:rPr>
                <w:rFonts w:asciiTheme="minorHAnsi" w:eastAsiaTheme="minorEastAsia" w:hAnsiTheme="minorHAnsi"/>
                <w:noProof/>
                <w:szCs w:val="24"/>
              </w:rPr>
              <w:tab/>
            </w:r>
            <w:r w:rsidRPr="00F6504C">
              <w:rPr>
                <w:rStyle w:val="Hyperlink"/>
                <w:rFonts w:eastAsia="Times New Roman" w:cs="Arial"/>
                <w:noProof/>
                <w:lang w:eastAsia="en-GB"/>
              </w:rPr>
              <w:t>Environmental Impact Assessment</w:t>
            </w:r>
            <w:r>
              <w:rPr>
                <w:noProof/>
                <w:webHidden/>
              </w:rPr>
              <w:tab/>
            </w:r>
            <w:r>
              <w:rPr>
                <w:noProof/>
                <w:webHidden/>
              </w:rPr>
              <w:fldChar w:fldCharType="begin"/>
            </w:r>
            <w:r>
              <w:rPr>
                <w:noProof/>
                <w:webHidden/>
              </w:rPr>
              <w:instrText xml:space="preserve"> PAGEREF _Toc191297824 \h </w:instrText>
            </w:r>
            <w:r>
              <w:rPr>
                <w:noProof/>
                <w:webHidden/>
              </w:rPr>
            </w:r>
            <w:r>
              <w:rPr>
                <w:noProof/>
                <w:webHidden/>
              </w:rPr>
              <w:fldChar w:fldCharType="separate"/>
            </w:r>
            <w:r>
              <w:rPr>
                <w:noProof/>
                <w:webHidden/>
              </w:rPr>
              <w:t>7</w:t>
            </w:r>
            <w:r>
              <w:rPr>
                <w:noProof/>
                <w:webHidden/>
              </w:rPr>
              <w:fldChar w:fldCharType="end"/>
            </w:r>
          </w:hyperlink>
        </w:p>
        <w:p w14:paraId="5791F533" w14:textId="31C5668D" w:rsidR="001455E0" w:rsidRDefault="001455E0" w:rsidP="009E035B">
          <w:pPr>
            <w:pStyle w:val="TOC2"/>
            <w:tabs>
              <w:tab w:val="left" w:pos="960"/>
              <w:tab w:val="right" w:leader="dot" w:pos="9016"/>
            </w:tabs>
            <w:ind w:left="0"/>
            <w:rPr>
              <w:rFonts w:asciiTheme="minorHAnsi" w:eastAsiaTheme="minorEastAsia" w:hAnsiTheme="minorHAnsi"/>
              <w:noProof/>
              <w:szCs w:val="24"/>
            </w:rPr>
          </w:pPr>
          <w:hyperlink w:anchor="_Toc191297825" w:history="1">
            <w:r w:rsidRPr="00F6504C">
              <w:rPr>
                <w:rStyle w:val="Hyperlink"/>
                <w:rFonts w:cs="Arial"/>
                <w:noProof/>
                <w:lang w:val=""/>
              </w:rPr>
              <w:t>2.3</w:t>
            </w:r>
            <w:r>
              <w:rPr>
                <w:rFonts w:asciiTheme="minorHAnsi" w:eastAsiaTheme="minorEastAsia" w:hAnsiTheme="minorHAnsi"/>
                <w:noProof/>
                <w:szCs w:val="24"/>
              </w:rPr>
              <w:tab/>
            </w:r>
            <w:r w:rsidRPr="00F6504C">
              <w:rPr>
                <w:rStyle w:val="Hyperlink"/>
                <w:rFonts w:cs="Arial"/>
                <w:noProof/>
              </w:rPr>
              <w:t>Solutions, Initiatives and Industry Examples</w:t>
            </w:r>
            <w:r>
              <w:rPr>
                <w:noProof/>
                <w:webHidden/>
              </w:rPr>
              <w:tab/>
            </w:r>
            <w:r>
              <w:rPr>
                <w:noProof/>
                <w:webHidden/>
              </w:rPr>
              <w:fldChar w:fldCharType="begin"/>
            </w:r>
            <w:r>
              <w:rPr>
                <w:noProof/>
                <w:webHidden/>
              </w:rPr>
              <w:instrText xml:space="preserve"> PAGEREF _Toc191297825 \h </w:instrText>
            </w:r>
            <w:r>
              <w:rPr>
                <w:noProof/>
                <w:webHidden/>
              </w:rPr>
            </w:r>
            <w:r>
              <w:rPr>
                <w:noProof/>
                <w:webHidden/>
              </w:rPr>
              <w:fldChar w:fldCharType="separate"/>
            </w:r>
            <w:r>
              <w:rPr>
                <w:noProof/>
                <w:webHidden/>
              </w:rPr>
              <w:t>9</w:t>
            </w:r>
            <w:r>
              <w:rPr>
                <w:noProof/>
                <w:webHidden/>
              </w:rPr>
              <w:fldChar w:fldCharType="end"/>
            </w:r>
          </w:hyperlink>
        </w:p>
        <w:p w14:paraId="15787DA5" w14:textId="2D0C0F87" w:rsidR="001455E0" w:rsidRDefault="001455E0">
          <w:pPr>
            <w:pStyle w:val="TOC1"/>
            <w:tabs>
              <w:tab w:val="left" w:pos="480"/>
              <w:tab w:val="right" w:leader="dot" w:pos="9016"/>
            </w:tabs>
            <w:rPr>
              <w:rFonts w:asciiTheme="minorHAnsi" w:eastAsiaTheme="minorEastAsia" w:hAnsiTheme="minorHAnsi"/>
              <w:noProof/>
              <w:szCs w:val="24"/>
            </w:rPr>
          </w:pPr>
          <w:hyperlink w:anchor="_Toc191297826" w:history="1">
            <w:r w:rsidRPr="00F6504C">
              <w:rPr>
                <w:rStyle w:val="Hyperlink"/>
                <w:rFonts w:cs="Arial"/>
                <w:noProof/>
                <w:lang w:val=""/>
              </w:rPr>
              <w:t>3</w:t>
            </w:r>
            <w:r>
              <w:rPr>
                <w:rFonts w:asciiTheme="minorHAnsi" w:eastAsiaTheme="minorEastAsia" w:hAnsiTheme="minorHAnsi"/>
                <w:noProof/>
                <w:szCs w:val="24"/>
              </w:rPr>
              <w:tab/>
            </w:r>
            <w:r w:rsidRPr="00F6504C">
              <w:rPr>
                <w:rStyle w:val="Hyperlink"/>
                <w:rFonts w:cs="Arial"/>
                <w:noProof/>
                <w:lang w:val=""/>
              </w:rPr>
              <w:t>Conclusion and Recommendations</w:t>
            </w:r>
            <w:r>
              <w:rPr>
                <w:noProof/>
                <w:webHidden/>
              </w:rPr>
              <w:tab/>
            </w:r>
            <w:r>
              <w:rPr>
                <w:noProof/>
                <w:webHidden/>
              </w:rPr>
              <w:fldChar w:fldCharType="begin"/>
            </w:r>
            <w:r>
              <w:rPr>
                <w:noProof/>
                <w:webHidden/>
              </w:rPr>
              <w:instrText xml:space="preserve"> PAGEREF _Toc191297826 \h </w:instrText>
            </w:r>
            <w:r>
              <w:rPr>
                <w:noProof/>
                <w:webHidden/>
              </w:rPr>
            </w:r>
            <w:r>
              <w:rPr>
                <w:noProof/>
                <w:webHidden/>
              </w:rPr>
              <w:fldChar w:fldCharType="separate"/>
            </w:r>
            <w:r>
              <w:rPr>
                <w:noProof/>
                <w:webHidden/>
              </w:rPr>
              <w:t>11</w:t>
            </w:r>
            <w:r>
              <w:rPr>
                <w:noProof/>
                <w:webHidden/>
              </w:rPr>
              <w:fldChar w:fldCharType="end"/>
            </w:r>
          </w:hyperlink>
        </w:p>
        <w:p w14:paraId="4A78EDCB" w14:textId="4246747E" w:rsidR="001455E0" w:rsidRDefault="001455E0" w:rsidP="009E035B">
          <w:pPr>
            <w:pStyle w:val="TOC2"/>
            <w:tabs>
              <w:tab w:val="left" w:pos="960"/>
              <w:tab w:val="right" w:leader="dot" w:pos="9016"/>
            </w:tabs>
            <w:ind w:left="0"/>
            <w:rPr>
              <w:rFonts w:asciiTheme="minorHAnsi" w:eastAsiaTheme="minorEastAsia" w:hAnsiTheme="minorHAnsi"/>
              <w:noProof/>
              <w:szCs w:val="24"/>
            </w:rPr>
          </w:pPr>
          <w:hyperlink w:anchor="_Toc191297827" w:history="1">
            <w:r w:rsidRPr="00F6504C">
              <w:rPr>
                <w:rStyle w:val="Hyperlink"/>
                <w:rFonts w:cs="Arial"/>
                <w:noProof/>
                <w:lang w:val=""/>
              </w:rPr>
              <w:t>3.1</w:t>
            </w:r>
            <w:r>
              <w:rPr>
                <w:rFonts w:asciiTheme="minorHAnsi" w:eastAsiaTheme="minorEastAsia" w:hAnsiTheme="minorHAnsi"/>
                <w:noProof/>
                <w:szCs w:val="24"/>
              </w:rPr>
              <w:tab/>
            </w:r>
            <w:r w:rsidRPr="00F6504C">
              <w:rPr>
                <w:rStyle w:val="Hyperlink"/>
                <w:rFonts w:cs="Arial"/>
                <w:noProof/>
                <w:lang w:val=""/>
              </w:rPr>
              <w:t>Recommendations</w:t>
            </w:r>
            <w:r>
              <w:rPr>
                <w:noProof/>
                <w:webHidden/>
              </w:rPr>
              <w:tab/>
            </w:r>
            <w:r>
              <w:rPr>
                <w:noProof/>
                <w:webHidden/>
              </w:rPr>
              <w:fldChar w:fldCharType="begin"/>
            </w:r>
            <w:r>
              <w:rPr>
                <w:noProof/>
                <w:webHidden/>
              </w:rPr>
              <w:instrText xml:space="preserve"> PAGEREF _Toc191297827 \h </w:instrText>
            </w:r>
            <w:r>
              <w:rPr>
                <w:noProof/>
                <w:webHidden/>
              </w:rPr>
            </w:r>
            <w:r>
              <w:rPr>
                <w:noProof/>
                <w:webHidden/>
              </w:rPr>
              <w:fldChar w:fldCharType="separate"/>
            </w:r>
            <w:r>
              <w:rPr>
                <w:noProof/>
                <w:webHidden/>
              </w:rPr>
              <w:t>11</w:t>
            </w:r>
            <w:r>
              <w:rPr>
                <w:noProof/>
                <w:webHidden/>
              </w:rPr>
              <w:fldChar w:fldCharType="end"/>
            </w:r>
          </w:hyperlink>
        </w:p>
        <w:p w14:paraId="1C477032" w14:textId="2F7ADD0B" w:rsidR="001455E0" w:rsidRDefault="001455E0">
          <w:pPr>
            <w:pStyle w:val="TOC1"/>
            <w:tabs>
              <w:tab w:val="right" w:leader="dot" w:pos="9016"/>
            </w:tabs>
            <w:rPr>
              <w:rFonts w:asciiTheme="minorHAnsi" w:eastAsiaTheme="minorEastAsia" w:hAnsiTheme="minorHAnsi"/>
              <w:noProof/>
              <w:szCs w:val="24"/>
            </w:rPr>
          </w:pPr>
          <w:hyperlink w:anchor="_Toc191297828" w:history="1">
            <w:r w:rsidRPr="00F6504C">
              <w:rPr>
                <w:rStyle w:val="Hyperlink"/>
                <w:rFonts w:cs="Arial"/>
                <w:noProof/>
                <w:lang w:val=""/>
              </w:rPr>
              <w:t>References</w:t>
            </w:r>
            <w:r>
              <w:rPr>
                <w:noProof/>
                <w:webHidden/>
              </w:rPr>
              <w:tab/>
            </w:r>
            <w:r>
              <w:rPr>
                <w:noProof/>
                <w:webHidden/>
              </w:rPr>
              <w:fldChar w:fldCharType="begin"/>
            </w:r>
            <w:r>
              <w:rPr>
                <w:noProof/>
                <w:webHidden/>
              </w:rPr>
              <w:instrText xml:space="preserve"> PAGEREF _Toc191297828 \h </w:instrText>
            </w:r>
            <w:r>
              <w:rPr>
                <w:noProof/>
                <w:webHidden/>
              </w:rPr>
            </w:r>
            <w:r>
              <w:rPr>
                <w:noProof/>
                <w:webHidden/>
              </w:rPr>
              <w:fldChar w:fldCharType="separate"/>
            </w:r>
            <w:r>
              <w:rPr>
                <w:noProof/>
                <w:webHidden/>
              </w:rPr>
              <w:t>13</w:t>
            </w:r>
            <w:r>
              <w:rPr>
                <w:noProof/>
                <w:webHidden/>
              </w:rPr>
              <w:fldChar w:fldCharType="end"/>
            </w:r>
          </w:hyperlink>
        </w:p>
        <w:p w14:paraId="74FC6994" w14:textId="7BA7F3C5" w:rsidR="00EE4585" w:rsidRPr="003268BC" w:rsidRDefault="005A3047">
          <w:pPr>
            <w:rPr>
              <w:rFonts w:cs="Arial"/>
            </w:rPr>
          </w:pPr>
          <w:r w:rsidRPr="003268BC">
            <w:rPr>
              <w:rFonts w:cs="Arial"/>
              <w:b/>
              <w:bCs/>
              <w:noProof/>
            </w:rPr>
            <w:fldChar w:fldCharType="end"/>
          </w:r>
        </w:p>
      </w:sdtContent>
    </w:sdt>
    <w:p w14:paraId="126B4A34" w14:textId="77777777" w:rsidR="00467B66" w:rsidRPr="003268BC" w:rsidRDefault="005A3047" w:rsidP="00EE4585">
      <w:pPr>
        <w:spacing w:line="259" w:lineRule="auto"/>
        <w:jc w:val="left"/>
        <w:rPr>
          <w:rFonts w:cs="Arial"/>
          <w:color w:val="000000" w:themeColor="text1"/>
          <w:lang w:val=""/>
        </w:rPr>
      </w:pPr>
      <w:r w:rsidRPr="003268BC">
        <w:rPr>
          <w:rFonts w:cs="Arial"/>
          <w:color w:val="000000" w:themeColor="text1"/>
          <w:lang w:val=""/>
        </w:rPr>
        <w:br w:type="page"/>
      </w:r>
    </w:p>
    <w:p w14:paraId="390A750C" w14:textId="77777777" w:rsidR="00467B66" w:rsidRPr="003268BC" w:rsidRDefault="005A3047" w:rsidP="00EE4585">
      <w:pPr>
        <w:pStyle w:val="Heading1"/>
        <w:rPr>
          <w:rFonts w:cs="Arial"/>
          <w:lang w:val=""/>
        </w:rPr>
      </w:pPr>
      <w:bookmarkStart w:id="0" w:name="_Toc191297821"/>
      <w:r w:rsidRPr="003268BC">
        <w:rPr>
          <w:rFonts w:cs="Arial"/>
          <w:lang w:val=""/>
        </w:rPr>
        <w:lastRenderedPageBreak/>
        <w:t>Introduction</w:t>
      </w:r>
      <w:bookmarkEnd w:id="0"/>
      <w:r w:rsidRPr="003268BC">
        <w:rPr>
          <w:rFonts w:cs="Arial"/>
          <w:lang w:val=""/>
        </w:rPr>
        <w:t xml:space="preserve"> </w:t>
      </w:r>
    </w:p>
    <w:p w14:paraId="61392420" w14:textId="39D9984B" w:rsidR="00D42164" w:rsidRPr="003268BC" w:rsidRDefault="003B52C6" w:rsidP="00D42164">
      <w:pPr>
        <w:rPr>
          <w:rFonts w:cs="Arial"/>
          <w:color w:val="000000" w:themeColor="text1"/>
          <w:lang w:val=""/>
        </w:rPr>
      </w:pPr>
      <w:r>
        <w:rPr>
          <w:rFonts w:cs="Arial"/>
          <w:color w:val="000000" w:themeColor="text1"/>
          <w:lang w:val=""/>
        </w:rPr>
        <w:t>T</w:t>
      </w:r>
      <w:r w:rsidRPr="003B52C6">
        <w:rPr>
          <w:rFonts w:cs="Arial"/>
          <w:color w:val="000000" w:themeColor="text1"/>
          <w:lang w:val=""/>
        </w:rPr>
        <w:t xml:space="preserve">he concept of hospitality transport </w:t>
      </w:r>
      <w:r>
        <w:rPr>
          <w:rFonts w:cs="Arial"/>
          <w:color w:val="000000" w:themeColor="text1"/>
          <w:lang w:val=""/>
        </w:rPr>
        <w:t>involves</w:t>
      </w:r>
      <w:r w:rsidRPr="003B52C6">
        <w:rPr>
          <w:rFonts w:cs="Arial"/>
          <w:color w:val="000000" w:themeColor="text1"/>
          <w:lang w:val=""/>
        </w:rPr>
        <w:t xml:space="preserve"> the comprehensive movement of guests, staff, and goods within the hospitality sector, serving as a crucial connector between various hospitality attractions and services</w:t>
      </w:r>
      <w:r>
        <w:rPr>
          <w:rFonts w:cs="Arial"/>
          <w:color w:val="000000" w:themeColor="text1"/>
          <w:lang w:val=""/>
        </w:rPr>
        <w:t xml:space="preserve"> </w:t>
      </w:r>
      <w:r w:rsidRPr="003268BC">
        <w:rPr>
          <w:rFonts w:cs="Arial"/>
          <w:color w:val="000000" w:themeColor="text1"/>
          <w:lang w:val=""/>
        </w:rPr>
        <w:t>(Thommandru et al., 2023). Hospitality experiences rely heavily on transport systems that determine both operational outcomes and guest contentment because of their performance effectiveness and accessibility abilities</w:t>
      </w:r>
      <w:r w:rsidR="00127A90">
        <w:rPr>
          <w:rFonts w:cs="Arial"/>
          <w:color w:val="000000" w:themeColor="text1"/>
          <w:lang w:val=""/>
        </w:rPr>
        <w:t xml:space="preserve"> (</w:t>
      </w:r>
      <w:r w:rsidR="00127A90" w:rsidRPr="00127A90">
        <w:rPr>
          <w:rFonts w:cs="Arial"/>
          <w:color w:val="000000" w:themeColor="text1"/>
        </w:rPr>
        <w:t>Jauhari, 2021)</w:t>
      </w:r>
      <w:r w:rsidRPr="003268BC">
        <w:rPr>
          <w:rFonts w:cs="Arial"/>
          <w:color w:val="000000" w:themeColor="text1"/>
          <w:lang w:val=""/>
        </w:rPr>
        <w:t xml:space="preserve">. </w:t>
      </w:r>
      <w:r w:rsidR="00127A90">
        <w:rPr>
          <w:rFonts w:cs="Arial"/>
          <w:color w:val="000000" w:themeColor="text1"/>
          <w:lang w:val=""/>
        </w:rPr>
        <w:t>H</w:t>
      </w:r>
      <w:r w:rsidRPr="003268BC">
        <w:rPr>
          <w:rFonts w:cs="Arial"/>
          <w:color w:val="000000" w:themeColor="text1"/>
          <w:lang w:val=""/>
        </w:rPr>
        <w:t>otels with better accessibility to transport systems experience superior accommodation reservations alongside superior performance scores (Deng et al., 2020). Transportation within the hospitality industry exists on several levels to provide domestic shuttle services and international travel connectivity. Air transportation stands out as a crucial transportation mode that carried about 4.5 billion passengers worldwide before the pandemic in 2019. Airport transportation is a vital element in hospitality because international tourists mainly use air transport to reach their destinations (Tsukanova, 2022).</w:t>
      </w:r>
    </w:p>
    <w:p w14:paraId="682BC680" w14:textId="77777777" w:rsidR="00282F28" w:rsidRPr="003268BC" w:rsidRDefault="005A3047" w:rsidP="00D42164">
      <w:pPr>
        <w:rPr>
          <w:rFonts w:cs="Arial"/>
          <w:color w:val="000000" w:themeColor="text1"/>
          <w:szCs w:val="24"/>
          <w:lang w:val=""/>
        </w:rPr>
      </w:pPr>
      <w:r w:rsidRPr="003268BC">
        <w:rPr>
          <w:rFonts w:cs="Arial"/>
          <w:color w:val="000000" w:themeColor="text1"/>
          <w:lang w:val=""/>
        </w:rPr>
        <w:t xml:space="preserve">The report focuses on aviation effects on tourist facilities by examining environmental effects and developing sustainable transportation solutions. Current real-time operational techniques and prospective progressive solutions for sustainable aviation solutions form the basis of this assessment, emphasising new technologies and industrial developments. The report has three main goals, which consist of assessing aviation's environmental effects and recognising sector challenges while presenting sustainable strategies for hospitality air transport systems. </w:t>
      </w:r>
      <w:r w:rsidRPr="00282F28">
        <w:rPr>
          <w:rFonts w:cs="Arial"/>
          <w:color w:val="000000" w:themeColor="text1"/>
          <w:szCs w:val="24"/>
          <w:lang w:val=""/>
        </w:rPr>
        <w:t>The pressing need for this analysis is underscored by recent environmental events and socio-economic pressures, which have highlighted the urgency for developing more sustainable transportation solutions within the hospitality sector (Zheng, Gao and Fang, 2022)</w:t>
      </w:r>
    </w:p>
    <w:p w14:paraId="726B0566" w14:textId="77777777" w:rsidR="00467B66" w:rsidRPr="003268BC" w:rsidRDefault="005A3047" w:rsidP="00EE4585">
      <w:pPr>
        <w:pStyle w:val="Heading1"/>
        <w:rPr>
          <w:rFonts w:cs="Arial"/>
          <w:lang w:val=""/>
        </w:rPr>
      </w:pPr>
      <w:bookmarkStart w:id="1" w:name="_Toc191297822"/>
      <w:r w:rsidRPr="003268BC">
        <w:rPr>
          <w:rFonts w:cs="Arial"/>
          <w:lang w:val=""/>
        </w:rPr>
        <w:t>Main Findings</w:t>
      </w:r>
      <w:bookmarkEnd w:id="1"/>
      <w:r w:rsidRPr="003268BC">
        <w:rPr>
          <w:rFonts w:cs="Arial"/>
          <w:lang w:val=""/>
        </w:rPr>
        <w:t xml:space="preserve"> </w:t>
      </w:r>
    </w:p>
    <w:p w14:paraId="0EBAFF49" w14:textId="77777777" w:rsidR="00467B66" w:rsidRPr="003268BC" w:rsidRDefault="005A3047" w:rsidP="00EE4585">
      <w:pPr>
        <w:pStyle w:val="Heading2"/>
        <w:rPr>
          <w:rFonts w:cs="Arial"/>
          <w:lang w:val=""/>
        </w:rPr>
      </w:pPr>
      <w:bookmarkStart w:id="2" w:name="_Toc191297823"/>
      <w:r w:rsidRPr="003268BC">
        <w:rPr>
          <w:rFonts w:cs="Arial"/>
          <w:lang w:val=""/>
        </w:rPr>
        <w:t>Aviation in Hospitality Industry</w:t>
      </w:r>
      <w:bookmarkEnd w:id="2"/>
    </w:p>
    <w:p w14:paraId="36E05648" w14:textId="7325946A" w:rsidR="00E708AD" w:rsidRPr="003268BC" w:rsidRDefault="005A3047" w:rsidP="00A45483">
      <w:pPr>
        <w:rPr>
          <w:rFonts w:cs="Arial"/>
          <w:color w:val="000000" w:themeColor="text1"/>
          <w:lang w:val=""/>
        </w:rPr>
      </w:pPr>
      <w:r w:rsidRPr="00E708AD">
        <w:rPr>
          <w:rFonts w:cs="Arial"/>
          <w:color w:val="000000" w:themeColor="text1"/>
          <w:lang w:val=""/>
        </w:rPr>
        <w:t xml:space="preserve">The aviation sector </w:t>
      </w:r>
      <w:r w:rsidR="005C7E20" w:rsidRPr="003268BC">
        <w:rPr>
          <w:rFonts w:cs="Arial"/>
          <w:color w:val="000000" w:themeColor="text1"/>
          <w:lang w:val=""/>
        </w:rPr>
        <w:t>is</w:t>
      </w:r>
      <w:r w:rsidRPr="00E708AD">
        <w:rPr>
          <w:rFonts w:cs="Arial"/>
          <w:color w:val="000000" w:themeColor="text1"/>
          <w:lang w:val=""/>
        </w:rPr>
        <w:t xml:space="preserve"> a fundamental pillar of the global hospitality industry, facilitating unprecedented connectivity and driving economic growth across tourism destinations worldwide</w:t>
      </w:r>
      <w:r w:rsidR="00127A90">
        <w:rPr>
          <w:rFonts w:cs="Arial"/>
          <w:color w:val="000000" w:themeColor="text1"/>
          <w:lang w:val=""/>
        </w:rPr>
        <w:t xml:space="preserve"> (Cooper, 2021)</w:t>
      </w:r>
      <w:r w:rsidRPr="00E708AD">
        <w:rPr>
          <w:rFonts w:cs="Arial"/>
          <w:color w:val="000000" w:themeColor="text1"/>
          <w:lang w:val=""/>
        </w:rPr>
        <w:t xml:space="preserve">. The intrinsic relationship between air transport and tourism has evolved significantly since the 1960s, shaped by technological advancements in jet aircraft and market liberalisation policies (Papatheodorou, 2021). This symbiotic </w:t>
      </w:r>
      <w:r w:rsidRPr="00E708AD">
        <w:rPr>
          <w:rFonts w:cs="Arial"/>
          <w:color w:val="000000" w:themeColor="text1"/>
          <w:lang w:val=""/>
        </w:rPr>
        <w:lastRenderedPageBreak/>
        <w:t xml:space="preserve">relationship is evidenced by </w:t>
      </w:r>
      <w:r w:rsidR="00A45483" w:rsidRPr="003268BC">
        <w:rPr>
          <w:rFonts w:cs="Arial"/>
          <w:color w:val="000000" w:themeColor="text1"/>
          <w:lang w:val=""/>
        </w:rPr>
        <w:t>58% of international tourists travelling</w:t>
      </w:r>
      <w:r w:rsidRPr="00E708AD">
        <w:rPr>
          <w:rFonts w:cs="Arial"/>
          <w:color w:val="000000" w:themeColor="text1"/>
          <w:lang w:val=""/>
        </w:rPr>
        <w:t xml:space="preserve"> by air in 2018, a substantial increase from 35% in 1980.</w:t>
      </w:r>
      <w:r w:rsidR="00A45483" w:rsidRPr="003268BC">
        <w:rPr>
          <w:rFonts w:cs="Arial"/>
          <w:color w:val="000000" w:themeColor="text1"/>
          <w:lang w:val=""/>
        </w:rPr>
        <w:t xml:space="preserve"> </w:t>
      </w:r>
      <w:r w:rsidRPr="00E708AD">
        <w:rPr>
          <w:rFonts w:cs="Arial"/>
          <w:color w:val="000000" w:themeColor="text1"/>
          <w:lang w:val=""/>
        </w:rPr>
        <w:t>Recent statistics demonstrate the sector's remarkable recovery and significance. In 2023, the global airline industry served approximately 4.5 billion scheduled passengers, with projections indicating further growth to nearly five billion travellers in 2024 (Statista, 2024). The regional distribution of airline passenger traffic reveals the Asia Pacific region's dominance, accounting for one-third of global passenger movements, highlighting the region's crucial role in international tourism.</w:t>
      </w:r>
    </w:p>
    <w:p w14:paraId="575ADBED" w14:textId="77777777" w:rsidR="00A45483" w:rsidRPr="003268BC" w:rsidRDefault="005A3047" w:rsidP="00A45483">
      <w:pPr>
        <w:keepNext/>
        <w:jc w:val="center"/>
        <w:rPr>
          <w:rFonts w:cs="Arial"/>
          <w:color w:val="000000" w:themeColor="text1"/>
        </w:rPr>
      </w:pPr>
      <w:r w:rsidRPr="003268BC">
        <w:rPr>
          <w:rFonts w:cs="Arial"/>
          <w:noProof/>
          <w:color w:val="000000" w:themeColor="text1"/>
          <w:lang w:val=""/>
        </w:rPr>
        <w:drawing>
          <wp:inline distT="0" distB="0" distL="0" distR="0" wp14:anchorId="29C9C048" wp14:editId="3BE25529">
            <wp:extent cx="3921760" cy="2912426"/>
            <wp:effectExtent l="19050" t="19050" r="21590" b="21590"/>
            <wp:docPr id="1280744402" name="Picture 2" descr="A graph of blue and grey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44402" name="Picture 2" descr="A graph of blue and grey bar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923954" cy="2914055"/>
                    </a:xfrm>
                    <a:prstGeom prst="rect">
                      <a:avLst/>
                    </a:prstGeom>
                    <a:ln>
                      <a:solidFill>
                        <a:schemeClr val="tx1"/>
                      </a:solidFill>
                    </a:ln>
                  </pic:spPr>
                </pic:pic>
              </a:graphicData>
            </a:graphic>
          </wp:inline>
        </w:drawing>
      </w:r>
    </w:p>
    <w:p w14:paraId="53B3EFC8" w14:textId="77777777" w:rsidR="00E708AD" w:rsidRPr="00E708AD" w:rsidRDefault="005A3047" w:rsidP="00A45483">
      <w:pPr>
        <w:pStyle w:val="Caption"/>
        <w:jc w:val="center"/>
        <w:rPr>
          <w:rFonts w:cs="Arial"/>
          <w:i w:val="0"/>
          <w:iCs w:val="0"/>
          <w:color w:val="000000" w:themeColor="text1"/>
          <w:sz w:val="20"/>
          <w:szCs w:val="20"/>
          <w:lang w:val=""/>
        </w:rPr>
      </w:pPr>
      <w:r w:rsidRPr="003268BC">
        <w:rPr>
          <w:rFonts w:cs="Arial"/>
          <w:b/>
          <w:bCs/>
          <w:i w:val="0"/>
          <w:iCs w:val="0"/>
          <w:color w:val="000000" w:themeColor="text1"/>
          <w:sz w:val="20"/>
          <w:szCs w:val="20"/>
        </w:rPr>
        <w:t xml:space="preserve">Figure </w:t>
      </w:r>
      <w:r w:rsidRPr="003268BC">
        <w:rPr>
          <w:rFonts w:cs="Arial"/>
          <w:b/>
          <w:bCs/>
          <w:i w:val="0"/>
          <w:iCs w:val="0"/>
          <w:color w:val="000000" w:themeColor="text1"/>
          <w:sz w:val="20"/>
          <w:szCs w:val="20"/>
        </w:rPr>
        <w:fldChar w:fldCharType="begin"/>
      </w:r>
      <w:r w:rsidRPr="003268BC">
        <w:rPr>
          <w:rFonts w:cs="Arial"/>
          <w:b/>
          <w:bCs/>
          <w:i w:val="0"/>
          <w:iCs w:val="0"/>
          <w:color w:val="000000" w:themeColor="text1"/>
          <w:sz w:val="20"/>
          <w:szCs w:val="20"/>
        </w:rPr>
        <w:instrText xml:space="preserve"> SEQ Figure \* ARABIC </w:instrText>
      </w:r>
      <w:r w:rsidRPr="003268BC">
        <w:rPr>
          <w:rFonts w:cs="Arial"/>
          <w:b/>
          <w:bCs/>
          <w:i w:val="0"/>
          <w:iCs w:val="0"/>
          <w:color w:val="000000" w:themeColor="text1"/>
          <w:sz w:val="20"/>
          <w:szCs w:val="20"/>
        </w:rPr>
        <w:fldChar w:fldCharType="separate"/>
      </w:r>
      <w:r w:rsidR="00324BAF" w:rsidRPr="003268BC">
        <w:rPr>
          <w:rFonts w:cs="Arial"/>
          <w:b/>
          <w:bCs/>
          <w:i w:val="0"/>
          <w:iCs w:val="0"/>
          <w:noProof/>
          <w:color w:val="000000" w:themeColor="text1"/>
          <w:sz w:val="20"/>
          <w:szCs w:val="20"/>
        </w:rPr>
        <w:t>1</w:t>
      </w:r>
      <w:r w:rsidRPr="003268BC">
        <w:rPr>
          <w:rFonts w:cs="Arial"/>
          <w:b/>
          <w:bCs/>
          <w:i w:val="0"/>
          <w:iCs w:val="0"/>
          <w:color w:val="000000" w:themeColor="text1"/>
          <w:sz w:val="20"/>
          <w:szCs w:val="20"/>
        </w:rPr>
        <w:fldChar w:fldCharType="end"/>
      </w:r>
      <w:r w:rsidRPr="003268BC">
        <w:rPr>
          <w:rFonts w:cs="Arial"/>
          <w:i w:val="0"/>
          <w:iCs w:val="0"/>
          <w:color w:val="000000" w:themeColor="text1"/>
          <w:sz w:val="20"/>
          <w:szCs w:val="20"/>
        </w:rPr>
        <w:t xml:space="preserve"> Number of passenger</w:t>
      </w:r>
      <w:r w:rsidR="00EE4585" w:rsidRPr="003268BC">
        <w:rPr>
          <w:rFonts w:cs="Arial"/>
          <w:i w:val="0"/>
          <w:iCs w:val="0"/>
          <w:color w:val="000000" w:themeColor="text1"/>
          <w:sz w:val="20"/>
          <w:szCs w:val="20"/>
        </w:rPr>
        <w:t>s travelling</w:t>
      </w:r>
      <w:r w:rsidRPr="003268BC">
        <w:rPr>
          <w:rFonts w:cs="Arial"/>
          <w:i w:val="0"/>
          <w:iCs w:val="0"/>
          <w:color w:val="000000" w:themeColor="text1"/>
          <w:sz w:val="20"/>
          <w:szCs w:val="20"/>
        </w:rPr>
        <w:t xml:space="preserve"> </w:t>
      </w:r>
      <w:r w:rsidR="00EE4585" w:rsidRPr="003268BC">
        <w:rPr>
          <w:rFonts w:cs="Arial"/>
          <w:i w:val="0"/>
          <w:iCs w:val="0"/>
          <w:color w:val="000000" w:themeColor="text1"/>
          <w:sz w:val="20"/>
          <w:szCs w:val="20"/>
        </w:rPr>
        <w:t>through</w:t>
      </w:r>
      <w:r w:rsidRPr="003268BC">
        <w:rPr>
          <w:rFonts w:cs="Arial"/>
          <w:i w:val="0"/>
          <w:iCs w:val="0"/>
          <w:color w:val="000000" w:themeColor="text1"/>
          <w:sz w:val="20"/>
          <w:szCs w:val="20"/>
        </w:rPr>
        <w:t xml:space="preserve"> air transport from 2004-2024 Source: </w:t>
      </w:r>
      <w:r w:rsidR="00EE4585" w:rsidRPr="00E708AD">
        <w:rPr>
          <w:rFonts w:cs="Arial"/>
          <w:i w:val="0"/>
          <w:iCs w:val="0"/>
          <w:color w:val="000000" w:themeColor="text1"/>
          <w:sz w:val="20"/>
          <w:szCs w:val="20"/>
          <w:lang w:val=""/>
        </w:rPr>
        <w:t xml:space="preserve">(Statista, 2024). </w:t>
      </w:r>
    </w:p>
    <w:p w14:paraId="3902BFF2" w14:textId="77777777" w:rsidR="00E708AD" w:rsidRPr="00E708AD" w:rsidRDefault="005A3047" w:rsidP="00A45483">
      <w:pPr>
        <w:rPr>
          <w:rFonts w:cs="Arial"/>
          <w:color w:val="000000" w:themeColor="text1"/>
          <w:lang w:val=""/>
        </w:rPr>
      </w:pPr>
      <w:r w:rsidRPr="00E708AD">
        <w:rPr>
          <w:rFonts w:cs="Arial"/>
          <w:color w:val="000000" w:themeColor="text1"/>
          <w:lang w:val=""/>
        </w:rPr>
        <w:t>The economic impact of aviation within the hospitality sector is substantial. According to industry analysis, air transport directly contributed to 19.6 million jobs in hospitality-related sectors, including hotels, restaurants, and visitor attractions. When considering multiplier effects, the total impact reached 44.8 million jobs and generated $1 trillion in global GDP (Papatheodorou, 2021). This economic significance is further underscored by the operating profits of scheduled airlines, which reached approximately USD 12.5 billion in 2022, representing 1.7% of operating revenues totalling USD 730.5 billion (ICAO, 2022).</w:t>
      </w:r>
      <w:r w:rsidR="00A45483" w:rsidRPr="003268BC">
        <w:rPr>
          <w:rFonts w:cs="Arial"/>
          <w:color w:val="000000" w:themeColor="text1"/>
          <w:lang w:val=""/>
        </w:rPr>
        <w:t xml:space="preserve"> Recent performance metrics reveal the industry's resilience and growth potential</w:t>
      </w:r>
      <w:r w:rsidRPr="00E708AD">
        <w:rPr>
          <w:rFonts w:cs="Arial"/>
          <w:color w:val="000000" w:themeColor="text1"/>
          <w:lang w:val=""/>
        </w:rPr>
        <w:t>. ICAO's preliminary statistics for 2022 revealed a 42.8% increase in total passengers carried on scheduled services, reaching 3.3 billion. Regional analysis shows varying recovery rates, with the Middle East experiencing the most substantial growth at 121.1% in passenger traffic, followed by Europe at 92.1% (ICAO, 2022).</w:t>
      </w:r>
    </w:p>
    <w:p w14:paraId="398A7D28" w14:textId="77777777" w:rsidR="00282F28" w:rsidRDefault="005A3047" w:rsidP="00A45483">
      <w:pPr>
        <w:rPr>
          <w:rFonts w:cs="Arial"/>
          <w:color w:val="000000" w:themeColor="text1"/>
          <w:lang w:val=""/>
        </w:rPr>
      </w:pPr>
      <w:r w:rsidRPr="00E708AD">
        <w:rPr>
          <w:rFonts w:cs="Arial"/>
          <w:color w:val="000000" w:themeColor="text1"/>
          <w:lang w:val=""/>
        </w:rPr>
        <w:lastRenderedPageBreak/>
        <w:t xml:space="preserve">However, the sector's vulnerability to external shocks was starkly illustrated during the COVID-19 pandemic, </w:t>
      </w:r>
      <w:r w:rsidR="005C7E20" w:rsidRPr="003268BC">
        <w:rPr>
          <w:rFonts w:cs="Arial"/>
          <w:color w:val="000000" w:themeColor="text1"/>
          <w:lang w:val=""/>
        </w:rPr>
        <w:t>precipitating unprecedented disruption to</w:t>
      </w:r>
      <w:r w:rsidRPr="00E708AD">
        <w:rPr>
          <w:rFonts w:cs="Arial"/>
          <w:color w:val="000000" w:themeColor="text1"/>
          <w:lang w:val=""/>
        </w:rPr>
        <w:t xml:space="preserve"> air transport and hospitality operations worldwide. This crisis has catalysed significant operational adaptations, with industry stakeholders implementing enhanced health measures and redesigning customer journeys to rebuild traveller confidence (Napoli et al., 2022).</w:t>
      </w:r>
      <w:r w:rsidR="00A45483" w:rsidRPr="003268BC">
        <w:rPr>
          <w:rFonts w:cs="Arial"/>
          <w:color w:val="000000" w:themeColor="text1"/>
          <w:lang w:val=""/>
        </w:rPr>
        <w:t xml:space="preserve"> </w:t>
      </w:r>
      <w:r w:rsidR="005C7E20" w:rsidRPr="003268BC">
        <w:rPr>
          <w:rFonts w:cs="Arial"/>
          <w:color w:val="000000" w:themeColor="text1"/>
          <w:lang w:val=""/>
        </w:rPr>
        <w:t>The</w:t>
      </w:r>
      <w:r w:rsidRPr="00E708AD">
        <w:rPr>
          <w:rFonts w:cs="Arial"/>
          <w:color w:val="000000" w:themeColor="text1"/>
          <w:lang w:val=""/>
        </w:rPr>
        <w:t xml:space="preserve"> aviation sector's growth trajectory remains positive, with long-term forecasts predicting a 4.5% annual increase in passenger traffic over the next two decades (ICAO, 2022). This growth potential is supported by continuing fleet modernisation, evidenced by the delivery of 1,143 new commercial aircraft in 2022 and 1,567 new aircraft orders, reflecting industry confidence in future demand.</w:t>
      </w:r>
      <w:r w:rsidR="00A45483" w:rsidRPr="003268BC">
        <w:rPr>
          <w:rFonts w:cs="Arial"/>
          <w:color w:val="000000" w:themeColor="text1"/>
          <w:lang w:val=""/>
        </w:rPr>
        <w:t xml:space="preserve"> </w:t>
      </w:r>
      <w:r w:rsidRPr="00E708AD">
        <w:rPr>
          <w:rFonts w:cs="Arial"/>
          <w:color w:val="000000" w:themeColor="text1"/>
          <w:lang w:val=""/>
        </w:rPr>
        <w:t>The aviation sector's integral role in hospitality extends beyond mere transportation, creating a complex ecosystem that drives tourism development and economic growth. Its importance is particularly evident in peripheral destinations, where improved air accessibility can significantly boost tourism potential, though careful management is essential to prevent overcapacity issues (Papatheodorou, 2021).</w:t>
      </w:r>
    </w:p>
    <w:p w14:paraId="19315B5D" w14:textId="798B7294" w:rsidR="003B52C6" w:rsidRPr="003B52C6" w:rsidRDefault="003B52C6" w:rsidP="003B52C6">
      <w:pPr>
        <w:rPr>
          <w:rFonts w:cs="Arial"/>
          <w:color w:val="000000" w:themeColor="text1"/>
          <w:szCs w:val="24"/>
          <w:lang w:val=""/>
        </w:rPr>
      </w:pPr>
      <w:r w:rsidRPr="003B52C6">
        <w:rPr>
          <w:rFonts w:cs="Arial"/>
          <w:color w:val="000000" w:themeColor="text1"/>
          <w:szCs w:val="24"/>
          <w:lang w:val=""/>
        </w:rPr>
        <w:t xml:space="preserve">The aviation sector within hospitality faces multiple interconnected challenges that require careful consideration and innovative solutions. The fundamental tension between growing travel demand and environmental sustainability presents a significant hurdle for the industry (Legrand, Chen </w:t>
      </w:r>
      <w:r>
        <w:rPr>
          <w:rFonts w:cs="Arial"/>
          <w:color w:val="000000" w:themeColor="text1"/>
          <w:szCs w:val="24"/>
          <w:lang w:val=""/>
        </w:rPr>
        <w:t xml:space="preserve">and </w:t>
      </w:r>
      <w:r w:rsidRPr="003B52C6">
        <w:rPr>
          <w:rFonts w:cs="Arial"/>
          <w:color w:val="000000" w:themeColor="text1"/>
          <w:szCs w:val="24"/>
          <w:lang w:val=""/>
        </w:rPr>
        <w:t>Laeis, 2022)</w:t>
      </w:r>
      <w:r>
        <w:rPr>
          <w:rFonts w:cs="Arial"/>
          <w:color w:val="000000" w:themeColor="text1"/>
          <w:szCs w:val="24"/>
          <w:lang w:val=""/>
        </w:rPr>
        <w:t xml:space="preserve"> </w:t>
      </w:r>
      <w:r w:rsidRPr="003B52C6">
        <w:rPr>
          <w:rFonts w:cs="Arial"/>
          <w:color w:val="000000" w:themeColor="text1"/>
          <w:szCs w:val="24"/>
          <w:lang w:val=""/>
        </w:rPr>
        <w:t xml:space="preserve">. Aircraft emissions contribute substantially to global carbon dioxide levels, with the aviation sector confronting increasing pressure to reduce its environmental footprint while managing rising passenger numbers </w:t>
      </w:r>
      <w:r w:rsidRPr="003B52C6">
        <w:rPr>
          <w:rFonts w:cs="Arial"/>
          <w:color w:val="000000" w:themeColor="text1"/>
          <w:szCs w:val="24"/>
        </w:rPr>
        <w:t>(Amankwah-Amoah, 2020)</w:t>
      </w:r>
      <w:r w:rsidRPr="003B52C6">
        <w:rPr>
          <w:rFonts w:cs="Arial"/>
          <w:color w:val="000000" w:themeColor="text1"/>
          <w:szCs w:val="24"/>
          <w:lang w:val=""/>
        </w:rPr>
        <w:t>. Environmental regulations have intensified because governments worldwide have established stricter operational rules and environmental standards. Air carriers face new operational expenses because the European Union introduced an emissions trading system into the aviation industry. The increasing application of carbon taxes and environmental levies for air travel exists among countries (Efthymiou and Papatheodorou, 2019). The regulatory frameworks substantially affect how routes get planned, and operations are structured.</w:t>
      </w:r>
    </w:p>
    <w:p w14:paraId="158ACC57" w14:textId="77777777" w:rsidR="003B52C6" w:rsidRPr="003268BC" w:rsidRDefault="003B52C6" w:rsidP="003B52C6">
      <w:pPr>
        <w:rPr>
          <w:rFonts w:cs="Arial"/>
          <w:color w:val="000000" w:themeColor="text1"/>
          <w:lang w:val=""/>
        </w:rPr>
      </w:pPr>
    </w:p>
    <w:p w14:paraId="08CDD903" w14:textId="77777777" w:rsidR="003B52C6" w:rsidRPr="003268BC" w:rsidRDefault="003B52C6" w:rsidP="003B52C6">
      <w:pPr>
        <w:keepNext/>
        <w:jc w:val="center"/>
        <w:rPr>
          <w:rFonts w:cs="Arial"/>
          <w:color w:val="000000" w:themeColor="text1"/>
        </w:rPr>
      </w:pPr>
      <w:r w:rsidRPr="003268BC">
        <w:rPr>
          <w:rFonts w:cs="Arial"/>
          <w:noProof/>
          <w:color w:val="000000" w:themeColor="text1"/>
          <w:lang w:val=""/>
        </w:rPr>
        <w:lastRenderedPageBreak/>
        <w:drawing>
          <wp:inline distT="0" distB="0" distL="0" distR="0" wp14:anchorId="41392479" wp14:editId="4839168A">
            <wp:extent cx="4096674" cy="2233518"/>
            <wp:effectExtent l="19050" t="19050" r="18415" b="14605"/>
            <wp:docPr id="327406824" name="Picture 1"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06824" name="Picture 1" descr="A diagram of a diagram of a diagram&#10;&#10;AI-generated content may be incorrect."/>
                    <pic:cNvPicPr/>
                  </pic:nvPicPr>
                  <pic:blipFill>
                    <a:blip r:embed="rId9"/>
                    <a:stretch>
                      <a:fillRect/>
                    </a:stretch>
                  </pic:blipFill>
                  <pic:spPr>
                    <a:xfrm>
                      <a:off x="0" y="0"/>
                      <a:ext cx="4098473" cy="2234499"/>
                    </a:xfrm>
                    <a:prstGeom prst="rect">
                      <a:avLst/>
                    </a:prstGeom>
                    <a:ln>
                      <a:solidFill>
                        <a:schemeClr val="tx1"/>
                      </a:solidFill>
                    </a:ln>
                  </pic:spPr>
                </pic:pic>
              </a:graphicData>
            </a:graphic>
          </wp:inline>
        </w:drawing>
      </w:r>
    </w:p>
    <w:p w14:paraId="5C0AEC6E" w14:textId="77777777" w:rsidR="003B52C6" w:rsidRPr="009F1D82" w:rsidRDefault="003B52C6" w:rsidP="003B52C6">
      <w:pPr>
        <w:pStyle w:val="Caption"/>
        <w:jc w:val="center"/>
        <w:rPr>
          <w:rFonts w:cs="Arial"/>
          <w:i w:val="0"/>
          <w:iCs w:val="0"/>
          <w:color w:val="000000" w:themeColor="text1"/>
          <w:sz w:val="20"/>
          <w:szCs w:val="20"/>
          <w:lang w:val=""/>
        </w:rPr>
      </w:pPr>
      <w:r w:rsidRPr="003268BC">
        <w:rPr>
          <w:rFonts w:cs="Arial"/>
          <w:b/>
          <w:bCs/>
          <w:i w:val="0"/>
          <w:iCs w:val="0"/>
          <w:color w:val="000000" w:themeColor="text1"/>
          <w:sz w:val="20"/>
          <w:szCs w:val="20"/>
        </w:rPr>
        <w:t>Figure 3</w:t>
      </w:r>
      <w:r w:rsidRPr="003268BC">
        <w:rPr>
          <w:rFonts w:cs="Arial"/>
          <w:i w:val="0"/>
          <w:iCs w:val="0"/>
          <w:color w:val="000000" w:themeColor="text1"/>
          <w:sz w:val="20"/>
          <w:szCs w:val="20"/>
        </w:rPr>
        <w:t>: Environmental regulations in aviation Source (FasterCapital, 2024)</w:t>
      </w:r>
    </w:p>
    <w:p w14:paraId="2A1D1579" w14:textId="77777777" w:rsidR="003B52C6" w:rsidRPr="003268BC" w:rsidRDefault="003B52C6" w:rsidP="003B52C6">
      <w:pPr>
        <w:rPr>
          <w:rFonts w:cs="Arial"/>
          <w:color w:val="000000" w:themeColor="text1"/>
          <w:lang w:val=""/>
        </w:rPr>
      </w:pPr>
      <w:r w:rsidRPr="003268BC">
        <w:rPr>
          <w:rFonts w:cs="Arial"/>
          <w:color w:val="000000" w:themeColor="text1"/>
          <w:lang w:val=""/>
        </w:rPr>
        <w:t>Organisations now face elevated environmental expectations from their stakeholders, including travelling customers,, financial investors, and,as well as local community representatives. Owing to sustainability standards, Corporate clients base their travel partner selection while institutional investors evaluate environmental metrics for investment assessment (Velaoras et al., 2025). The considerable amount needed for modern fleet development and the adoption of sustainability technology faces economic barriers as a significant obstacle. Procedures involved in developing sustainable aviation fuels and upgrading airport infrastructure result in substantial costs that create financial strain for operators.</w:t>
      </w:r>
    </w:p>
    <w:p w14:paraId="2F33F459" w14:textId="3130C290" w:rsidR="003B52C6" w:rsidRPr="00467B66" w:rsidRDefault="003B52C6" w:rsidP="00A45483">
      <w:pPr>
        <w:rPr>
          <w:rFonts w:cs="Arial"/>
          <w:color w:val="000000" w:themeColor="text1"/>
          <w:lang w:val=""/>
        </w:rPr>
      </w:pPr>
      <w:r w:rsidRPr="003268BC">
        <w:rPr>
          <w:rFonts w:cs="Arial"/>
          <w:color w:val="000000" w:themeColor="text1"/>
          <w:lang w:val=""/>
        </w:rPr>
        <w:t xml:space="preserve">Sustainable aviation faces two key employee-related issues: insufficient personnel with specialised competencies and the necessity for training to utilise modern technological systems. The constant progress of sustainable aviation requires organisations to keep their workforce up to date and adjust their methods, which strains their operational resources, according to Abrantes et al. (2021). Operational expenses and labour costs continue to rise without sufficient opportunity for airlines to raise prices because of competitive market conditions. </w:t>
      </w:r>
    </w:p>
    <w:p w14:paraId="10F043FF" w14:textId="77777777" w:rsidR="00124D0A" w:rsidRPr="003268BC" w:rsidRDefault="005A3047" w:rsidP="00EE4585">
      <w:pPr>
        <w:pStyle w:val="Heading2"/>
        <w:rPr>
          <w:rFonts w:eastAsia="Times New Roman" w:cs="Arial"/>
          <w:lang w:eastAsia="en-GB"/>
        </w:rPr>
      </w:pPr>
      <w:bookmarkStart w:id="3" w:name="_Toc191297824"/>
      <w:r w:rsidRPr="003268BC">
        <w:rPr>
          <w:rFonts w:eastAsia="Times New Roman" w:cs="Arial"/>
          <w:lang w:eastAsia="en-GB"/>
        </w:rPr>
        <w:t>Environmental Impact Assessment</w:t>
      </w:r>
      <w:bookmarkEnd w:id="3"/>
    </w:p>
    <w:p w14:paraId="6C6D46A8" w14:textId="77777777" w:rsidR="00124D0A" w:rsidRPr="003268BC" w:rsidRDefault="005A3047" w:rsidP="00124D0A">
      <w:pPr>
        <w:rPr>
          <w:rFonts w:eastAsia="Times New Roman" w:cs="Arial"/>
          <w:color w:val="000000" w:themeColor="text1"/>
          <w:szCs w:val="24"/>
          <w:lang w:eastAsia="en-GB"/>
        </w:rPr>
      </w:pPr>
      <w:r w:rsidRPr="003268BC">
        <w:rPr>
          <w:rFonts w:eastAsia="Times New Roman" w:cs="Arial"/>
          <w:color w:val="000000" w:themeColor="text1"/>
          <w:szCs w:val="24"/>
          <w:lang w:eastAsia="en-GB"/>
        </w:rPr>
        <w:t>The hospitality transport sector is mostly CO</w:t>
      </w:r>
      <w:r w:rsidRPr="003268BC">
        <w:rPr>
          <w:rFonts w:ascii="Cambria Math" w:eastAsia="Times New Roman" w:hAnsi="Cambria Math" w:cs="Cambria Math"/>
          <w:color w:val="000000" w:themeColor="text1"/>
          <w:szCs w:val="24"/>
          <w:lang w:eastAsia="en-GB"/>
        </w:rPr>
        <w:t>₂</w:t>
      </w:r>
      <w:r w:rsidRPr="003268BC">
        <w:rPr>
          <w:rFonts w:eastAsia="Times New Roman" w:cs="Arial"/>
          <w:color w:val="000000" w:themeColor="text1"/>
          <w:szCs w:val="24"/>
          <w:lang w:eastAsia="en-GB"/>
        </w:rPr>
        <w:t xml:space="preserve"> intensive modes of transport, with road and maritime transport accounting for over 90% of the sector’s CO</w:t>
      </w:r>
      <w:r w:rsidRPr="003268BC">
        <w:rPr>
          <w:rFonts w:ascii="Cambria Math" w:eastAsia="Times New Roman" w:hAnsi="Cambria Math" w:cs="Cambria Math"/>
          <w:color w:val="000000" w:themeColor="text1"/>
          <w:szCs w:val="24"/>
          <w:lang w:eastAsia="en-GB"/>
        </w:rPr>
        <w:t>₂</w:t>
      </w:r>
      <w:r w:rsidRPr="003268BC">
        <w:rPr>
          <w:rFonts w:eastAsia="Times New Roman" w:cs="Arial"/>
          <w:color w:val="000000" w:themeColor="text1"/>
          <w:szCs w:val="24"/>
          <w:lang w:eastAsia="en-GB"/>
        </w:rPr>
        <w:t xml:space="preserve"> emissions. However, aviation mode is essential, representing around 2.5% of global CO</w:t>
      </w:r>
      <w:r w:rsidRPr="003268BC">
        <w:rPr>
          <w:rFonts w:ascii="Cambria Math" w:eastAsia="Times New Roman" w:hAnsi="Cambria Math" w:cs="Cambria Math"/>
          <w:color w:val="000000" w:themeColor="text1"/>
          <w:szCs w:val="24"/>
          <w:lang w:eastAsia="en-GB"/>
        </w:rPr>
        <w:t>₂</w:t>
      </w:r>
      <w:r w:rsidRPr="003268BC">
        <w:rPr>
          <w:rFonts w:eastAsia="Times New Roman" w:cs="Arial"/>
          <w:color w:val="000000" w:themeColor="text1"/>
          <w:szCs w:val="24"/>
          <w:lang w:eastAsia="en-GB"/>
        </w:rPr>
        <w:t xml:space="preserve"> emissions of transport-related emissions (IATA, 2024). The International Air Transport Association (IATA) anticipated expanding aviation passenger demand threefold by </w:t>
      </w:r>
      <w:r w:rsidRPr="003268BC">
        <w:rPr>
          <w:rFonts w:eastAsia="Times New Roman" w:cs="Arial"/>
          <w:color w:val="000000" w:themeColor="text1"/>
          <w:szCs w:val="24"/>
          <w:lang w:eastAsia="en-GB"/>
        </w:rPr>
        <w:lastRenderedPageBreak/>
        <w:t xml:space="preserve">2050 unless significant mitigative strategies were applied, which will only increase aviation’s carbon footprint. </w:t>
      </w:r>
    </w:p>
    <w:p w14:paraId="373C7DA3" w14:textId="77777777" w:rsidR="00124D0A" w:rsidRPr="003268BC" w:rsidRDefault="005A3047" w:rsidP="00124D0A">
      <w:pPr>
        <w:keepNext/>
        <w:rPr>
          <w:rFonts w:cs="Arial"/>
          <w:color w:val="000000" w:themeColor="text1"/>
        </w:rPr>
      </w:pPr>
      <w:r w:rsidRPr="003268BC">
        <w:rPr>
          <w:rFonts w:eastAsia="Times New Roman" w:cs="Arial"/>
          <w:noProof/>
          <w:color w:val="000000" w:themeColor="text1"/>
          <w:szCs w:val="24"/>
          <w:lang w:eastAsia="en-GB"/>
        </w:rPr>
        <w:drawing>
          <wp:inline distT="0" distB="0" distL="0" distR="0" wp14:anchorId="74E9D8EA" wp14:editId="4A336CBD">
            <wp:extent cx="5943600" cy="2239645"/>
            <wp:effectExtent l="0" t="0" r="0" b="8255"/>
            <wp:docPr id="2" name="Picture 2" descr="A graph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project&#10;&#10;AI-generated content may be incorrect."/>
                    <pic:cNvPicPr/>
                  </pic:nvPicPr>
                  <pic:blipFill>
                    <a:blip r:embed="rId10"/>
                    <a:stretch>
                      <a:fillRect/>
                    </a:stretch>
                  </pic:blipFill>
                  <pic:spPr>
                    <a:xfrm>
                      <a:off x="0" y="0"/>
                      <a:ext cx="5943600" cy="2239645"/>
                    </a:xfrm>
                    <a:prstGeom prst="rect">
                      <a:avLst/>
                    </a:prstGeom>
                  </pic:spPr>
                </pic:pic>
              </a:graphicData>
            </a:graphic>
          </wp:inline>
        </w:drawing>
      </w:r>
    </w:p>
    <w:p w14:paraId="26ACB18E" w14:textId="77777777" w:rsidR="00124D0A" w:rsidRPr="003268BC" w:rsidRDefault="005A3047" w:rsidP="00124D0A">
      <w:pPr>
        <w:pStyle w:val="Caption"/>
        <w:jc w:val="center"/>
        <w:rPr>
          <w:rFonts w:eastAsia="Times New Roman" w:cs="Arial"/>
          <w:b/>
          <w:bCs/>
          <w:i w:val="0"/>
          <w:iCs w:val="0"/>
          <w:color w:val="000000" w:themeColor="text1"/>
          <w:sz w:val="28"/>
          <w:szCs w:val="28"/>
          <w:lang w:eastAsia="en-GB"/>
        </w:rPr>
      </w:pPr>
      <w:r w:rsidRPr="003268BC">
        <w:rPr>
          <w:rFonts w:cs="Arial"/>
          <w:b/>
          <w:bCs/>
          <w:i w:val="0"/>
          <w:iCs w:val="0"/>
          <w:color w:val="000000" w:themeColor="text1"/>
          <w:sz w:val="20"/>
          <w:szCs w:val="20"/>
        </w:rPr>
        <w:t xml:space="preserve">Figure </w:t>
      </w:r>
      <w:r w:rsidRPr="003268BC">
        <w:rPr>
          <w:rFonts w:cs="Arial"/>
          <w:b/>
          <w:bCs/>
          <w:i w:val="0"/>
          <w:iCs w:val="0"/>
          <w:color w:val="000000" w:themeColor="text1"/>
          <w:sz w:val="20"/>
          <w:szCs w:val="20"/>
        </w:rPr>
        <w:fldChar w:fldCharType="begin"/>
      </w:r>
      <w:r w:rsidRPr="003268BC">
        <w:rPr>
          <w:rFonts w:cs="Arial"/>
          <w:b/>
          <w:bCs/>
          <w:i w:val="0"/>
          <w:iCs w:val="0"/>
          <w:color w:val="000000" w:themeColor="text1"/>
          <w:sz w:val="20"/>
          <w:szCs w:val="20"/>
        </w:rPr>
        <w:instrText xml:space="preserve"> SEQ Figure \* ARABIC </w:instrText>
      </w:r>
      <w:r w:rsidRPr="003268BC">
        <w:rPr>
          <w:rFonts w:cs="Arial"/>
          <w:b/>
          <w:bCs/>
          <w:i w:val="0"/>
          <w:iCs w:val="0"/>
          <w:color w:val="000000" w:themeColor="text1"/>
          <w:sz w:val="20"/>
          <w:szCs w:val="20"/>
        </w:rPr>
        <w:fldChar w:fldCharType="separate"/>
      </w:r>
      <w:r w:rsidRPr="003268BC">
        <w:rPr>
          <w:rFonts w:cs="Arial"/>
          <w:b/>
          <w:bCs/>
          <w:i w:val="0"/>
          <w:iCs w:val="0"/>
          <w:noProof/>
          <w:color w:val="000000" w:themeColor="text1"/>
          <w:sz w:val="20"/>
          <w:szCs w:val="20"/>
        </w:rPr>
        <w:t>1</w:t>
      </w:r>
      <w:r w:rsidRPr="003268BC">
        <w:rPr>
          <w:rFonts w:cs="Arial"/>
          <w:b/>
          <w:bCs/>
          <w:i w:val="0"/>
          <w:iCs w:val="0"/>
          <w:color w:val="000000" w:themeColor="text1"/>
          <w:sz w:val="20"/>
          <w:szCs w:val="20"/>
        </w:rPr>
        <w:fldChar w:fldCharType="end"/>
      </w:r>
      <w:r w:rsidRPr="003268BC">
        <w:rPr>
          <w:rFonts w:cs="Arial"/>
          <w:b/>
          <w:bCs/>
          <w:i w:val="0"/>
          <w:iCs w:val="0"/>
          <w:color w:val="000000" w:themeColor="text1"/>
          <w:sz w:val="20"/>
          <w:szCs w:val="20"/>
        </w:rPr>
        <w:t xml:space="preserve">: </w:t>
      </w:r>
      <w:r w:rsidRPr="003268BC">
        <w:rPr>
          <w:rFonts w:cs="Arial"/>
          <w:i w:val="0"/>
          <w:iCs w:val="0"/>
          <w:color w:val="000000" w:themeColor="text1"/>
          <w:sz w:val="20"/>
          <w:szCs w:val="20"/>
        </w:rPr>
        <w:t>Percent of Projected Supply in 2050. Source: (Clean Air Task Force, 2024)</w:t>
      </w:r>
    </w:p>
    <w:p w14:paraId="4A24582C" w14:textId="77777777" w:rsidR="00124D0A" w:rsidRPr="003268BC" w:rsidRDefault="005A3047" w:rsidP="00124D0A">
      <w:pPr>
        <w:rPr>
          <w:rFonts w:eastAsia="Times New Roman" w:cs="Arial"/>
          <w:color w:val="000000" w:themeColor="text1"/>
          <w:szCs w:val="24"/>
          <w:lang w:eastAsia="en-GB"/>
        </w:rPr>
      </w:pPr>
      <w:r w:rsidRPr="003268BC">
        <w:rPr>
          <w:rFonts w:eastAsia="Times New Roman" w:cs="Arial"/>
          <w:color w:val="000000" w:themeColor="text1"/>
          <w:szCs w:val="24"/>
          <w:lang w:eastAsia="en-GB"/>
        </w:rPr>
        <w:t xml:space="preserve">However, the industry </w:t>
      </w:r>
      <w:r w:rsidR="005C7E20" w:rsidRPr="003268BC">
        <w:rPr>
          <w:rFonts w:eastAsia="Times New Roman" w:cs="Arial"/>
          <w:color w:val="000000" w:themeColor="text1"/>
          <w:szCs w:val="24"/>
          <w:lang w:eastAsia="en-GB"/>
        </w:rPr>
        <w:t>has yet to shift to sustainable aviation fuels (SAF) with potentially up to an 80% lifecycle emission reduction, which comprise</w:t>
      </w:r>
      <w:r w:rsidRPr="003268BC">
        <w:rPr>
          <w:rFonts w:eastAsia="Times New Roman" w:cs="Arial"/>
          <w:color w:val="000000" w:themeColor="text1"/>
          <w:szCs w:val="24"/>
          <w:lang w:eastAsia="en-GB"/>
        </w:rPr>
        <w:t xml:space="preserve"> only 0.1% of the total aviation fuel consumption </w:t>
      </w:r>
      <w:r w:rsidRPr="003268BC">
        <w:rPr>
          <w:rFonts w:cs="Arial"/>
          <w:color w:val="000000" w:themeColor="text1"/>
        </w:rPr>
        <w:t>(CarbonClick, 2023)</w:t>
      </w:r>
      <w:r w:rsidRPr="003268BC">
        <w:rPr>
          <w:rFonts w:eastAsia="Times New Roman" w:cs="Arial"/>
          <w:color w:val="000000" w:themeColor="text1"/>
          <w:szCs w:val="24"/>
          <w:lang w:eastAsia="en-GB"/>
        </w:rPr>
        <w:t>. Still, their effectiveness is doubtful due to greenwashing and poor offsetting quality. As aircraft noise pollution causes health and social burdens in urban areas near major transport hubs, it is necessary to establish the correct regulations to reduce the noise. For over 10 years, aircraft noise above 55 dB(A) has increased the risk of hypertension and cardiovascular diseases by 10 to 20% (Basner and McGuire, 2018). Several studies have shown the relationship between the proximity of airports and breathing disorders and faster death. Research from the European Environment Agency (EEA) (2024) states that aviation-related NOx emissions are estimated to cause more than 1,200 premature deaths (under 18) annually in 2022. However, NOx emissions result in further degradation of air quality as NO</w:t>
      </w:r>
      <w:r w:rsidRPr="003268BC">
        <w:rPr>
          <w:rFonts w:ascii="Cambria Math" w:eastAsia="Times New Roman" w:hAnsi="Cambria Math" w:cs="Cambria Math"/>
          <w:color w:val="000000" w:themeColor="text1"/>
          <w:szCs w:val="24"/>
          <w:lang w:eastAsia="en-GB"/>
        </w:rPr>
        <w:t>₂</w:t>
      </w:r>
      <w:r w:rsidRPr="003268BC">
        <w:rPr>
          <w:rFonts w:eastAsia="Times New Roman" w:cs="Arial"/>
          <w:color w:val="000000" w:themeColor="text1"/>
          <w:szCs w:val="24"/>
          <w:lang w:eastAsia="en-GB"/>
        </w:rPr>
        <w:t xml:space="preserve"> concentrations are up to 40% over WHO recommended levels in surrounding boroughs in London Heathrow (DEFRA, 2023). Electrification of ground services (such as baggage handling and taxiing) has reduced ground second-level emissions. </w:t>
      </w:r>
    </w:p>
    <w:p w14:paraId="6F5763AD" w14:textId="77777777" w:rsidR="00124D0A" w:rsidRPr="003268BC" w:rsidRDefault="005A3047" w:rsidP="00124D0A">
      <w:pPr>
        <w:keepNext/>
        <w:rPr>
          <w:rFonts w:cs="Arial"/>
          <w:color w:val="000000" w:themeColor="text1"/>
        </w:rPr>
      </w:pPr>
      <w:r w:rsidRPr="003268BC">
        <w:rPr>
          <w:rFonts w:eastAsia="Times New Roman" w:cs="Arial"/>
          <w:noProof/>
          <w:color w:val="000000" w:themeColor="text1"/>
          <w:szCs w:val="24"/>
          <w:lang w:eastAsia="en-GB"/>
        </w:rPr>
        <w:lastRenderedPageBreak/>
        <w:drawing>
          <wp:inline distT="0" distB="0" distL="0" distR="0" wp14:anchorId="31DF5F82" wp14:editId="615FD7B0">
            <wp:extent cx="5943600" cy="1630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630045"/>
                    </a:xfrm>
                    <a:prstGeom prst="rect">
                      <a:avLst/>
                    </a:prstGeom>
                  </pic:spPr>
                </pic:pic>
              </a:graphicData>
            </a:graphic>
          </wp:inline>
        </w:drawing>
      </w:r>
    </w:p>
    <w:p w14:paraId="0697DFEF" w14:textId="77777777" w:rsidR="00124D0A" w:rsidRPr="003268BC" w:rsidRDefault="005A3047" w:rsidP="00124D0A">
      <w:pPr>
        <w:pStyle w:val="Caption"/>
        <w:jc w:val="center"/>
        <w:rPr>
          <w:rFonts w:eastAsia="Times New Roman" w:cs="Arial"/>
          <w:b/>
          <w:bCs/>
          <w:i w:val="0"/>
          <w:iCs w:val="0"/>
          <w:color w:val="000000" w:themeColor="text1"/>
          <w:sz w:val="28"/>
          <w:szCs w:val="28"/>
          <w:lang w:eastAsia="en-GB"/>
        </w:rPr>
      </w:pPr>
      <w:r w:rsidRPr="003268BC">
        <w:rPr>
          <w:rFonts w:cs="Arial"/>
          <w:b/>
          <w:bCs/>
          <w:i w:val="0"/>
          <w:iCs w:val="0"/>
          <w:color w:val="000000" w:themeColor="text1"/>
          <w:sz w:val="20"/>
          <w:szCs w:val="20"/>
        </w:rPr>
        <w:t xml:space="preserve">Figure </w:t>
      </w:r>
      <w:r w:rsidRPr="003268BC">
        <w:rPr>
          <w:rFonts w:cs="Arial"/>
          <w:b/>
          <w:bCs/>
          <w:i w:val="0"/>
          <w:iCs w:val="0"/>
          <w:color w:val="000000" w:themeColor="text1"/>
          <w:sz w:val="20"/>
          <w:szCs w:val="20"/>
        </w:rPr>
        <w:fldChar w:fldCharType="begin"/>
      </w:r>
      <w:r w:rsidRPr="003268BC">
        <w:rPr>
          <w:rFonts w:cs="Arial"/>
          <w:b/>
          <w:bCs/>
          <w:i w:val="0"/>
          <w:iCs w:val="0"/>
          <w:color w:val="000000" w:themeColor="text1"/>
          <w:sz w:val="20"/>
          <w:szCs w:val="20"/>
        </w:rPr>
        <w:instrText xml:space="preserve"> SEQ Figure \* ARABIC </w:instrText>
      </w:r>
      <w:r w:rsidRPr="003268BC">
        <w:rPr>
          <w:rFonts w:cs="Arial"/>
          <w:b/>
          <w:bCs/>
          <w:i w:val="0"/>
          <w:iCs w:val="0"/>
          <w:color w:val="000000" w:themeColor="text1"/>
          <w:sz w:val="20"/>
          <w:szCs w:val="20"/>
        </w:rPr>
        <w:fldChar w:fldCharType="separate"/>
      </w:r>
      <w:r w:rsidRPr="003268BC">
        <w:rPr>
          <w:rFonts w:cs="Arial"/>
          <w:b/>
          <w:bCs/>
          <w:i w:val="0"/>
          <w:iCs w:val="0"/>
          <w:noProof/>
          <w:color w:val="000000" w:themeColor="text1"/>
          <w:sz w:val="20"/>
          <w:szCs w:val="20"/>
        </w:rPr>
        <w:t>2</w:t>
      </w:r>
      <w:r w:rsidRPr="003268BC">
        <w:rPr>
          <w:rFonts w:cs="Arial"/>
          <w:b/>
          <w:bCs/>
          <w:i w:val="0"/>
          <w:iCs w:val="0"/>
          <w:color w:val="000000" w:themeColor="text1"/>
          <w:sz w:val="20"/>
          <w:szCs w:val="20"/>
        </w:rPr>
        <w:fldChar w:fldCharType="end"/>
      </w:r>
      <w:r w:rsidRPr="003268BC">
        <w:rPr>
          <w:rFonts w:cs="Arial"/>
          <w:b/>
          <w:bCs/>
          <w:i w:val="0"/>
          <w:iCs w:val="0"/>
          <w:color w:val="000000" w:themeColor="text1"/>
          <w:sz w:val="20"/>
          <w:szCs w:val="20"/>
        </w:rPr>
        <w:t xml:space="preserve">: </w:t>
      </w:r>
      <w:r w:rsidRPr="003268BC">
        <w:rPr>
          <w:rFonts w:cs="Arial"/>
          <w:i w:val="0"/>
          <w:iCs w:val="0"/>
          <w:color w:val="000000" w:themeColor="text1"/>
          <w:sz w:val="20"/>
          <w:szCs w:val="20"/>
        </w:rPr>
        <w:t>Overview of Ground Support Equipment (GSE at airports) Source Airport Suppliers (2023) Source: European Commission (2023)</w:t>
      </w:r>
    </w:p>
    <w:p w14:paraId="0B767F83" w14:textId="77777777" w:rsidR="00124D0A" w:rsidRPr="003268BC" w:rsidRDefault="005A3047" w:rsidP="00A45483">
      <w:pPr>
        <w:rPr>
          <w:rFonts w:eastAsia="Times New Roman" w:cs="Arial"/>
          <w:color w:val="000000" w:themeColor="text1"/>
          <w:szCs w:val="24"/>
          <w:lang w:eastAsia="en-GB"/>
        </w:rPr>
      </w:pPr>
      <w:r w:rsidRPr="003268BC">
        <w:rPr>
          <w:rFonts w:eastAsia="Times New Roman" w:cs="Arial"/>
          <w:color w:val="000000" w:themeColor="text1"/>
          <w:szCs w:val="24"/>
          <w:lang w:eastAsia="en-GB"/>
        </w:rPr>
        <w:t xml:space="preserve">Still, according to Favero (2020), these emissions offset these emissions because they rely on fossil fuels-based auxiliary power units (APUs). The expansion of aviation infrastructure is bound to cause significant land use conflicts, biodiversity loss, and habitat fragmentation. Moreover, the expansion of low-cost carriers (LCCs) has increased the expansion of secondary airports in increasingly protected areas, especially in Europe, which are protected areas under Natura 2000 (Gualini et al., 2024). Alternatives to the horizontal land use pressure growth of passenger capacity include vertical airport expansion, as in the case of Singapore Changi’s Jewel Terminal. Within the hospitality transport sector, the aviation environment presents critical environmental challenges, such as carbon emissions, noise pollution, degradation in air quality, and unsustainable land use. Nevertheless, economic, infrastructural, and other complexities hinder the realisation of technological innovations and policy interventions for sustainable aviation. </w:t>
      </w:r>
      <w:r w:rsidR="005C7E20" w:rsidRPr="003268BC">
        <w:rPr>
          <w:rFonts w:eastAsia="Times New Roman" w:cs="Arial"/>
          <w:color w:val="000000" w:themeColor="text1"/>
          <w:szCs w:val="24"/>
          <w:lang w:eastAsia="en-GB"/>
        </w:rPr>
        <w:t xml:space="preserve">According to Kinnari (2024), future mitigation strategies in such a context </w:t>
      </w:r>
      <w:r w:rsidRPr="003268BC">
        <w:rPr>
          <w:rFonts w:eastAsia="Times New Roman" w:cs="Arial"/>
          <w:color w:val="000000" w:themeColor="text1"/>
          <w:szCs w:val="24"/>
          <w:lang w:eastAsia="en-GB"/>
        </w:rPr>
        <w:t>include carbon prices, stiffer regulation of emissions, and other multi-modal transport alternatives to ensure that aviation adheres to global sustainability goals in the future.</w:t>
      </w:r>
    </w:p>
    <w:p w14:paraId="2012C915" w14:textId="77777777" w:rsidR="00282F28" w:rsidRPr="003268BC" w:rsidRDefault="005A3047" w:rsidP="00EE4585">
      <w:pPr>
        <w:pStyle w:val="Heading2"/>
        <w:rPr>
          <w:rFonts w:cs="Arial"/>
          <w:lang w:val=""/>
        </w:rPr>
      </w:pPr>
      <w:bookmarkStart w:id="4" w:name="_Toc191297825"/>
      <w:r w:rsidRPr="003268BC">
        <w:rPr>
          <w:rFonts w:cs="Arial"/>
        </w:rPr>
        <w:t>Solutions, Initiatives and Industry Examples</w:t>
      </w:r>
      <w:bookmarkEnd w:id="4"/>
    </w:p>
    <w:p w14:paraId="0BB8E334" w14:textId="77777777" w:rsidR="00D42164" w:rsidRPr="003268BC" w:rsidRDefault="005A3047" w:rsidP="00D42164">
      <w:pPr>
        <w:rPr>
          <w:rFonts w:cs="Arial"/>
          <w:color w:val="000000" w:themeColor="text1"/>
          <w:lang w:val=""/>
        </w:rPr>
      </w:pPr>
      <w:r w:rsidRPr="003268BC">
        <w:rPr>
          <w:rFonts w:cs="Arial"/>
          <w:color w:val="000000" w:themeColor="text1"/>
          <w:lang w:val=""/>
        </w:rPr>
        <w:t xml:space="preserve">The aviation industry works on complete solutions that decrease environmental damage while keeping operational efficiency at its peak. British Airways leads the way by executing a Sustainable Aviation Fuels (SAF) initiative that cuts carbon emissions against standard jet fuel usage (Detsios et al., 2023). British Airways linked with Phillips 66 Limited to achieve first-mover status in deploying UK-made sustainable aviation fuel at industrial levels. It should be noted that the Flextracks programme through Emirates Airlines has been instrumental in the operational efficiency measures </w:t>
      </w:r>
      <w:r w:rsidRPr="003268BC">
        <w:rPr>
          <w:rFonts w:cs="Arial"/>
          <w:color w:val="000000" w:themeColor="text1"/>
          <w:lang w:val=""/>
        </w:rPr>
        <w:lastRenderedPageBreak/>
        <w:t>to minimise flight paths under consideration of weather conditions and air traffic patterns (Emirates, 2025). The company successfully lowered fuel costs and decreased air emissions without compromising its flight timetables. Electric vehicles support their operations in baggage handling and aircraft servicing at Dubai International Airport.</w:t>
      </w:r>
    </w:p>
    <w:p w14:paraId="4EF0FAB0" w14:textId="77777777" w:rsidR="00D42164" w:rsidRPr="003268BC" w:rsidRDefault="00D42164" w:rsidP="000B3110">
      <w:pPr>
        <w:rPr>
          <w:rFonts w:cs="Arial"/>
          <w:color w:val="000000" w:themeColor="text1"/>
          <w:lang w:val=""/>
        </w:rPr>
      </w:pPr>
    </w:p>
    <w:p w14:paraId="0DCDFFA4" w14:textId="77777777" w:rsidR="00324BAF" w:rsidRPr="003268BC" w:rsidRDefault="005A3047" w:rsidP="00324BAF">
      <w:pPr>
        <w:keepNext/>
        <w:rPr>
          <w:rFonts w:cs="Arial"/>
          <w:color w:val="000000" w:themeColor="text1"/>
        </w:rPr>
      </w:pPr>
      <w:r w:rsidRPr="003268BC">
        <w:rPr>
          <w:rFonts w:cs="Arial"/>
          <w:noProof/>
          <w:color w:val="000000" w:themeColor="text1"/>
          <w:lang w:val=""/>
        </w:rPr>
        <w:drawing>
          <wp:inline distT="0" distB="0" distL="0" distR="0" wp14:anchorId="6F5F2AEA" wp14:editId="30FE56CF">
            <wp:extent cx="5731510" cy="2978785"/>
            <wp:effectExtent l="0" t="0" r="2540" b="0"/>
            <wp:docPr id="20601536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53699" name="Picture 2060153699"/>
                    <pic:cNvPicPr/>
                  </pic:nvPicPr>
                  <pic:blipFill>
                    <a:blip r:embed="rId12">
                      <a:extLst>
                        <a:ext uri="{28A0092B-C50C-407E-A947-70E740481C1C}">
                          <a14:useLocalDpi xmlns:a14="http://schemas.microsoft.com/office/drawing/2010/main" val="0"/>
                        </a:ext>
                      </a:extLst>
                    </a:blip>
                    <a:stretch>
                      <a:fillRect/>
                    </a:stretch>
                  </pic:blipFill>
                  <pic:spPr>
                    <a:xfrm>
                      <a:off x="0" y="0"/>
                      <a:ext cx="5731510" cy="2978785"/>
                    </a:xfrm>
                    <a:prstGeom prst="rect">
                      <a:avLst/>
                    </a:prstGeom>
                  </pic:spPr>
                </pic:pic>
              </a:graphicData>
            </a:graphic>
          </wp:inline>
        </w:drawing>
      </w:r>
    </w:p>
    <w:p w14:paraId="32D4F7EB" w14:textId="77777777" w:rsidR="00324BAF" w:rsidRPr="000B3110" w:rsidRDefault="005A3047" w:rsidP="00324BAF">
      <w:pPr>
        <w:pStyle w:val="Caption"/>
        <w:jc w:val="center"/>
        <w:rPr>
          <w:rFonts w:cs="Arial"/>
          <w:i w:val="0"/>
          <w:iCs w:val="0"/>
          <w:color w:val="000000" w:themeColor="text1"/>
          <w:sz w:val="20"/>
          <w:szCs w:val="20"/>
          <w:lang w:val=""/>
        </w:rPr>
      </w:pPr>
      <w:r w:rsidRPr="003268BC">
        <w:rPr>
          <w:rFonts w:cs="Arial"/>
          <w:b/>
          <w:bCs/>
          <w:i w:val="0"/>
          <w:iCs w:val="0"/>
          <w:color w:val="000000" w:themeColor="text1"/>
          <w:sz w:val="20"/>
          <w:szCs w:val="20"/>
        </w:rPr>
        <w:t xml:space="preserve">Figure </w:t>
      </w:r>
      <w:r w:rsidR="00EE4585" w:rsidRPr="003268BC">
        <w:rPr>
          <w:rFonts w:cs="Arial"/>
          <w:b/>
          <w:bCs/>
          <w:i w:val="0"/>
          <w:iCs w:val="0"/>
          <w:color w:val="000000" w:themeColor="text1"/>
          <w:sz w:val="20"/>
          <w:szCs w:val="20"/>
        </w:rPr>
        <w:t>4</w:t>
      </w:r>
      <w:r w:rsidR="00EE4585" w:rsidRPr="003268BC">
        <w:rPr>
          <w:rFonts w:cs="Arial"/>
          <w:i w:val="0"/>
          <w:iCs w:val="0"/>
          <w:color w:val="000000" w:themeColor="text1"/>
          <w:sz w:val="20"/>
          <w:szCs w:val="20"/>
        </w:rPr>
        <w:t>:</w:t>
      </w:r>
      <w:r w:rsidRPr="003268BC">
        <w:rPr>
          <w:rFonts w:cs="Arial"/>
          <w:i w:val="0"/>
          <w:iCs w:val="0"/>
          <w:color w:val="000000" w:themeColor="text1"/>
          <w:sz w:val="20"/>
          <w:szCs w:val="20"/>
        </w:rPr>
        <w:t xml:space="preserve"> The role of SAF in aviation Source: (RSB, 2022)</w:t>
      </w:r>
    </w:p>
    <w:p w14:paraId="2F37B4D5" w14:textId="77777777" w:rsidR="003268BC" w:rsidRPr="003268BC" w:rsidRDefault="005A3047" w:rsidP="003268BC">
      <w:pPr>
        <w:rPr>
          <w:rFonts w:cs="Arial"/>
          <w:color w:val="000000" w:themeColor="text1"/>
          <w:lang w:val=""/>
        </w:rPr>
      </w:pPr>
      <w:r w:rsidRPr="000B3110">
        <w:rPr>
          <w:rFonts w:cs="Arial"/>
          <w:color w:val="000000" w:themeColor="text1"/>
          <w:lang w:val=""/>
        </w:rPr>
        <w:t xml:space="preserve">The Hilton hotel chain has revolutionised guest transportation </w:t>
      </w:r>
      <w:r w:rsidR="005C7E20" w:rsidRPr="003268BC">
        <w:rPr>
          <w:rFonts w:cs="Arial"/>
          <w:color w:val="000000" w:themeColor="text1"/>
          <w:lang w:val=""/>
        </w:rPr>
        <w:t>by partnering with Tesla, providing</w:t>
      </w:r>
      <w:r w:rsidRPr="000B3110">
        <w:rPr>
          <w:rFonts w:cs="Arial"/>
          <w:color w:val="000000" w:themeColor="text1"/>
          <w:lang w:val=""/>
        </w:rPr>
        <w:t xml:space="preserve"> guests with electric vehicle charging stations and preferential rates for eco-friendly airport transfers </w:t>
      </w:r>
      <w:r w:rsidR="00324BAF" w:rsidRPr="003268BC">
        <w:rPr>
          <w:rFonts w:cs="Arial"/>
          <w:color w:val="000000" w:themeColor="text1"/>
          <w:sz w:val="22"/>
        </w:rPr>
        <w:t>(Hilton, 2024)</w:t>
      </w:r>
      <w:r w:rsidRPr="000B3110">
        <w:rPr>
          <w:rFonts w:cs="Arial"/>
          <w:color w:val="000000" w:themeColor="text1"/>
          <w:lang w:val=""/>
        </w:rPr>
        <w:t>. This initiative has reduced the chain's transport-related carbon emissions while enhancing guest experience.</w:t>
      </w:r>
      <w:r w:rsidR="00324BAF" w:rsidRPr="003268BC">
        <w:rPr>
          <w:rFonts w:cs="Arial"/>
          <w:color w:val="000000" w:themeColor="text1"/>
          <w:lang w:val=""/>
        </w:rPr>
        <w:t xml:space="preserve"> </w:t>
      </w:r>
      <w:r w:rsidRPr="003268BC">
        <w:rPr>
          <w:rFonts w:cs="Arial"/>
          <w:color w:val="000000" w:themeColor="text1"/>
          <w:lang w:val=""/>
        </w:rPr>
        <w:t>Singapore Airlines' comprehensive sustainability strategy encompasses both air and ground operations. The SIA Green Package integrates several key elements by planning flights more optimally and reducing weight while using sustainable materials in their catering operations (SIA, 2023). Singapore Airlines partnered with local hotels to develop complete sustainable transport options for their visitors.</w:t>
      </w:r>
    </w:p>
    <w:p w14:paraId="07212DA4" w14:textId="77777777" w:rsidR="003268BC" w:rsidRPr="000B3110" w:rsidRDefault="005A3047" w:rsidP="003268BC">
      <w:pPr>
        <w:rPr>
          <w:rFonts w:cs="Arial"/>
          <w:color w:val="000000" w:themeColor="text1"/>
          <w:lang w:val=""/>
        </w:rPr>
      </w:pPr>
      <w:r w:rsidRPr="003268BC">
        <w:rPr>
          <w:rFonts w:cs="Arial"/>
          <w:color w:val="000000" w:themeColor="text1"/>
          <w:lang w:val=""/>
        </w:rPr>
        <w:t xml:space="preserve">Virgin Atlantic uses the "Change is in the Air" sustainability program to show how companies can merge various initiatives into effective programs. By implementing its modernisation strategy for its fleet and operational enhancements and employee engagement programs, Virgin Atlantic operates an integrated system to minimise </w:t>
      </w:r>
      <w:r w:rsidRPr="003268BC">
        <w:rPr>
          <w:rFonts w:cs="Arial"/>
          <w:color w:val="000000" w:themeColor="text1"/>
          <w:lang w:val=""/>
        </w:rPr>
        <w:lastRenderedPageBreak/>
        <w:t>environmental effects (Flight Global, 2020). Through its dedication to sustainable methods, the airline drove standard improvements within the industry while motivating other companies to implement matching initiatives.</w:t>
      </w:r>
    </w:p>
    <w:p w14:paraId="1EE0B363" w14:textId="77777777" w:rsidR="00EE4585" w:rsidRPr="003268BC" w:rsidRDefault="005A3047" w:rsidP="00EE4585">
      <w:pPr>
        <w:pStyle w:val="Heading1"/>
        <w:rPr>
          <w:rFonts w:cs="Arial"/>
          <w:lang w:val=""/>
        </w:rPr>
      </w:pPr>
      <w:bookmarkStart w:id="5" w:name="_Toc191297826"/>
      <w:r w:rsidRPr="003268BC">
        <w:rPr>
          <w:rFonts w:cs="Arial"/>
          <w:lang w:val=""/>
        </w:rPr>
        <w:t>Conclusion and Recommendations</w:t>
      </w:r>
      <w:bookmarkEnd w:id="5"/>
    </w:p>
    <w:p w14:paraId="2D4EA965" w14:textId="77777777" w:rsidR="003268BC" w:rsidRPr="00EE4585" w:rsidRDefault="005A3047" w:rsidP="00EE4585">
      <w:pPr>
        <w:rPr>
          <w:rFonts w:cs="Arial"/>
          <w:color w:val="000000" w:themeColor="text1"/>
          <w:lang w:val=""/>
        </w:rPr>
      </w:pPr>
      <w:r w:rsidRPr="003268BC">
        <w:rPr>
          <w:rFonts w:cs="Arial"/>
          <w:color w:val="000000" w:themeColor="text1"/>
          <w:lang w:val=""/>
        </w:rPr>
        <w:t>The aviation sector forms an essential part of the worldwide hospitality industry because it functions as an executive network across the tourism network. This evaluation demonstrated how aviation produces a substantial economic effect that supports millions of people's employment and substantially adds to the worldwide Gross Domestic Product. A substantial increase in aviation operations leads to severe environmental issues that create destructive carbon emissions, resultingult in neitherable noise pollution and reduced air quality standards. The industry shows strong resilience and dedication to sustainable practices, especially after the pandemic. Aviation is on a path to an environmentally conscious future by means of the sector's response to environmental concerns through operational improvements, technological innovations and sustainability initiatives. The multiple challenges of maintaining gravel delivery while protecting the environment demand continuous research and the development of technologies.</w:t>
      </w:r>
    </w:p>
    <w:p w14:paraId="3DC545A8" w14:textId="77777777" w:rsidR="00EE4585" w:rsidRPr="003268BC" w:rsidRDefault="005A3047" w:rsidP="00EE4585">
      <w:pPr>
        <w:pStyle w:val="Heading2"/>
        <w:rPr>
          <w:rFonts w:cs="Arial"/>
          <w:lang w:val=""/>
        </w:rPr>
      </w:pPr>
      <w:bookmarkStart w:id="6" w:name="_Toc191297827"/>
      <w:r w:rsidRPr="003268BC">
        <w:rPr>
          <w:rFonts w:cs="Arial"/>
          <w:lang w:val=""/>
        </w:rPr>
        <w:t>Recommendations</w:t>
      </w:r>
      <w:bookmarkEnd w:id="6"/>
    </w:p>
    <w:p w14:paraId="540E2030" w14:textId="77777777" w:rsidR="003268BC" w:rsidRPr="003268BC" w:rsidRDefault="005A3047" w:rsidP="00A45483">
      <w:pPr>
        <w:rPr>
          <w:rFonts w:cs="Arial"/>
          <w:color w:val="000000" w:themeColor="text1"/>
        </w:rPr>
      </w:pPr>
      <w:r w:rsidRPr="003268BC">
        <w:rPr>
          <w:rFonts w:cs="Arial"/>
          <w:color w:val="000000" w:themeColor="text1"/>
        </w:rPr>
        <w:t xml:space="preserve">The following suggestions result from the analysis assessment: </w:t>
      </w:r>
    </w:p>
    <w:p w14:paraId="3CF5A954" w14:textId="77777777" w:rsidR="003268BC" w:rsidRPr="003268BC" w:rsidRDefault="005A3047" w:rsidP="003268BC">
      <w:pPr>
        <w:pStyle w:val="ListParagraph"/>
        <w:numPr>
          <w:ilvl w:val="0"/>
          <w:numId w:val="12"/>
        </w:numPr>
        <w:rPr>
          <w:rFonts w:cs="Arial"/>
          <w:color w:val="000000" w:themeColor="text1"/>
        </w:rPr>
      </w:pPr>
      <w:r w:rsidRPr="003268BC">
        <w:rPr>
          <w:rFonts w:cs="Arial"/>
          <w:color w:val="000000" w:themeColor="text1"/>
        </w:rPr>
        <w:t xml:space="preserve">SAF adoption programs must be deployed by major airlines through government-backed incentives that connect with industry organisations. Airlines implementing SAF programs have shown reduced greenhouse gas emissions and preserved their operational performance, according to Detsios et al. (2023). </w:t>
      </w:r>
    </w:p>
    <w:p w14:paraId="376DD7D4" w14:textId="77777777" w:rsidR="003268BC" w:rsidRPr="003268BC" w:rsidRDefault="005A3047" w:rsidP="003268BC">
      <w:pPr>
        <w:pStyle w:val="ListParagraph"/>
        <w:numPr>
          <w:ilvl w:val="0"/>
          <w:numId w:val="12"/>
        </w:numPr>
        <w:rPr>
          <w:rFonts w:cs="Arial"/>
          <w:color w:val="000000" w:themeColor="text1"/>
        </w:rPr>
      </w:pPr>
      <w:r w:rsidRPr="003268BC">
        <w:rPr>
          <w:rFonts w:cs="Arial"/>
          <w:color w:val="000000" w:themeColor="text1"/>
        </w:rPr>
        <w:t>Tourism operators should set up integrated airport-to-hotel transportation networks by integrating electric shuttles with unique destination-to-destination transit methods. Flight Global (2020) demonstrates that arranging transportation through connected solutions allows airlines to lower their emission output by 30% while guests report better experiences.</w:t>
      </w:r>
    </w:p>
    <w:p w14:paraId="0BFDB177" w14:textId="77777777" w:rsidR="000B3110" w:rsidRPr="003268BC" w:rsidRDefault="005A3047" w:rsidP="003268BC">
      <w:pPr>
        <w:pStyle w:val="ListParagraph"/>
        <w:numPr>
          <w:ilvl w:val="0"/>
          <w:numId w:val="12"/>
        </w:numPr>
        <w:rPr>
          <w:rFonts w:cs="Arial"/>
          <w:color w:val="000000" w:themeColor="text1"/>
          <w:lang w:val=""/>
        </w:rPr>
      </w:pPr>
      <w:r w:rsidRPr="003268BC">
        <w:rPr>
          <w:rFonts w:cs="Arial"/>
          <w:color w:val="000000" w:themeColor="text1"/>
        </w:rPr>
        <w:lastRenderedPageBreak/>
        <w:t>Aviation-related hospitality operations should create universal sustainability performance criteria with reporting standards for better transparency regarding environmental initiatives.</w:t>
      </w:r>
    </w:p>
    <w:p w14:paraId="1E8DE6B8" w14:textId="77777777" w:rsidR="000B3110" w:rsidRPr="003268BC" w:rsidRDefault="000B3110" w:rsidP="00A45483">
      <w:pPr>
        <w:rPr>
          <w:rFonts w:cs="Arial"/>
          <w:color w:val="000000" w:themeColor="text1"/>
          <w:lang w:val=""/>
        </w:rPr>
      </w:pPr>
    </w:p>
    <w:p w14:paraId="44D8D512" w14:textId="77777777" w:rsidR="000B3110" w:rsidRPr="00467B66" w:rsidRDefault="000B3110" w:rsidP="00A45483">
      <w:pPr>
        <w:rPr>
          <w:rFonts w:cs="Arial"/>
          <w:color w:val="000000" w:themeColor="text1"/>
          <w:lang w:val=""/>
        </w:rPr>
      </w:pPr>
    </w:p>
    <w:p w14:paraId="4D72DE2B" w14:textId="77777777" w:rsidR="00EE4585" w:rsidRPr="003268BC" w:rsidRDefault="005A3047">
      <w:pPr>
        <w:spacing w:line="259" w:lineRule="auto"/>
        <w:jc w:val="left"/>
        <w:rPr>
          <w:rFonts w:eastAsiaTheme="majorEastAsia" w:cs="Arial"/>
          <w:b/>
          <w:color w:val="000000" w:themeColor="text1"/>
          <w:sz w:val="28"/>
          <w:szCs w:val="40"/>
          <w:lang w:val=""/>
        </w:rPr>
      </w:pPr>
      <w:r w:rsidRPr="003268BC">
        <w:rPr>
          <w:rFonts w:cs="Arial"/>
          <w:color w:val="000000" w:themeColor="text1"/>
          <w:lang w:val=""/>
        </w:rPr>
        <w:br w:type="page"/>
      </w:r>
    </w:p>
    <w:p w14:paraId="4AC1EE2A" w14:textId="77777777" w:rsidR="00EE4585" w:rsidRPr="003268BC" w:rsidRDefault="005A3047" w:rsidP="00EE4585">
      <w:pPr>
        <w:pStyle w:val="Heading1"/>
        <w:numPr>
          <w:ilvl w:val="0"/>
          <w:numId w:val="0"/>
        </w:numPr>
        <w:ind w:left="432" w:hanging="432"/>
        <w:rPr>
          <w:rFonts w:cs="Arial"/>
          <w:lang w:val=""/>
        </w:rPr>
      </w:pPr>
      <w:bookmarkStart w:id="7" w:name="_Toc191297828"/>
      <w:r w:rsidRPr="003268BC">
        <w:rPr>
          <w:rFonts w:cs="Arial"/>
          <w:lang w:val=""/>
        </w:rPr>
        <w:lastRenderedPageBreak/>
        <w:t>References</w:t>
      </w:r>
      <w:bookmarkEnd w:id="7"/>
    </w:p>
    <w:p w14:paraId="2D782588"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Abrantes, I., Ferreira, A.F., Silva, A. and Costa, M. (2021) ‘Sustainable aviation fuels and imminent technologies-CO2 emissions evolution towards 2050’, Journal of Cleaner Production, 313, p. 127937.</w:t>
      </w:r>
    </w:p>
    <w:p w14:paraId="7544ACD7"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Amankwah-Amoah, J. (2020) ‘Stepping up and stepping out of COVID-19: New challenges for environmental sustainability policies in the global airline industry’, Journal of Cleaner Production, 271, p. 123000.</w:t>
      </w:r>
    </w:p>
    <w:p w14:paraId="66A7BD86"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Basner, M. and McGuire, S., (2018). WHO environmental noise guidelines for the European region: a systematic review on environmental noise and effects on sleep. International journal of environmental research and public health, 15(3), p.519.</w:t>
      </w:r>
    </w:p>
    <w:p w14:paraId="4C1E9C9D"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CarbonClick., (2023). How does SAF reduce emissions? Exploring its benefits, How does SAF reduce emissions? Exploring its benefits. Available at: https://www.carbonclick.com/news-views/how-does-saf-reduce-emissions-exploring-its-benefits. (Accessed: 22 February 2025).</w:t>
      </w:r>
    </w:p>
    <w:p w14:paraId="4D6B1232"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Clean Air Task Force, (2024). Decarbonizing Aviation: Enabling Technologies for a Net-Zero Future. Available at: https://www.catf.us/resource/decarbonizing-aviation-enabling-technologies-net-zero-future/. (Accessed: 22 February 2025).</w:t>
      </w:r>
    </w:p>
    <w:p w14:paraId="1FA5D5DE"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Cooper, C. (2021) Essentials of tourism. Third edition. London: SAGE</w:t>
      </w:r>
    </w:p>
    <w:p w14:paraId="380A66FD"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 xml:space="preserve">DEFRA UK Air, (2024). Air Pollution in the UK 2023. Available at: https://uk-air.defra.gov.uk/assets/documents/annualreport/air_pollution_uk_2023_issue_1.pdf. </w:t>
      </w:r>
    </w:p>
    <w:p w14:paraId="021DBA60"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Detsios, N., Theodoraki, S., Maragoudaki, L., Atsonios, K., Grammelis, P. and Orfanoudakis, N.G. (2023) ‘Recent advances on alternative aviation fuels/pathways: A critical review’, Energies, 16(4), p. 1904.</w:t>
      </w:r>
    </w:p>
    <w:p w14:paraId="4983ACC5"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Efthymiou, M. and Papatheodorou, A. (2019) ‘EU Emissions Trading scheme in aviation: Policy analysis and suggestions’, Journal of Cleaner Production, 237, p. 117734.</w:t>
      </w:r>
    </w:p>
    <w:p w14:paraId="5B87EEBD"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lastRenderedPageBreak/>
        <w:t>Emirates (2025) Emirates operates flight with 100% Sustainable Aviation Fuel, Emirates operates flight with 100% Sustainable Aviation Fuel. Available at: https://www.emirates.com/media-centre/emirates-operates-milestone-demonstration-flight-powered-with-100-sustainable-aviation-fuel/ (Accessed: 22 February 2025).</w:t>
      </w:r>
    </w:p>
    <w:p w14:paraId="08DEAC18"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European Commission, (2023). European Alternative Fuels Observatory: Electric ground support equipment at airports. Available at: https://alternative-fuels-observatory.ec.europa.eu/transport-mode/aviation/electric-ground-support-equipment.  (Accessed: 22 February 2025).</w:t>
      </w:r>
    </w:p>
    <w:p w14:paraId="617CC99E"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European Environment Agency, (2024). Air pollution. Available at: https://www.eea.europa.eu/en/topics/in-depth/air-pollution. (Accessed: 22 February 2025).</w:t>
      </w:r>
    </w:p>
    <w:p w14:paraId="0B4F9562"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FasterCapital (2024) Environmental Regulations In Aviation, FasterCapital. Available at: https://fastercapital.com/keyword/environmental-regulations-in-aviation.html (Accessed: 22 February 2025).</w:t>
      </w:r>
    </w:p>
    <w:p w14:paraId="0722820F"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Favero, G., (2020). Consumer awareness of CSR in the aviation industry.</w:t>
      </w:r>
    </w:p>
    <w:p w14:paraId="51E4286E"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Flight Global (2020) Amy Ruddock is helping Virgin Atlantic cut its carbon | Interview | Flight Global. Available at: https://www.flightglobal.com/aerospace/amy-ruddock-is-helping-virgin-atlantic-cut-its-carbon/136398.article (Accessed: 22 February 2025).</w:t>
      </w:r>
    </w:p>
    <w:p w14:paraId="38EFD988"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Gualini, A., Martini, G. and Porta, F., (2024). Are low cost carriers airfares still lower? A comparison with full service carriers in Europe. Journal of the Air Transport Research Society, 2, p.100012.</w:t>
      </w:r>
    </w:p>
    <w:p w14:paraId="6478FA84"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Hilton (2024) Hilton to Install Up to 20,000 Tesla Universal Wall Connectors at 2,000 Hotels | Hilton News. Available at: https://stories.hilton.com/releases/hilton-to-install-up-to-20000-tesla-universal-wall-connectors-at-2000-hotels (Accessed: 22 February 2025).</w:t>
      </w:r>
    </w:p>
    <w:p w14:paraId="102F7811"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ICAO (2022) The World of Air Transport in 2022. Available at: https://www.icao.int/sustainability/WorldofAirTransport/Pages/the-world-of-air-transport-in-2022.aspx (Accessed: 22 February 2025).</w:t>
      </w:r>
    </w:p>
    <w:p w14:paraId="081DDD0D"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lastRenderedPageBreak/>
        <w:t>International Air Transport Association (IATA). (2024). Aviation’s Net-Zero CO</w:t>
      </w:r>
      <w:r w:rsidRPr="00127A90">
        <w:rPr>
          <w:rFonts w:ascii="Cambria Math" w:hAnsi="Cambria Math" w:cs="Cambria Math"/>
          <w:color w:val="000000" w:themeColor="text1"/>
          <w:szCs w:val="24"/>
        </w:rPr>
        <w:t>₂</w:t>
      </w:r>
      <w:r w:rsidRPr="00127A90">
        <w:rPr>
          <w:rFonts w:cs="Arial"/>
          <w:color w:val="000000" w:themeColor="text1"/>
          <w:szCs w:val="24"/>
        </w:rPr>
        <w:t xml:space="preserve"> Transition Pathways: Comparative Review</w:t>
      </w:r>
    </w:p>
    <w:p w14:paraId="7CB5EA06"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Jauhari, V (2021) ‘Managing Sustainability in the Hospitality and Tourism Industry: Paradigms and Directions for the Future’ 9 th edn.Oakville: Apple Academic Press. Inc</w:t>
      </w:r>
    </w:p>
    <w:p w14:paraId="69DFF21F"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Kinnari, I., (2024). Urban Air Mobility into Helsinki Airport: case study Finavia.</w:t>
      </w:r>
    </w:p>
    <w:p w14:paraId="4F587889"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Legrand, W., Chen, J.S. and Laeis, G.C., (2022). </w:t>
      </w:r>
      <w:r w:rsidRPr="00127A90">
        <w:rPr>
          <w:rFonts w:cs="Arial"/>
          <w:i/>
          <w:iCs/>
          <w:color w:val="000000" w:themeColor="text1"/>
          <w:szCs w:val="24"/>
        </w:rPr>
        <w:t>Sustainability in the hospitality industry: Principles of sustainable operations</w:t>
      </w:r>
      <w:r w:rsidRPr="00127A90">
        <w:rPr>
          <w:rFonts w:cs="Arial"/>
          <w:color w:val="000000" w:themeColor="text1"/>
          <w:szCs w:val="24"/>
        </w:rPr>
        <w:t>. Routledge.</w:t>
      </w:r>
    </w:p>
    <w:p w14:paraId="1015017B"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Napoli, J., Goetz, P.A.R., Drogoul, F., Basile, M., Depasse, S., Cavallo, J., Chaufrein, M., Silvie, T. and Brilland, J. (2022) ‘Agility in the air transport and tourism sectors: A worldwide vision’, J. Tour. Sports Manag, 5, pp. 15–41.</w:t>
      </w:r>
    </w:p>
    <w:p w14:paraId="10E679C5"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Papatheodorou, A. (2021) ‘A review of research into air transport and tourism: Launching the Annals of Tourism Research Curated Collection on Air Transport and Tourism’, Annals of Tourism Research, 87, p. 103151. Available at: https://doi.org/10.1016/j.annals.2021.103151.</w:t>
      </w:r>
    </w:p>
    <w:p w14:paraId="74DA22E0"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RSB (2022) Everything you always wanted to know about SAF (but were too afraid to ask) – RSB. Available at: https://rsb.org/2022/06/28/everything-you-always-wanted-to-know-about-saf-but-were-too-afraid-to-ask/ (Accessed: 22 February 2025).</w:t>
      </w:r>
    </w:p>
    <w:p w14:paraId="6F78E0EF"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SIA (2023) Singapore Airlines And Scoot Set Target To Use Sustainable Aviation Fuel For 5% Of Total Fuel Requirements By 2030 | Singapore Airlines. Available at: https://www.singaporeair.com/en_UK/sg/corporate/newsroom/press-release/2023/October-December/jr0723-231114/ (Accessed: 22 February 2025).</w:t>
      </w:r>
    </w:p>
    <w:p w14:paraId="0B5A30E1"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Statista (2024) Airline industry - passenger traffic worldwide 2024, Statista. Available at: https://www.statista.com/statistics/564717/airline-industry-passenger-traffic-globally/ (Accessed: 22 February 2025).</w:t>
      </w:r>
    </w:p>
    <w:p w14:paraId="1E11EB8D"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Thommandru, A., Espinoza-Maguiña, M., Ramirez-Asis, E., Ray, S., Naved, M. and Guzman-Avalos, M., 2023. Role of tourism and hospitality business in economic development. Materials Today: Proceedings, 80, pp.2901-2904.</w:t>
      </w:r>
    </w:p>
    <w:p w14:paraId="30864276"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lastRenderedPageBreak/>
        <w:t>Tsukanova, T. (2022) Hospitality Trends: The future of transport and mobility. Available at: https://hospitalityinsights.ehl.edu/hospitality-trends-transport-and-mobility (Accessed: 22 February 2025).</w:t>
      </w:r>
    </w:p>
    <w:p w14:paraId="29B07239"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Velaoras, K., Menegaki, A.N., Polyzos, S. and Gotzamani, K. (2025) ‘The role of environmental certification in the hospitality industry: Assessing sustainability, consumer preferences, and the economic impact’, Sustainability, 17(2), p. 650.</w:t>
      </w:r>
    </w:p>
    <w:p w14:paraId="711AC7E0" w14:textId="77777777" w:rsidR="00127A90" w:rsidRPr="00127A90" w:rsidRDefault="00127A90" w:rsidP="00EE4585">
      <w:pPr>
        <w:tabs>
          <w:tab w:val="left" w:pos="142"/>
        </w:tabs>
        <w:ind w:left="720" w:hanging="720"/>
        <w:rPr>
          <w:rFonts w:cs="Arial"/>
          <w:color w:val="000000" w:themeColor="text1"/>
          <w:szCs w:val="24"/>
        </w:rPr>
      </w:pPr>
      <w:r w:rsidRPr="00127A90">
        <w:rPr>
          <w:rFonts w:cs="Arial"/>
          <w:color w:val="000000" w:themeColor="text1"/>
          <w:szCs w:val="24"/>
        </w:rPr>
        <w:t xml:space="preserve">Zheng, W., Gao, S. and Fang, B. (2022) ‘How Does Public Transportation Influence Hotel Demand? Evidence From a Natural Experiment’, International Journal of Hospitality Management, 107, p. 103338. Available at: </w:t>
      </w:r>
      <w:hyperlink r:id="rId13" w:history="1">
        <w:r w:rsidRPr="00127A90">
          <w:rPr>
            <w:rStyle w:val="Hyperlink"/>
            <w:rFonts w:cs="Arial"/>
            <w:szCs w:val="24"/>
          </w:rPr>
          <w:t>https://doi.org/10.1016/j.ijhm.2022.103338</w:t>
        </w:r>
      </w:hyperlink>
      <w:r w:rsidRPr="00127A90">
        <w:rPr>
          <w:rFonts w:cs="Arial"/>
          <w:color w:val="000000" w:themeColor="text1"/>
          <w:szCs w:val="24"/>
        </w:rPr>
        <w:t>.</w:t>
      </w:r>
    </w:p>
    <w:sectPr w:rsidR="00127A90" w:rsidRPr="00127A90" w:rsidSect="00EE4585">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40042" w14:textId="77777777" w:rsidR="002B5EC5" w:rsidRDefault="002B5EC5">
      <w:pPr>
        <w:spacing w:after="0" w:line="240" w:lineRule="auto"/>
      </w:pPr>
      <w:r>
        <w:separator/>
      </w:r>
    </w:p>
  </w:endnote>
  <w:endnote w:type="continuationSeparator" w:id="0">
    <w:p w14:paraId="00993AB4" w14:textId="77777777" w:rsidR="002B5EC5" w:rsidRDefault="002B5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876697"/>
      <w:docPartObj>
        <w:docPartGallery w:val="Page Numbers (Bottom of Page)"/>
        <w:docPartUnique/>
      </w:docPartObj>
    </w:sdtPr>
    <w:sdtEndPr>
      <w:rPr>
        <w:noProof/>
      </w:rPr>
    </w:sdtEndPr>
    <w:sdtContent>
      <w:p w14:paraId="5D7C2AC1" w14:textId="77777777" w:rsidR="00EE4585" w:rsidRDefault="005A30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811489" w14:textId="77777777" w:rsidR="00EE4585" w:rsidRDefault="00EE4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3FF24" w14:textId="77777777" w:rsidR="002B5EC5" w:rsidRDefault="002B5EC5">
      <w:pPr>
        <w:spacing w:after="0" w:line="240" w:lineRule="auto"/>
      </w:pPr>
      <w:r>
        <w:separator/>
      </w:r>
    </w:p>
  </w:footnote>
  <w:footnote w:type="continuationSeparator" w:id="0">
    <w:p w14:paraId="082561A7" w14:textId="77777777" w:rsidR="002B5EC5" w:rsidRDefault="002B5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ED0"/>
    <w:multiLevelType w:val="multilevel"/>
    <w:tmpl w:val="3E522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C59F9"/>
    <w:multiLevelType w:val="hybridMultilevel"/>
    <w:tmpl w:val="CC5A1866"/>
    <w:lvl w:ilvl="0" w:tplc="FD08AEB8">
      <w:start w:val="1"/>
      <w:numFmt w:val="bullet"/>
      <w:lvlText w:val=""/>
      <w:lvlJc w:val="left"/>
      <w:pPr>
        <w:ind w:left="720" w:hanging="360"/>
      </w:pPr>
      <w:rPr>
        <w:rFonts w:ascii="Symbol" w:hAnsi="Symbol" w:hint="default"/>
      </w:rPr>
    </w:lvl>
    <w:lvl w:ilvl="1" w:tplc="4DBA44B6" w:tentative="1">
      <w:start w:val="1"/>
      <w:numFmt w:val="bullet"/>
      <w:lvlText w:val="o"/>
      <w:lvlJc w:val="left"/>
      <w:pPr>
        <w:ind w:left="1440" w:hanging="360"/>
      </w:pPr>
      <w:rPr>
        <w:rFonts w:ascii="Courier New" w:hAnsi="Courier New" w:cs="Courier New" w:hint="default"/>
      </w:rPr>
    </w:lvl>
    <w:lvl w:ilvl="2" w:tplc="8D127CE4" w:tentative="1">
      <w:start w:val="1"/>
      <w:numFmt w:val="bullet"/>
      <w:lvlText w:val=""/>
      <w:lvlJc w:val="left"/>
      <w:pPr>
        <w:ind w:left="2160" w:hanging="360"/>
      </w:pPr>
      <w:rPr>
        <w:rFonts w:ascii="Wingdings" w:hAnsi="Wingdings" w:hint="default"/>
      </w:rPr>
    </w:lvl>
    <w:lvl w:ilvl="3" w:tplc="9B662006" w:tentative="1">
      <w:start w:val="1"/>
      <w:numFmt w:val="bullet"/>
      <w:lvlText w:val=""/>
      <w:lvlJc w:val="left"/>
      <w:pPr>
        <w:ind w:left="2880" w:hanging="360"/>
      </w:pPr>
      <w:rPr>
        <w:rFonts w:ascii="Symbol" w:hAnsi="Symbol" w:hint="default"/>
      </w:rPr>
    </w:lvl>
    <w:lvl w:ilvl="4" w:tplc="F9BAF61E" w:tentative="1">
      <w:start w:val="1"/>
      <w:numFmt w:val="bullet"/>
      <w:lvlText w:val="o"/>
      <w:lvlJc w:val="left"/>
      <w:pPr>
        <w:ind w:left="3600" w:hanging="360"/>
      </w:pPr>
      <w:rPr>
        <w:rFonts w:ascii="Courier New" w:hAnsi="Courier New" w:cs="Courier New" w:hint="default"/>
      </w:rPr>
    </w:lvl>
    <w:lvl w:ilvl="5" w:tplc="72545B78" w:tentative="1">
      <w:start w:val="1"/>
      <w:numFmt w:val="bullet"/>
      <w:lvlText w:val=""/>
      <w:lvlJc w:val="left"/>
      <w:pPr>
        <w:ind w:left="4320" w:hanging="360"/>
      </w:pPr>
      <w:rPr>
        <w:rFonts w:ascii="Wingdings" w:hAnsi="Wingdings" w:hint="default"/>
      </w:rPr>
    </w:lvl>
    <w:lvl w:ilvl="6" w:tplc="7592DD72" w:tentative="1">
      <w:start w:val="1"/>
      <w:numFmt w:val="bullet"/>
      <w:lvlText w:val=""/>
      <w:lvlJc w:val="left"/>
      <w:pPr>
        <w:ind w:left="5040" w:hanging="360"/>
      </w:pPr>
      <w:rPr>
        <w:rFonts w:ascii="Symbol" w:hAnsi="Symbol" w:hint="default"/>
      </w:rPr>
    </w:lvl>
    <w:lvl w:ilvl="7" w:tplc="EC284402" w:tentative="1">
      <w:start w:val="1"/>
      <w:numFmt w:val="bullet"/>
      <w:lvlText w:val="o"/>
      <w:lvlJc w:val="left"/>
      <w:pPr>
        <w:ind w:left="5760" w:hanging="360"/>
      </w:pPr>
      <w:rPr>
        <w:rFonts w:ascii="Courier New" w:hAnsi="Courier New" w:cs="Courier New" w:hint="default"/>
      </w:rPr>
    </w:lvl>
    <w:lvl w:ilvl="8" w:tplc="7BA01844" w:tentative="1">
      <w:start w:val="1"/>
      <w:numFmt w:val="bullet"/>
      <w:lvlText w:val=""/>
      <w:lvlJc w:val="left"/>
      <w:pPr>
        <w:ind w:left="6480" w:hanging="360"/>
      </w:pPr>
      <w:rPr>
        <w:rFonts w:ascii="Wingdings" w:hAnsi="Wingdings" w:hint="default"/>
      </w:rPr>
    </w:lvl>
  </w:abstractNum>
  <w:abstractNum w:abstractNumId="2" w15:restartNumberingAfterBreak="0">
    <w:nsid w:val="1C052164"/>
    <w:multiLevelType w:val="multilevel"/>
    <w:tmpl w:val="41AA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2464E"/>
    <w:multiLevelType w:val="multilevel"/>
    <w:tmpl w:val="DB168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B7DD0"/>
    <w:multiLevelType w:val="multilevel"/>
    <w:tmpl w:val="E9B4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CE3D55"/>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8CC5040"/>
    <w:multiLevelType w:val="multilevel"/>
    <w:tmpl w:val="C3624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682021"/>
    <w:multiLevelType w:val="multilevel"/>
    <w:tmpl w:val="B5089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BD0554"/>
    <w:multiLevelType w:val="multilevel"/>
    <w:tmpl w:val="36B0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E4029F"/>
    <w:multiLevelType w:val="multilevel"/>
    <w:tmpl w:val="77BC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F74C8"/>
    <w:multiLevelType w:val="multilevel"/>
    <w:tmpl w:val="F73445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7609BC"/>
    <w:multiLevelType w:val="multilevel"/>
    <w:tmpl w:val="4CFAA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0641179">
    <w:abstractNumId w:val="11"/>
  </w:num>
  <w:num w:numId="2" w16cid:durableId="1876650600">
    <w:abstractNumId w:val="2"/>
  </w:num>
  <w:num w:numId="3" w16cid:durableId="1355769205">
    <w:abstractNumId w:val="10"/>
  </w:num>
  <w:num w:numId="4" w16cid:durableId="584655236">
    <w:abstractNumId w:val="0"/>
  </w:num>
  <w:num w:numId="5" w16cid:durableId="1738741318">
    <w:abstractNumId w:val="8"/>
  </w:num>
  <w:num w:numId="6" w16cid:durableId="1906141967">
    <w:abstractNumId w:val="4"/>
  </w:num>
  <w:num w:numId="7" w16cid:durableId="872421366">
    <w:abstractNumId w:val="9"/>
  </w:num>
  <w:num w:numId="8" w16cid:durableId="819734382">
    <w:abstractNumId w:val="7"/>
  </w:num>
  <w:num w:numId="9" w16cid:durableId="1505901622">
    <w:abstractNumId w:val="6"/>
  </w:num>
  <w:num w:numId="10" w16cid:durableId="143738004">
    <w:abstractNumId w:val="3"/>
  </w:num>
  <w:num w:numId="11" w16cid:durableId="1652444823">
    <w:abstractNumId w:val="5"/>
  </w:num>
  <w:num w:numId="12" w16cid:durableId="35198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B66"/>
    <w:rsid w:val="000330AC"/>
    <w:rsid w:val="000443D1"/>
    <w:rsid w:val="000B3110"/>
    <w:rsid w:val="000B4446"/>
    <w:rsid w:val="000E0CA5"/>
    <w:rsid w:val="00124D0A"/>
    <w:rsid w:val="00127A90"/>
    <w:rsid w:val="001455E0"/>
    <w:rsid w:val="001F33E7"/>
    <w:rsid w:val="001F4288"/>
    <w:rsid w:val="00282F28"/>
    <w:rsid w:val="002B5EC5"/>
    <w:rsid w:val="00324BAF"/>
    <w:rsid w:val="003268BC"/>
    <w:rsid w:val="00341E8A"/>
    <w:rsid w:val="00363942"/>
    <w:rsid w:val="0038285F"/>
    <w:rsid w:val="003B52C6"/>
    <w:rsid w:val="003D775A"/>
    <w:rsid w:val="003F10D7"/>
    <w:rsid w:val="00417A48"/>
    <w:rsid w:val="00424CA4"/>
    <w:rsid w:val="004630D0"/>
    <w:rsid w:val="00467B66"/>
    <w:rsid w:val="004A4BAD"/>
    <w:rsid w:val="004F678A"/>
    <w:rsid w:val="00523657"/>
    <w:rsid w:val="00527FED"/>
    <w:rsid w:val="005337D5"/>
    <w:rsid w:val="00545EB2"/>
    <w:rsid w:val="005A3047"/>
    <w:rsid w:val="005C7E20"/>
    <w:rsid w:val="005E31AD"/>
    <w:rsid w:val="005F69ED"/>
    <w:rsid w:val="00605D7A"/>
    <w:rsid w:val="007432F2"/>
    <w:rsid w:val="00796003"/>
    <w:rsid w:val="0089741F"/>
    <w:rsid w:val="009D46EE"/>
    <w:rsid w:val="009E035B"/>
    <w:rsid w:val="009F1D82"/>
    <w:rsid w:val="00A45483"/>
    <w:rsid w:val="00A75C56"/>
    <w:rsid w:val="00AB4E84"/>
    <w:rsid w:val="00AC2F62"/>
    <w:rsid w:val="00B8558E"/>
    <w:rsid w:val="00CB3DD2"/>
    <w:rsid w:val="00CF2A91"/>
    <w:rsid w:val="00D42164"/>
    <w:rsid w:val="00D77F49"/>
    <w:rsid w:val="00E708AD"/>
    <w:rsid w:val="00EE4585"/>
    <w:rsid w:val="00F11FAF"/>
    <w:rsid w:val="00F774A8"/>
    <w:rsid w:val="00F8484C"/>
    <w:rsid w:val="00FD5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7922AD"/>
  <w15:chartTrackingRefBased/>
  <w15:docId w15:val="{3DC24DDB-9C58-42E6-896D-59F9CF2F6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58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E4585"/>
    <w:pPr>
      <w:keepNext/>
      <w:keepLines/>
      <w:numPr>
        <w:numId w:val="11"/>
      </w:numPr>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EE4585"/>
    <w:pPr>
      <w:keepNext/>
      <w:keepLines/>
      <w:numPr>
        <w:ilvl w:val="1"/>
        <w:numId w:val="11"/>
      </w:numPr>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67B66"/>
    <w:pPr>
      <w:keepNext/>
      <w:keepLines/>
      <w:numPr>
        <w:ilvl w:val="2"/>
        <w:numId w:val="1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B66"/>
    <w:pPr>
      <w:keepNext/>
      <w:keepLines/>
      <w:numPr>
        <w:ilvl w:val="3"/>
        <w:numId w:val="1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B66"/>
    <w:pPr>
      <w:keepNext/>
      <w:keepLines/>
      <w:numPr>
        <w:ilvl w:val="4"/>
        <w:numId w:val="1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B66"/>
    <w:pPr>
      <w:keepNext/>
      <w:keepLines/>
      <w:numPr>
        <w:ilvl w:val="5"/>
        <w:numId w:val="1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B66"/>
    <w:pPr>
      <w:keepNext/>
      <w:keepLines/>
      <w:numPr>
        <w:ilvl w:val="6"/>
        <w:numId w:val="1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B66"/>
    <w:pPr>
      <w:keepNext/>
      <w:keepLines/>
      <w:numPr>
        <w:ilvl w:val="7"/>
        <w:numId w:val="1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B66"/>
    <w:pPr>
      <w:keepNext/>
      <w:keepLines/>
      <w:numPr>
        <w:ilvl w:val="8"/>
        <w:numId w:val="1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585"/>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EE4585"/>
    <w:rPr>
      <w:rFonts w:ascii="Arial" w:eastAsiaTheme="majorEastAsia" w:hAnsi="Arial" w:cstheme="majorBidi"/>
      <w:b/>
      <w:color w:val="000000" w:themeColor="text1"/>
      <w:sz w:val="24"/>
      <w:szCs w:val="32"/>
      <w:lang w:val="en-GB"/>
    </w:rPr>
  </w:style>
  <w:style w:type="character" w:customStyle="1" w:styleId="Heading3Char">
    <w:name w:val="Heading 3 Char"/>
    <w:basedOn w:val="DefaultParagraphFont"/>
    <w:link w:val="Heading3"/>
    <w:uiPriority w:val="9"/>
    <w:semiHidden/>
    <w:rsid w:val="00467B6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67B6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67B6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67B6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67B6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67B6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67B6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67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B6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67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B6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7B66"/>
    <w:pPr>
      <w:spacing w:before="160"/>
      <w:jc w:val="center"/>
    </w:pPr>
    <w:rPr>
      <w:i/>
      <w:iCs/>
      <w:color w:val="404040" w:themeColor="text1" w:themeTint="BF"/>
    </w:rPr>
  </w:style>
  <w:style w:type="character" w:customStyle="1" w:styleId="QuoteChar">
    <w:name w:val="Quote Char"/>
    <w:basedOn w:val="DefaultParagraphFont"/>
    <w:link w:val="Quote"/>
    <w:uiPriority w:val="29"/>
    <w:rsid w:val="00467B66"/>
    <w:rPr>
      <w:i/>
      <w:iCs/>
      <w:color w:val="404040" w:themeColor="text1" w:themeTint="BF"/>
      <w:lang w:val="en-GB"/>
    </w:rPr>
  </w:style>
  <w:style w:type="paragraph" w:styleId="ListParagraph">
    <w:name w:val="List Paragraph"/>
    <w:basedOn w:val="Normal"/>
    <w:uiPriority w:val="34"/>
    <w:qFormat/>
    <w:rsid w:val="00467B66"/>
    <w:pPr>
      <w:ind w:left="720"/>
      <w:contextualSpacing/>
    </w:pPr>
  </w:style>
  <w:style w:type="character" w:styleId="IntenseEmphasis">
    <w:name w:val="Intense Emphasis"/>
    <w:basedOn w:val="DefaultParagraphFont"/>
    <w:uiPriority w:val="21"/>
    <w:qFormat/>
    <w:rsid w:val="00467B66"/>
    <w:rPr>
      <w:i/>
      <w:iCs/>
      <w:color w:val="0F4761" w:themeColor="accent1" w:themeShade="BF"/>
    </w:rPr>
  </w:style>
  <w:style w:type="paragraph" w:styleId="IntenseQuote">
    <w:name w:val="Intense Quote"/>
    <w:basedOn w:val="Normal"/>
    <w:next w:val="Normal"/>
    <w:link w:val="IntenseQuoteChar"/>
    <w:uiPriority w:val="30"/>
    <w:qFormat/>
    <w:rsid w:val="00467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B66"/>
    <w:rPr>
      <w:i/>
      <w:iCs/>
      <w:color w:val="0F4761" w:themeColor="accent1" w:themeShade="BF"/>
      <w:lang w:val="en-GB"/>
    </w:rPr>
  </w:style>
  <w:style w:type="character" w:styleId="IntenseReference">
    <w:name w:val="Intense Reference"/>
    <w:basedOn w:val="DefaultParagraphFont"/>
    <w:uiPriority w:val="32"/>
    <w:qFormat/>
    <w:rsid w:val="00467B66"/>
    <w:rPr>
      <w:b/>
      <w:bCs/>
      <w:smallCaps/>
      <w:color w:val="0F4761" w:themeColor="accent1" w:themeShade="BF"/>
      <w:spacing w:val="5"/>
    </w:rPr>
  </w:style>
  <w:style w:type="paragraph" w:styleId="Caption">
    <w:name w:val="caption"/>
    <w:basedOn w:val="Normal"/>
    <w:next w:val="Normal"/>
    <w:uiPriority w:val="35"/>
    <w:unhideWhenUsed/>
    <w:qFormat/>
    <w:rsid w:val="00A4548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9F1D82"/>
  </w:style>
  <w:style w:type="paragraph" w:styleId="TOCHeading">
    <w:name w:val="TOC Heading"/>
    <w:basedOn w:val="Heading1"/>
    <w:next w:val="Normal"/>
    <w:uiPriority w:val="39"/>
    <w:unhideWhenUsed/>
    <w:qFormat/>
    <w:rsid w:val="00EE4585"/>
    <w:pPr>
      <w:numPr>
        <w:numId w:val="0"/>
      </w:num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E4585"/>
    <w:pPr>
      <w:spacing w:after="100"/>
    </w:pPr>
  </w:style>
  <w:style w:type="paragraph" w:styleId="TOC2">
    <w:name w:val="toc 2"/>
    <w:basedOn w:val="Normal"/>
    <w:next w:val="Normal"/>
    <w:autoRedefine/>
    <w:uiPriority w:val="39"/>
    <w:unhideWhenUsed/>
    <w:rsid w:val="00EE4585"/>
    <w:pPr>
      <w:spacing w:after="100"/>
      <w:ind w:left="240"/>
    </w:pPr>
  </w:style>
  <w:style w:type="character" w:styleId="Hyperlink">
    <w:name w:val="Hyperlink"/>
    <w:basedOn w:val="DefaultParagraphFont"/>
    <w:uiPriority w:val="99"/>
    <w:unhideWhenUsed/>
    <w:rsid w:val="00EE4585"/>
    <w:rPr>
      <w:color w:val="467886" w:themeColor="hyperlink"/>
      <w:u w:val="single"/>
    </w:rPr>
  </w:style>
  <w:style w:type="paragraph" w:styleId="Header">
    <w:name w:val="header"/>
    <w:basedOn w:val="Normal"/>
    <w:link w:val="HeaderChar"/>
    <w:uiPriority w:val="99"/>
    <w:unhideWhenUsed/>
    <w:rsid w:val="00EE4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585"/>
    <w:rPr>
      <w:rFonts w:ascii="Arial" w:hAnsi="Arial"/>
      <w:sz w:val="24"/>
      <w:lang w:val="en-GB"/>
    </w:rPr>
  </w:style>
  <w:style w:type="paragraph" w:styleId="Footer">
    <w:name w:val="footer"/>
    <w:basedOn w:val="Normal"/>
    <w:link w:val="FooterChar"/>
    <w:uiPriority w:val="99"/>
    <w:unhideWhenUsed/>
    <w:rsid w:val="00EE4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585"/>
    <w:rPr>
      <w:rFonts w:ascii="Arial" w:hAnsi="Arial"/>
      <w:sz w:val="24"/>
      <w:lang w:val="en-GB"/>
    </w:rPr>
  </w:style>
  <w:style w:type="table" w:customStyle="1" w:styleId="TableGrid">
    <w:name w:val="TableGrid"/>
    <w:rsid w:val="00FD51D9"/>
    <w:pPr>
      <w:spacing w:after="0" w:line="240" w:lineRule="auto"/>
    </w:pPr>
    <w:rPr>
      <w:rFonts w:eastAsiaTheme="minorEastAsia"/>
      <w:sz w:val="24"/>
      <w:szCs w:val="24"/>
      <w:lang w:eastAsia=""/>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4F678A"/>
    <w:rPr>
      <w:sz w:val="16"/>
      <w:szCs w:val="16"/>
    </w:rPr>
  </w:style>
  <w:style w:type="paragraph" w:styleId="CommentText">
    <w:name w:val="annotation text"/>
    <w:basedOn w:val="Normal"/>
    <w:link w:val="CommentTextChar"/>
    <w:uiPriority w:val="99"/>
    <w:semiHidden/>
    <w:unhideWhenUsed/>
    <w:rsid w:val="004F678A"/>
    <w:pPr>
      <w:spacing w:line="240" w:lineRule="auto"/>
    </w:pPr>
    <w:rPr>
      <w:sz w:val="20"/>
      <w:szCs w:val="20"/>
    </w:rPr>
  </w:style>
  <w:style w:type="character" w:customStyle="1" w:styleId="CommentTextChar">
    <w:name w:val="Comment Text Char"/>
    <w:basedOn w:val="DefaultParagraphFont"/>
    <w:link w:val="CommentText"/>
    <w:uiPriority w:val="99"/>
    <w:semiHidden/>
    <w:rsid w:val="004F678A"/>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4F678A"/>
    <w:rPr>
      <w:b/>
      <w:bCs/>
    </w:rPr>
  </w:style>
  <w:style w:type="character" w:customStyle="1" w:styleId="CommentSubjectChar">
    <w:name w:val="Comment Subject Char"/>
    <w:basedOn w:val="CommentTextChar"/>
    <w:link w:val="CommentSubject"/>
    <w:uiPriority w:val="99"/>
    <w:semiHidden/>
    <w:rsid w:val="004F678A"/>
    <w:rPr>
      <w:rFonts w:ascii="Arial" w:hAnsi="Arial"/>
      <w:b/>
      <w:bCs/>
      <w:sz w:val="20"/>
      <w:szCs w:val="20"/>
      <w:lang w:val="en-GB"/>
    </w:rPr>
  </w:style>
  <w:style w:type="character" w:styleId="UnresolvedMention">
    <w:name w:val="Unresolved Mention"/>
    <w:basedOn w:val="DefaultParagraphFont"/>
    <w:uiPriority w:val="99"/>
    <w:semiHidden/>
    <w:unhideWhenUsed/>
    <w:rsid w:val="00127A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046404">
      <w:bodyDiv w:val="1"/>
      <w:marLeft w:val="0"/>
      <w:marRight w:val="0"/>
      <w:marTop w:val="0"/>
      <w:marBottom w:val="0"/>
      <w:divBdr>
        <w:top w:val="none" w:sz="0" w:space="0" w:color="auto"/>
        <w:left w:val="none" w:sz="0" w:space="0" w:color="auto"/>
        <w:bottom w:val="none" w:sz="0" w:space="0" w:color="auto"/>
        <w:right w:val="none" w:sz="0" w:space="0" w:color="auto"/>
      </w:divBdr>
    </w:div>
    <w:div w:id="178180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hm.2022.10333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771FD-511A-479F-98F8-A375791F6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3739</Words>
  <Characters>21313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 shah</dc:creator>
  <cp:lastModifiedBy>Rehan Shah</cp:lastModifiedBy>
  <cp:revision>2</cp:revision>
  <dcterms:created xsi:type="dcterms:W3CDTF">2025-03-07T21:55:00Z</dcterms:created>
  <dcterms:modified xsi:type="dcterms:W3CDTF">2025-03-07T21:55:00Z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2caf0ac5-3330-49aa-935b-591daeda4bcb</vt:lpwstr>
  </property>
  <property fmtid="{D5CDD505-2E9C-101B-9397-08002B2CF9AE}" pid="3" name="ZOTERO_PREF_1">
    <vt:lpwstr>&lt;data data-version="3" zotero-version="7.0.12"&gt;&lt;session id="Qcn3F10Y"/&gt;&lt;style id="http://www.zotero.org/styles/harvard-cite-them-right-no-et-al" hasBibliography="1" bibliographyStyleHasBeenSet="1"/&gt;&lt;prefs&gt;&lt;pref name="fieldType" value="Field"/&gt;&lt;/prefs&gt;&lt;/da</vt:lpwstr>
  </property>
  <property fmtid="{D5CDD505-2E9C-101B-9397-08002B2CF9AE}" pid="4" name="ZOTERO_PREF_2">
    <vt:lpwstr>ta&gt;</vt:lpwstr>
  </property>
</Properties>
</file>