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F2496" w14:textId="77777777" w:rsidR="009D6507" w:rsidRDefault="00000000">
      <w:pPr>
        <w:rPr>
          <w:lang w:val="en-IN"/>
        </w:rPr>
      </w:pPr>
    </w:p>
    <w:p w14:paraId="278B5CFB" w14:textId="77777777" w:rsidR="00E37E56" w:rsidRDefault="00E37E56">
      <w:pPr>
        <w:rPr>
          <w:lang w:val="en-IN"/>
        </w:rPr>
      </w:pPr>
    </w:p>
    <w:p w14:paraId="287ADA1C" w14:textId="77777777" w:rsidR="00E37E56" w:rsidRDefault="00E37E56">
      <w:pPr>
        <w:rPr>
          <w:lang w:val="en-IN"/>
        </w:rPr>
      </w:pPr>
    </w:p>
    <w:p w14:paraId="0C0E1E3F" w14:textId="77777777" w:rsidR="00E37E56" w:rsidRDefault="00E37E56">
      <w:pPr>
        <w:rPr>
          <w:lang w:val="en-IN"/>
        </w:rPr>
      </w:pPr>
    </w:p>
    <w:p w14:paraId="14AB0199" w14:textId="77777777" w:rsidR="00E37E56" w:rsidRDefault="00E37E56">
      <w:pPr>
        <w:rPr>
          <w:lang w:val="en-IN"/>
        </w:rPr>
      </w:pPr>
    </w:p>
    <w:p w14:paraId="7F691296" w14:textId="77777777" w:rsidR="00E37E56" w:rsidRDefault="00E37E56">
      <w:pPr>
        <w:rPr>
          <w:lang w:val="en-IN"/>
        </w:rPr>
      </w:pPr>
    </w:p>
    <w:p w14:paraId="7CFAF3AF" w14:textId="77777777" w:rsidR="00E37E56" w:rsidRDefault="00E37E56">
      <w:pPr>
        <w:rPr>
          <w:lang w:val="en-IN"/>
        </w:rPr>
      </w:pPr>
    </w:p>
    <w:p w14:paraId="42636FB1" w14:textId="77777777" w:rsidR="00E37E56" w:rsidRDefault="00E37E56">
      <w:pPr>
        <w:rPr>
          <w:lang w:val="en-IN"/>
        </w:rPr>
      </w:pPr>
    </w:p>
    <w:p w14:paraId="7BC0C186" w14:textId="77777777" w:rsidR="00E37E56" w:rsidRDefault="00E37E56">
      <w:pPr>
        <w:rPr>
          <w:lang w:val="en-IN"/>
        </w:rPr>
      </w:pPr>
    </w:p>
    <w:p w14:paraId="2CCD24EC" w14:textId="77777777" w:rsidR="00E37E56" w:rsidRDefault="00E37E56">
      <w:pPr>
        <w:rPr>
          <w:lang w:val="en-IN"/>
        </w:rPr>
      </w:pPr>
    </w:p>
    <w:p w14:paraId="550E334C" w14:textId="77777777" w:rsidR="00E37E56" w:rsidRDefault="00E37E56" w:rsidP="00E37E56">
      <w:pPr>
        <w:pStyle w:val="Title"/>
        <w:rPr>
          <w:b/>
          <w:lang w:val="en-IN"/>
        </w:rPr>
      </w:pPr>
      <w:r w:rsidRPr="00E37E56">
        <w:rPr>
          <w:b/>
          <w:lang w:val="en-IN"/>
        </w:rPr>
        <w:t>Liability by Omission</w:t>
      </w:r>
    </w:p>
    <w:p w14:paraId="1CD2C1FA" w14:textId="77777777" w:rsidR="00E37E56" w:rsidRDefault="00E37E56" w:rsidP="00E37E56">
      <w:pPr>
        <w:rPr>
          <w:lang w:val="en-IN"/>
        </w:rPr>
      </w:pPr>
    </w:p>
    <w:p w14:paraId="5C6865B7" w14:textId="77777777" w:rsidR="00E37E56" w:rsidRDefault="00E37E56" w:rsidP="00E37E56">
      <w:pPr>
        <w:rPr>
          <w:lang w:val="en-IN"/>
        </w:rPr>
      </w:pPr>
    </w:p>
    <w:p w14:paraId="2C130BC7" w14:textId="77777777" w:rsidR="00E37E56" w:rsidRDefault="00E37E56" w:rsidP="00E37E56">
      <w:pPr>
        <w:rPr>
          <w:lang w:val="en-IN"/>
        </w:rPr>
      </w:pPr>
    </w:p>
    <w:p w14:paraId="71B79327" w14:textId="77777777" w:rsidR="00E37E56" w:rsidRDefault="00E37E56" w:rsidP="00E37E56">
      <w:pPr>
        <w:rPr>
          <w:lang w:val="en-IN"/>
        </w:rPr>
      </w:pPr>
    </w:p>
    <w:p w14:paraId="2A953269" w14:textId="77777777" w:rsidR="00E37E56" w:rsidRDefault="00E37E56" w:rsidP="00E37E56">
      <w:pPr>
        <w:rPr>
          <w:lang w:val="en-IN"/>
        </w:rPr>
      </w:pPr>
    </w:p>
    <w:p w14:paraId="38BBA7B5" w14:textId="77777777" w:rsidR="00E37E56" w:rsidRDefault="00E37E56" w:rsidP="00E37E56">
      <w:pPr>
        <w:rPr>
          <w:lang w:val="en-IN"/>
        </w:rPr>
      </w:pPr>
    </w:p>
    <w:p w14:paraId="121DA220" w14:textId="77777777" w:rsidR="00E37E56" w:rsidRDefault="00E37E56" w:rsidP="00E37E56">
      <w:pPr>
        <w:rPr>
          <w:lang w:val="en-IN"/>
        </w:rPr>
      </w:pPr>
    </w:p>
    <w:p w14:paraId="15E15129" w14:textId="77777777" w:rsidR="00E37E56" w:rsidRDefault="00E37E56" w:rsidP="00E37E56">
      <w:pPr>
        <w:jc w:val="right"/>
        <w:rPr>
          <w:b/>
          <w:sz w:val="36"/>
          <w:lang w:val="en-IN"/>
        </w:rPr>
      </w:pPr>
      <w:r>
        <w:rPr>
          <w:b/>
          <w:sz w:val="36"/>
          <w:lang w:val="en-IN"/>
        </w:rPr>
        <w:t xml:space="preserve">Module: </w:t>
      </w:r>
      <w:r w:rsidRPr="00E37E56">
        <w:rPr>
          <w:b/>
          <w:sz w:val="36"/>
          <w:lang w:val="en-IN"/>
        </w:rPr>
        <w:t>Criminal law – Assignment 1</w:t>
      </w:r>
    </w:p>
    <w:p w14:paraId="7FF359D2" w14:textId="77777777" w:rsidR="00E37E56" w:rsidRDefault="00E37E56" w:rsidP="00E37E56">
      <w:pPr>
        <w:jc w:val="right"/>
        <w:rPr>
          <w:b/>
          <w:sz w:val="36"/>
          <w:lang w:val="en-IN"/>
        </w:rPr>
      </w:pPr>
      <w:r>
        <w:rPr>
          <w:b/>
          <w:sz w:val="36"/>
          <w:lang w:val="en-IN"/>
        </w:rPr>
        <w:t xml:space="preserve">Module Code: </w:t>
      </w:r>
      <w:r w:rsidRPr="00E37E56">
        <w:rPr>
          <w:b/>
          <w:sz w:val="36"/>
          <w:lang w:val="en-IN"/>
        </w:rPr>
        <w:t>BMLW4005/BMPL4009</w:t>
      </w:r>
    </w:p>
    <w:p w14:paraId="35C9DBE1" w14:textId="77818032" w:rsidR="00E37E56" w:rsidRDefault="00E37E56" w:rsidP="00E37E56">
      <w:pPr>
        <w:jc w:val="right"/>
        <w:rPr>
          <w:b/>
          <w:sz w:val="36"/>
          <w:lang w:val="en-IN"/>
        </w:rPr>
      </w:pPr>
      <w:r>
        <w:rPr>
          <w:b/>
          <w:sz w:val="36"/>
          <w:lang w:val="en-IN"/>
        </w:rPr>
        <w:t>Student Name:</w:t>
      </w:r>
      <w:r w:rsidR="00320277">
        <w:rPr>
          <w:b/>
          <w:sz w:val="36"/>
          <w:lang w:val="en-IN"/>
        </w:rPr>
        <w:t xml:space="preserve"> Lucian Bratu</w:t>
      </w:r>
    </w:p>
    <w:p w14:paraId="1C0513B1" w14:textId="74DED67D" w:rsidR="00E37E56" w:rsidRDefault="00E37E56" w:rsidP="00E37E56">
      <w:pPr>
        <w:jc w:val="right"/>
        <w:rPr>
          <w:b/>
          <w:sz w:val="36"/>
          <w:lang w:val="en-IN"/>
        </w:rPr>
      </w:pPr>
      <w:r>
        <w:rPr>
          <w:b/>
          <w:sz w:val="36"/>
          <w:lang w:val="en-IN"/>
        </w:rPr>
        <w:t>Student ID:</w:t>
      </w:r>
      <w:r w:rsidR="00320277">
        <w:rPr>
          <w:b/>
          <w:sz w:val="36"/>
          <w:lang w:val="en-IN"/>
        </w:rPr>
        <w:t xml:space="preserve"> 2128997</w:t>
      </w:r>
    </w:p>
    <w:sdt>
      <w:sdtPr>
        <w:rPr>
          <w:rFonts w:ascii="Times New Roman" w:eastAsiaTheme="minorHAnsi" w:hAnsi="Times New Roman" w:cstheme="minorBidi"/>
          <w:b w:val="0"/>
          <w:bCs w:val="0"/>
          <w:color w:val="auto"/>
          <w:sz w:val="24"/>
          <w:szCs w:val="22"/>
          <w:lang w:val="en-GB"/>
        </w:rPr>
        <w:id w:val="4877846"/>
        <w:docPartObj>
          <w:docPartGallery w:val="Table of Contents"/>
          <w:docPartUnique/>
        </w:docPartObj>
      </w:sdtPr>
      <w:sdtContent>
        <w:p w14:paraId="09D135AF" w14:textId="77777777" w:rsidR="00FE5C1E" w:rsidRDefault="00FE5C1E">
          <w:pPr>
            <w:pStyle w:val="TOCHeading"/>
          </w:pPr>
          <w:r w:rsidRPr="00FE5C1E">
            <w:rPr>
              <w:color w:val="auto"/>
            </w:rPr>
            <w:t>Table of Contents</w:t>
          </w:r>
        </w:p>
        <w:p w14:paraId="3A053FE2" w14:textId="77777777" w:rsidR="00FE5C1E" w:rsidRDefault="0000287E">
          <w:pPr>
            <w:pStyle w:val="TOC1"/>
            <w:tabs>
              <w:tab w:val="right" w:leader="dot" w:pos="9016"/>
            </w:tabs>
            <w:rPr>
              <w:rFonts w:asciiTheme="minorHAnsi" w:eastAsiaTheme="minorEastAsia" w:hAnsiTheme="minorHAnsi"/>
              <w:noProof/>
              <w:sz w:val="22"/>
              <w:lang w:val="en-US"/>
            </w:rPr>
          </w:pPr>
          <w:r>
            <w:fldChar w:fldCharType="begin"/>
          </w:r>
          <w:r w:rsidR="00FE5C1E">
            <w:instrText xml:space="preserve"> TOC \o "1-3" \h \z \u </w:instrText>
          </w:r>
          <w:r>
            <w:fldChar w:fldCharType="separate"/>
          </w:r>
          <w:hyperlink w:anchor="_Toc116563828" w:history="1">
            <w:r w:rsidR="00FE5C1E" w:rsidRPr="00E07235">
              <w:rPr>
                <w:rStyle w:val="Hyperlink"/>
                <w:noProof/>
                <w:lang w:val="en-IN"/>
              </w:rPr>
              <w:t>Introduction</w:t>
            </w:r>
            <w:r w:rsidR="00FE5C1E">
              <w:rPr>
                <w:noProof/>
                <w:webHidden/>
              </w:rPr>
              <w:tab/>
            </w:r>
            <w:r>
              <w:rPr>
                <w:noProof/>
                <w:webHidden/>
              </w:rPr>
              <w:fldChar w:fldCharType="begin"/>
            </w:r>
            <w:r w:rsidR="00FE5C1E">
              <w:rPr>
                <w:noProof/>
                <w:webHidden/>
              </w:rPr>
              <w:instrText xml:space="preserve"> PAGEREF _Toc116563828 \h </w:instrText>
            </w:r>
            <w:r>
              <w:rPr>
                <w:noProof/>
                <w:webHidden/>
              </w:rPr>
            </w:r>
            <w:r>
              <w:rPr>
                <w:noProof/>
                <w:webHidden/>
              </w:rPr>
              <w:fldChar w:fldCharType="separate"/>
            </w:r>
            <w:r w:rsidR="00FE5C1E">
              <w:rPr>
                <w:noProof/>
                <w:webHidden/>
              </w:rPr>
              <w:t>3</w:t>
            </w:r>
            <w:r>
              <w:rPr>
                <w:noProof/>
                <w:webHidden/>
              </w:rPr>
              <w:fldChar w:fldCharType="end"/>
            </w:r>
          </w:hyperlink>
        </w:p>
        <w:p w14:paraId="76709B9D" w14:textId="77777777" w:rsidR="00FE5C1E" w:rsidRDefault="00000000">
          <w:pPr>
            <w:pStyle w:val="TOC1"/>
            <w:tabs>
              <w:tab w:val="right" w:leader="dot" w:pos="9016"/>
            </w:tabs>
            <w:rPr>
              <w:rFonts w:asciiTheme="minorHAnsi" w:eastAsiaTheme="minorEastAsia" w:hAnsiTheme="minorHAnsi"/>
              <w:noProof/>
              <w:sz w:val="22"/>
              <w:lang w:val="en-US"/>
            </w:rPr>
          </w:pPr>
          <w:hyperlink w:anchor="_Toc116563829" w:history="1">
            <w:r w:rsidR="00FE5C1E" w:rsidRPr="00E07235">
              <w:rPr>
                <w:rStyle w:val="Hyperlink"/>
                <w:noProof/>
                <w:lang w:val="en-IN"/>
              </w:rPr>
              <w:t>Criminal Law</w:t>
            </w:r>
            <w:r w:rsidR="00FE5C1E">
              <w:rPr>
                <w:noProof/>
                <w:webHidden/>
              </w:rPr>
              <w:tab/>
            </w:r>
            <w:r w:rsidR="0000287E">
              <w:rPr>
                <w:noProof/>
                <w:webHidden/>
              </w:rPr>
              <w:fldChar w:fldCharType="begin"/>
            </w:r>
            <w:r w:rsidR="00FE5C1E">
              <w:rPr>
                <w:noProof/>
                <w:webHidden/>
              </w:rPr>
              <w:instrText xml:space="preserve"> PAGEREF _Toc116563829 \h </w:instrText>
            </w:r>
            <w:r w:rsidR="0000287E">
              <w:rPr>
                <w:noProof/>
                <w:webHidden/>
              </w:rPr>
            </w:r>
            <w:r w:rsidR="0000287E">
              <w:rPr>
                <w:noProof/>
                <w:webHidden/>
              </w:rPr>
              <w:fldChar w:fldCharType="separate"/>
            </w:r>
            <w:r w:rsidR="00FE5C1E">
              <w:rPr>
                <w:noProof/>
                <w:webHidden/>
              </w:rPr>
              <w:t>4</w:t>
            </w:r>
            <w:r w:rsidR="0000287E">
              <w:rPr>
                <w:noProof/>
                <w:webHidden/>
              </w:rPr>
              <w:fldChar w:fldCharType="end"/>
            </w:r>
          </w:hyperlink>
        </w:p>
        <w:p w14:paraId="590EC00F" w14:textId="77777777" w:rsidR="00FE5C1E" w:rsidRDefault="00000000">
          <w:pPr>
            <w:pStyle w:val="TOC2"/>
            <w:tabs>
              <w:tab w:val="right" w:leader="dot" w:pos="9016"/>
            </w:tabs>
            <w:rPr>
              <w:rFonts w:asciiTheme="minorHAnsi" w:eastAsiaTheme="minorEastAsia" w:hAnsiTheme="minorHAnsi"/>
              <w:noProof/>
              <w:sz w:val="22"/>
              <w:lang w:val="en-US"/>
            </w:rPr>
          </w:pPr>
          <w:hyperlink w:anchor="_Toc116563830" w:history="1">
            <w:r w:rsidR="00FE5C1E" w:rsidRPr="00E07235">
              <w:rPr>
                <w:rStyle w:val="Hyperlink"/>
                <w:noProof/>
                <w:lang w:val="en-IN"/>
              </w:rPr>
              <w:t>Omission</w:t>
            </w:r>
            <w:r w:rsidR="00FE5C1E">
              <w:rPr>
                <w:noProof/>
                <w:webHidden/>
              </w:rPr>
              <w:tab/>
            </w:r>
            <w:r w:rsidR="0000287E">
              <w:rPr>
                <w:noProof/>
                <w:webHidden/>
              </w:rPr>
              <w:fldChar w:fldCharType="begin"/>
            </w:r>
            <w:r w:rsidR="00FE5C1E">
              <w:rPr>
                <w:noProof/>
                <w:webHidden/>
              </w:rPr>
              <w:instrText xml:space="preserve"> PAGEREF _Toc116563830 \h </w:instrText>
            </w:r>
            <w:r w:rsidR="0000287E">
              <w:rPr>
                <w:noProof/>
                <w:webHidden/>
              </w:rPr>
            </w:r>
            <w:r w:rsidR="0000287E">
              <w:rPr>
                <w:noProof/>
                <w:webHidden/>
              </w:rPr>
              <w:fldChar w:fldCharType="separate"/>
            </w:r>
            <w:r w:rsidR="00FE5C1E">
              <w:rPr>
                <w:noProof/>
                <w:webHidden/>
              </w:rPr>
              <w:t>4</w:t>
            </w:r>
            <w:r w:rsidR="0000287E">
              <w:rPr>
                <w:noProof/>
                <w:webHidden/>
              </w:rPr>
              <w:fldChar w:fldCharType="end"/>
            </w:r>
          </w:hyperlink>
        </w:p>
        <w:p w14:paraId="25EADA30" w14:textId="77777777" w:rsidR="00FE5C1E" w:rsidRDefault="00000000">
          <w:pPr>
            <w:pStyle w:val="TOC1"/>
            <w:tabs>
              <w:tab w:val="right" w:leader="dot" w:pos="9016"/>
            </w:tabs>
            <w:rPr>
              <w:rFonts w:asciiTheme="minorHAnsi" w:eastAsiaTheme="minorEastAsia" w:hAnsiTheme="minorHAnsi"/>
              <w:noProof/>
              <w:sz w:val="22"/>
              <w:lang w:val="en-US"/>
            </w:rPr>
          </w:pPr>
          <w:hyperlink w:anchor="_Toc116563831" w:history="1">
            <w:r w:rsidR="00FE5C1E" w:rsidRPr="00E07235">
              <w:rPr>
                <w:rStyle w:val="Hyperlink"/>
                <w:noProof/>
                <w:lang w:val="en-IN"/>
              </w:rPr>
              <w:t>Duty to Act</w:t>
            </w:r>
            <w:r w:rsidR="00FE5C1E">
              <w:rPr>
                <w:noProof/>
                <w:webHidden/>
              </w:rPr>
              <w:tab/>
            </w:r>
            <w:r w:rsidR="0000287E">
              <w:rPr>
                <w:noProof/>
                <w:webHidden/>
              </w:rPr>
              <w:fldChar w:fldCharType="begin"/>
            </w:r>
            <w:r w:rsidR="00FE5C1E">
              <w:rPr>
                <w:noProof/>
                <w:webHidden/>
              </w:rPr>
              <w:instrText xml:space="preserve"> PAGEREF _Toc116563831 \h </w:instrText>
            </w:r>
            <w:r w:rsidR="0000287E">
              <w:rPr>
                <w:noProof/>
                <w:webHidden/>
              </w:rPr>
            </w:r>
            <w:r w:rsidR="0000287E">
              <w:rPr>
                <w:noProof/>
                <w:webHidden/>
              </w:rPr>
              <w:fldChar w:fldCharType="separate"/>
            </w:r>
            <w:r w:rsidR="00FE5C1E">
              <w:rPr>
                <w:noProof/>
                <w:webHidden/>
              </w:rPr>
              <w:t>4</w:t>
            </w:r>
            <w:r w:rsidR="0000287E">
              <w:rPr>
                <w:noProof/>
                <w:webHidden/>
              </w:rPr>
              <w:fldChar w:fldCharType="end"/>
            </w:r>
          </w:hyperlink>
        </w:p>
        <w:p w14:paraId="3DC13C01" w14:textId="77777777" w:rsidR="00FE5C1E" w:rsidRDefault="00000000">
          <w:pPr>
            <w:pStyle w:val="TOC2"/>
            <w:tabs>
              <w:tab w:val="right" w:leader="dot" w:pos="9016"/>
            </w:tabs>
            <w:rPr>
              <w:rFonts w:asciiTheme="minorHAnsi" w:eastAsiaTheme="minorEastAsia" w:hAnsiTheme="minorHAnsi"/>
              <w:noProof/>
              <w:sz w:val="22"/>
              <w:lang w:val="en-US"/>
            </w:rPr>
          </w:pPr>
          <w:hyperlink w:anchor="_Toc116563832" w:history="1">
            <w:r w:rsidR="00FE5C1E" w:rsidRPr="00E07235">
              <w:rPr>
                <w:rStyle w:val="Hyperlink"/>
                <w:noProof/>
                <w:lang w:val="en-IN"/>
              </w:rPr>
              <w:t>General Duty</w:t>
            </w:r>
            <w:r w:rsidR="00FE5C1E">
              <w:rPr>
                <w:noProof/>
                <w:webHidden/>
              </w:rPr>
              <w:tab/>
            </w:r>
            <w:r w:rsidR="0000287E">
              <w:rPr>
                <w:noProof/>
                <w:webHidden/>
              </w:rPr>
              <w:fldChar w:fldCharType="begin"/>
            </w:r>
            <w:r w:rsidR="00FE5C1E">
              <w:rPr>
                <w:noProof/>
                <w:webHidden/>
              </w:rPr>
              <w:instrText xml:space="preserve"> PAGEREF _Toc116563832 \h </w:instrText>
            </w:r>
            <w:r w:rsidR="0000287E">
              <w:rPr>
                <w:noProof/>
                <w:webHidden/>
              </w:rPr>
            </w:r>
            <w:r w:rsidR="0000287E">
              <w:rPr>
                <w:noProof/>
                <w:webHidden/>
              </w:rPr>
              <w:fldChar w:fldCharType="separate"/>
            </w:r>
            <w:r w:rsidR="00FE5C1E">
              <w:rPr>
                <w:noProof/>
                <w:webHidden/>
              </w:rPr>
              <w:t>4</w:t>
            </w:r>
            <w:r w:rsidR="0000287E">
              <w:rPr>
                <w:noProof/>
                <w:webHidden/>
              </w:rPr>
              <w:fldChar w:fldCharType="end"/>
            </w:r>
          </w:hyperlink>
        </w:p>
        <w:p w14:paraId="3927C0AA" w14:textId="77777777" w:rsidR="00FE5C1E" w:rsidRDefault="00000000">
          <w:pPr>
            <w:pStyle w:val="TOC2"/>
            <w:tabs>
              <w:tab w:val="right" w:leader="dot" w:pos="9016"/>
            </w:tabs>
            <w:rPr>
              <w:rFonts w:asciiTheme="minorHAnsi" w:eastAsiaTheme="minorEastAsia" w:hAnsiTheme="minorHAnsi"/>
              <w:noProof/>
              <w:sz w:val="22"/>
              <w:lang w:val="en-US"/>
            </w:rPr>
          </w:pPr>
          <w:hyperlink w:anchor="_Toc116563833" w:history="1">
            <w:r w:rsidR="00FE5C1E" w:rsidRPr="00E07235">
              <w:rPr>
                <w:rStyle w:val="Hyperlink"/>
                <w:noProof/>
                <w:lang w:val="en-IN"/>
              </w:rPr>
              <w:t>Pros and Cons of General Duty and Whether there should be a General Duty</w:t>
            </w:r>
            <w:r w:rsidR="00FE5C1E">
              <w:rPr>
                <w:noProof/>
                <w:webHidden/>
              </w:rPr>
              <w:tab/>
            </w:r>
            <w:r w:rsidR="0000287E">
              <w:rPr>
                <w:noProof/>
                <w:webHidden/>
              </w:rPr>
              <w:fldChar w:fldCharType="begin"/>
            </w:r>
            <w:r w:rsidR="00FE5C1E">
              <w:rPr>
                <w:noProof/>
                <w:webHidden/>
              </w:rPr>
              <w:instrText xml:space="preserve"> PAGEREF _Toc116563833 \h </w:instrText>
            </w:r>
            <w:r w:rsidR="0000287E">
              <w:rPr>
                <w:noProof/>
                <w:webHidden/>
              </w:rPr>
            </w:r>
            <w:r w:rsidR="0000287E">
              <w:rPr>
                <w:noProof/>
                <w:webHidden/>
              </w:rPr>
              <w:fldChar w:fldCharType="separate"/>
            </w:r>
            <w:r w:rsidR="00FE5C1E">
              <w:rPr>
                <w:noProof/>
                <w:webHidden/>
              </w:rPr>
              <w:t>5</w:t>
            </w:r>
            <w:r w:rsidR="0000287E">
              <w:rPr>
                <w:noProof/>
                <w:webHidden/>
              </w:rPr>
              <w:fldChar w:fldCharType="end"/>
            </w:r>
          </w:hyperlink>
        </w:p>
        <w:p w14:paraId="45170C7B" w14:textId="77777777" w:rsidR="00FE5C1E" w:rsidRDefault="00000000">
          <w:pPr>
            <w:pStyle w:val="TOC2"/>
            <w:tabs>
              <w:tab w:val="right" w:leader="dot" w:pos="9016"/>
            </w:tabs>
            <w:rPr>
              <w:rFonts w:asciiTheme="minorHAnsi" w:eastAsiaTheme="minorEastAsia" w:hAnsiTheme="minorHAnsi"/>
              <w:noProof/>
              <w:sz w:val="22"/>
              <w:lang w:val="en-US"/>
            </w:rPr>
          </w:pPr>
          <w:hyperlink w:anchor="_Toc116563834" w:history="1">
            <w:r w:rsidR="00FE5C1E" w:rsidRPr="00E07235">
              <w:rPr>
                <w:rStyle w:val="Hyperlink"/>
                <w:noProof/>
                <w:lang w:val="en-IN"/>
              </w:rPr>
              <w:t>Statute Law</w:t>
            </w:r>
            <w:r w:rsidR="00FE5C1E">
              <w:rPr>
                <w:noProof/>
                <w:webHidden/>
              </w:rPr>
              <w:tab/>
            </w:r>
            <w:r w:rsidR="0000287E">
              <w:rPr>
                <w:noProof/>
                <w:webHidden/>
              </w:rPr>
              <w:fldChar w:fldCharType="begin"/>
            </w:r>
            <w:r w:rsidR="00FE5C1E">
              <w:rPr>
                <w:noProof/>
                <w:webHidden/>
              </w:rPr>
              <w:instrText xml:space="preserve"> PAGEREF _Toc116563834 \h </w:instrText>
            </w:r>
            <w:r w:rsidR="0000287E">
              <w:rPr>
                <w:noProof/>
                <w:webHidden/>
              </w:rPr>
            </w:r>
            <w:r w:rsidR="0000287E">
              <w:rPr>
                <w:noProof/>
                <w:webHidden/>
              </w:rPr>
              <w:fldChar w:fldCharType="separate"/>
            </w:r>
            <w:r w:rsidR="00FE5C1E">
              <w:rPr>
                <w:noProof/>
                <w:webHidden/>
              </w:rPr>
              <w:t>5</w:t>
            </w:r>
            <w:r w:rsidR="0000287E">
              <w:rPr>
                <w:noProof/>
                <w:webHidden/>
              </w:rPr>
              <w:fldChar w:fldCharType="end"/>
            </w:r>
          </w:hyperlink>
        </w:p>
        <w:p w14:paraId="2046928B" w14:textId="77777777" w:rsidR="00FE5C1E" w:rsidRDefault="00000000">
          <w:pPr>
            <w:pStyle w:val="TOC2"/>
            <w:tabs>
              <w:tab w:val="right" w:leader="dot" w:pos="9016"/>
            </w:tabs>
            <w:rPr>
              <w:rFonts w:asciiTheme="minorHAnsi" w:eastAsiaTheme="minorEastAsia" w:hAnsiTheme="minorHAnsi"/>
              <w:noProof/>
              <w:sz w:val="22"/>
              <w:lang w:val="en-US"/>
            </w:rPr>
          </w:pPr>
          <w:hyperlink w:anchor="_Toc116563835" w:history="1">
            <w:r w:rsidR="00FE5C1E" w:rsidRPr="00E07235">
              <w:rPr>
                <w:rStyle w:val="Hyperlink"/>
                <w:noProof/>
                <w:lang w:val="en-IN"/>
              </w:rPr>
              <w:t>Common Law</w:t>
            </w:r>
            <w:r w:rsidR="00FE5C1E">
              <w:rPr>
                <w:noProof/>
                <w:webHidden/>
              </w:rPr>
              <w:tab/>
            </w:r>
            <w:r w:rsidR="0000287E">
              <w:rPr>
                <w:noProof/>
                <w:webHidden/>
              </w:rPr>
              <w:fldChar w:fldCharType="begin"/>
            </w:r>
            <w:r w:rsidR="00FE5C1E">
              <w:rPr>
                <w:noProof/>
                <w:webHidden/>
              </w:rPr>
              <w:instrText xml:space="preserve"> PAGEREF _Toc116563835 \h </w:instrText>
            </w:r>
            <w:r w:rsidR="0000287E">
              <w:rPr>
                <w:noProof/>
                <w:webHidden/>
              </w:rPr>
            </w:r>
            <w:r w:rsidR="0000287E">
              <w:rPr>
                <w:noProof/>
                <w:webHidden/>
              </w:rPr>
              <w:fldChar w:fldCharType="separate"/>
            </w:r>
            <w:r w:rsidR="00FE5C1E">
              <w:rPr>
                <w:noProof/>
                <w:webHidden/>
              </w:rPr>
              <w:t>6</w:t>
            </w:r>
            <w:r w:rsidR="0000287E">
              <w:rPr>
                <w:noProof/>
                <w:webHidden/>
              </w:rPr>
              <w:fldChar w:fldCharType="end"/>
            </w:r>
          </w:hyperlink>
        </w:p>
        <w:p w14:paraId="4E709964" w14:textId="77777777" w:rsidR="00FE5C1E" w:rsidRDefault="00000000">
          <w:pPr>
            <w:pStyle w:val="TOC1"/>
            <w:tabs>
              <w:tab w:val="right" w:leader="dot" w:pos="9016"/>
            </w:tabs>
            <w:rPr>
              <w:rFonts w:asciiTheme="minorHAnsi" w:eastAsiaTheme="minorEastAsia" w:hAnsiTheme="minorHAnsi"/>
              <w:noProof/>
              <w:sz w:val="22"/>
              <w:lang w:val="en-US"/>
            </w:rPr>
          </w:pPr>
          <w:hyperlink w:anchor="_Toc116563836" w:history="1">
            <w:r w:rsidR="00FE5C1E" w:rsidRPr="00E07235">
              <w:rPr>
                <w:rStyle w:val="Hyperlink"/>
                <w:noProof/>
                <w:lang w:val="en-IN"/>
              </w:rPr>
              <w:t>Conclusion</w:t>
            </w:r>
            <w:r w:rsidR="00FE5C1E">
              <w:rPr>
                <w:noProof/>
                <w:webHidden/>
              </w:rPr>
              <w:tab/>
            </w:r>
            <w:r w:rsidR="0000287E">
              <w:rPr>
                <w:noProof/>
                <w:webHidden/>
              </w:rPr>
              <w:fldChar w:fldCharType="begin"/>
            </w:r>
            <w:r w:rsidR="00FE5C1E">
              <w:rPr>
                <w:noProof/>
                <w:webHidden/>
              </w:rPr>
              <w:instrText xml:space="preserve"> PAGEREF _Toc116563836 \h </w:instrText>
            </w:r>
            <w:r w:rsidR="0000287E">
              <w:rPr>
                <w:noProof/>
                <w:webHidden/>
              </w:rPr>
            </w:r>
            <w:r w:rsidR="0000287E">
              <w:rPr>
                <w:noProof/>
                <w:webHidden/>
              </w:rPr>
              <w:fldChar w:fldCharType="separate"/>
            </w:r>
            <w:r w:rsidR="00FE5C1E">
              <w:rPr>
                <w:noProof/>
                <w:webHidden/>
              </w:rPr>
              <w:t>7</w:t>
            </w:r>
            <w:r w:rsidR="0000287E">
              <w:rPr>
                <w:noProof/>
                <w:webHidden/>
              </w:rPr>
              <w:fldChar w:fldCharType="end"/>
            </w:r>
          </w:hyperlink>
        </w:p>
        <w:p w14:paraId="50B96253" w14:textId="77777777" w:rsidR="00FE5C1E" w:rsidRDefault="00000000">
          <w:pPr>
            <w:pStyle w:val="TOC1"/>
            <w:tabs>
              <w:tab w:val="right" w:leader="dot" w:pos="9016"/>
            </w:tabs>
            <w:rPr>
              <w:rFonts w:asciiTheme="minorHAnsi" w:eastAsiaTheme="minorEastAsia" w:hAnsiTheme="minorHAnsi"/>
              <w:noProof/>
              <w:sz w:val="22"/>
              <w:lang w:val="en-US"/>
            </w:rPr>
          </w:pPr>
          <w:hyperlink w:anchor="_Toc116563837" w:history="1">
            <w:r w:rsidR="00FE5C1E" w:rsidRPr="00E07235">
              <w:rPr>
                <w:rStyle w:val="Hyperlink"/>
                <w:noProof/>
                <w:lang w:val="en-IN"/>
              </w:rPr>
              <w:t>References</w:t>
            </w:r>
            <w:r w:rsidR="00FE5C1E">
              <w:rPr>
                <w:noProof/>
                <w:webHidden/>
              </w:rPr>
              <w:tab/>
            </w:r>
            <w:r w:rsidR="0000287E">
              <w:rPr>
                <w:noProof/>
                <w:webHidden/>
              </w:rPr>
              <w:fldChar w:fldCharType="begin"/>
            </w:r>
            <w:r w:rsidR="00FE5C1E">
              <w:rPr>
                <w:noProof/>
                <w:webHidden/>
              </w:rPr>
              <w:instrText xml:space="preserve"> PAGEREF _Toc116563837 \h </w:instrText>
            </w:r>
            <w:r w:rsidR="0000287E">
              <w:rPr>
                <w:noProof/>
                <w:webHidden/>
              </w:rPr>
            </w:r>
            <w:r w:rsidR="0000287E">
              <w:rPr>
                <w:noProof/>
                <w:webHidden/>
              </w:rPr>
              <w:fldChar w:fldCharType="separate"/>
            </w:r>
            <w:r w:rsidR="00FE5C1E">
              <w:rPr>
                <w:noProof/>
                <w:webHidden/>
              </w:rPr>
              <w:t>8</w:t>
            </w:r>
            <w:r w:rsidR="0000287E">
              <w:rPr>
                <w:noProof/>
                <w:webHidden/>
              </w:rPr>
              <w:fldChar w:fldCharType="end"/>
            </w:r>
          </w:hyperlink>
        </w:p>
        <w:p w14:paraId="72FDF18D" w14:textId="77777777" w:rsidR="00FE5C1E" w:rsidRDefault="0000287E">
          <w:r>
            <w:fldChar w:fldCharType="end"/>
          </w:r>
        </w:p>
      </w:sdtContent>
    </w:sdt>
    <w:p w14:paraId="1328A18A" w14:textId="77777777" w:rsidR="00E37E56" w:rsidRDefault="00E37E56">
      <w:pPr>
        <w:spacing w:line="259" w:lineRule="auto"/>
        <w:jc w:val="left"/>
        <w:rPr>
          <w:lang w:val="en-IN"/>
        </w:rPr>
      </w:pPr>
      <w:r>
        <w:rPr>
          <w:lang w:val="en-IN"/>
        </w:rPr>
        <w:br w:type="page"/>
      </w:r>
    </w:p>
    <w:p w14:paraId="18C9F397" w14:textId="77777777" w:rsidR="00E37E56" w:rsidRDefault="00E37E56" w:rsidP="00E37E56">
      <w:pPr>
        <w:pStyle w:val="Heading1"/>
        <w:rPr>
          <w:lang w:val="en-IN"/>
        </w:rPr>
      </w:pPr>
      <w:bookmarkStart w:id="0" w:name="_Toc116563828"/>
      <w:r>
        <w:rPr>
          <w:lang w:val="en-IN"/>
        </w:rPr>
        <w:lastRenderedPageBreak/>
        <w:t>Introduction</w:t>
      </w:r>
      <w:bookmarkEnd w:id="0"/>
    </w:p>
    <w:p w14:paraId="1692B423" w14:textId="77777777" w:rsidR="00E37E56" w:rsidRPr="00E37E56" w:rsidRDefault="00E37E56" w:rsidP="00E37E56">
      <w:pPr>
        <w:rPr>
          <w:lang w:val="en-IN"/>
        </w:rPr>
      </w:pPr>
      <w:r>
        <w:rPr>
          <w:lang w:val="en-IN"/>
        </w:rPr>
        <w:t xml:space="preserve">Omission is the failure to perform an act that is specified by the law of crime. It is the specific performance type of law. There are various elements of crime that will be used to answer the point that when </w:t>
      </w:r>
      <w:r w:rsidR="00FE5C1E">
        <w:rPr>
          <w:lang w:val="en-IN"/>
        </w:rPr>
        <w:t>a duty of act can</w:t>
      </w:r>
      <w:r>
        <w:rPr>
          <w:lang w:val="en-IN"/>
        </w:rPr>
        <w:t xml:space="preserve"> be implied and the criminal liability can be provided for the violation of this duty.</w:t>
      </w:r>
    </w:p>
    <w:p w14:paraId="151552BF" w14:textId="77777777" w:rsidR="00E37E56" w:rsidRPr="00E37E56" w:rsidRDefault="00E37E56" w:rsidP="00E37E56">
      <w:pPr>
        <w:rPr>
          <w:rFonts w:eastAsiaTheme="majorEastAsia" w:cstheme="majorBidi"/>
          <w:sz w:val="28"/>
          <w:szCs w:val="32"/>
          <w:lang w:val="en-IN"/>
        </w:rPr>
      </w:pPr>
      <w:r>
        <w:rPr>
          <w:lang w:val="en-IN"/>
        </w:rPr>
        <w:br w:type="page"/>
      </w:r>
    </w:p>
    <w:p w14:paraId="6E142D6B" w14:textId="77777777" w:rsidR="00E37E56" w:rsidRDefault="00E37E56" w:rsidP="00E37E56">
      <w:pPr>
        <w:pStyle w:val="Heading1"/>
        <w:rPr>
          <w:lang w:val="en-IN"/>
        </w:rPr>
      </w:pPr>
      <w:bookmarkStart w:id="1" w:name="_Toc116563829"/>
      <w:r>
        <w:rPr>
          <w:lang w:val="en-IN"/>
        </w:rPr>
        <w:lastRenderedPageBreak/>
        <w:t>Criminal Law</w:t>
      </w:r>
      <w:bookmarkEnd w:id="1"/>
    </w:p>
    <w:p w14:paraId="171F5F61" w14:textId="77777777" w:rsidR="00E37E56" w:rsidRDefault="00E37E56" w:rsidP="00E37E56">
      <w:pPr>
        <w:rPr>
          <w:lang w:val="en-IN"/>
        </w:rPr>
      </w:pPr>
      <w:r>
        <w:rPr>
          <w:lang w:val="en-IN"/>
        </w:rPr>
        <w:t>The crime is a wrongful action of any person that violated any act that is prohibited by the state, as the state enacts these laws to protect their citizens, and to maintain the peace in society. There are various elements of criminal law that are applied to a situation to decide, whether the act committed by a person is a crime or not</w:t>
      </w:r>
      <w:r w:rsidR="00FE5C1E">
        <w:rPr>
          <w:lang w:val="en-IN"/>
        </w:rPr>
        <w:t xml:space="preserve"> (</w:t>
      </w:r>
      <w:r w:rsidR="00FE5C1E">
        <w:rPr>
          <w:shd w:val="clear" w:color="auto" w:fill="FFFFFF"/>
        </w:rPr>
        <w:t>Roy, 2020)</w:t>
      </w:r>
      <w:r>
        <w:rPr>
          <w:lang w:val="en-IN"/>
        </w:rPr>
        <w:t xml:space="preserve">. First is the intention to commit the crime, it means that the person who committed the crime did the act with the intention to do it and it was not an accident that any harm or loss was suffered by the other person. It is also called as means rea, which means the guilty intention. Generally only having the guilty intention will not constitute into a crime, it requires an actual act that violates the law, this act is called actus reus or guilty act. </w:t>
      </w:r>
    </w:p>
    <w:p w14:paraId="299AC94E" w14:textId="77777777" w:rsidR="00E37E56" w:rsidRDefault="00E37E56" w:rsidP="00E37E56">
      <w:pPr>
        <w:pStyle w:val="Heading2"/>
        <w:rPr>
          <w:lang w:val="en-IN"/>
        </w:rPr>
      </w:pPr>
      <w:bookmarkStart w:id="2" w:name="_Toc116563830"/>
      <w:r>
        <w:rPr>
          <w:lang w:val="en-IN"/>
        </w:rPr>
        <w:t>Omission</w:t>
      </w:r>
      <w:bookmarkEnd w:id="2"/>
    </w:p>
    <w:p w14:paraId="3229909A" w14:textId="77777777" w:rsidR="00E37E56" w:rsidRPr="00E37E56" w:rsidRDefault="00E37E56" w:rsidP="00E37E56">
      <w:pPr>
        <w:rPr>
          <w:lang w:val="en-IN"/>
        </w:rPr>
      </w:pPr>
      <w:r>
        <w:rPr>
          <w:lang w:val="en-IN"/>
        </w:rPr>
        <w:t xml:space="preserve">The conduct of a person can be defined as a positive act or an action, but the omission is defined as the failure to act. The law generally does not punish any person with the failure to acting or omissions, but there are some exceptions to this rule. For example, if a person is about the die in a river due to drowning, and another person who was passing by saw this, now the person who saw knows swimming, but he is not obligated by the law to save the drowning man. The understanding whether a omission was right or wrong is dependable on the fact that whether the omission was related to an offence that is related to prohibition of omission in that case and whether there was a duty imposed by the law to act, in such a case a person will have the responsibility to act and a failure to act will lead to them committing an offence. </w:t>
      </w:r>
      <w:r w:rsidR="00FE5C1E">
        <w:rPr>
          <w:lang w:val="en-IN"/>
        </w:rPr>
        <w:t xml:space="preserve">For example, in the case of </w:t>
      </w:r>
      <w:r w:rsidR="00FE5C1E" w:rsidRPr="00FE5C1E">
        <w:rPr>
          <w:i/>
          <w:lang w:val="en-IN"/>
        </w:rPr>
        <w:t xml:space="preserve">Airedale NHS Trust v Bland </w:t>
      </w:r>
      <w:r w:rsidR="00FE5C1E" w:rsidRPr="00FE5C1E">
        <w:rPr>
          <w:lang w:val="en-IN"/>
        </w:rPr>
        <w:t>(1993)</w:t>
      </w:r>
      <w:r w:rsidR="00FE5C1E">
        <w:rPr>
          <w:lang w:val="en-IN"/>
        </w:rPr>
        <w:t xml:space="preserve"> it was stated that the doctors have a duty of care towards their patients, and it can cause the medical negligence when they breach that duty and cause damage, injury, or loss to their patients. </w:t>
      </w:r>
    </w:p>
    <w:p w14:paraId="7F9D208F" w14:textId="77777777" w:rsidR="00E37E56" w:rsidRPr="00E37E56" w:rsidRDefault="00E37E56" w:rsidP="00E37E56">
      <w:pPr>
        <w:pStyle w:val="Heading1"/>
        <w:rPr>
          <w:lang w:val="en-IN"/>
        </w:rPr>
      </w:pPr>
      <w:bookmarkStart w:id="3" w:name="_Toc116563831"/>
      <w:r>
        <w:rPr>
          <w:lang w:val="en-IN"/>
        </w:rPr>
        <w:t>Duty to Act</w:t>
      </w:r>
      <w:bookmarkEnd w:id="3"/>
    </w:p>
    <w:p w14:paraId="49F70C21" w14:textId="77777777" w:rsidR="00E37E56" w:rsidRDefault="00E37E56" w:rsidP="00E37E56">
      <w:pPr>
        <w:pStyle w:val="Heading2"/>
        <w:rPr>
          <w:lang w:val="en-IN"/>
        </w:rPr>
      </w:pPr>
      <w:bookmarkStart w:id="4" w:name="_Toc116563832"/>
      <w:r>
        <w:rPr>
          <w:lang w:val="en-IN"/>
        </w:rPr>
        <w:t>General Duty</w:t>
      </w:r>
      <w:bookmarkEnd w:id="4"/>
    </w:p>
    <w:p w14:paraId="25992355" w14:textId="77777777" w:rsidR="00E37E56" w:rsidRPr="00E37E56" w:rsidRDefault="00E37E56" w:rsidP="00E37E56">
      <w:pPr>
        <w:rPr>
          <w:lang w:val="en-IN"/>
        </w:rPr>
      </w:pPr>
      <w:r>
        <w:rPr>
          <w:lang w:val="en-IN"/>
        </w:rPr>
        <w:t xml:space="preserve">The general duty to act means that every person has the duty to act if they see someone suffering any harm. It is not adopted by law and a choice has been given to the people acting about their intention to act, if not exceptions of this rule is violated. Thus, the English law does not impose a duty to act on any person in this matter, which means that if a person is in an accident or drowning, then it is the option of the party to save them or not. This raises a question that whether there should be a general duty to act, which would apply to every person, and would be punishable by law and the answer of this question, can be provided by </w:t>
      </w:r>
      <w:r>
        <w:rPr>
          <w:lang w:val="en-IN"/>
        </w:rPr>
        <w:lastRenderedPageBreak/>
        <w:t xml:space="preserve">examining the pros and cons of this duty. </w:t>
      </w:r>
      <w:r w:rsidR="00FE5C1E">
        <w:rPr>
          <w:lang w:val="en-IN"/>
        </w:rPr>
        <w:t xml:space="preserve">In the case of </w:t>
      </w:r>
      <w:r w:rsidR="00FE5C1E" w:rsidRPr="00FE5C1E">
        <w:rPr>
          <w:i/>
          <w:lang w:val="en-IN"/>
        </w:rPr>
        <w:t>R v Stone and Dobinson</w:t>
      </w:r>
      <w:r w:rsidR="00FE5C1E" w:rsidRPr="00FE5C1E">
        <w:rPr>
          <w:lang w:val="en-IN"/>
        </w:rPr>
        <w:t xml:space="preserve"> [1977] 1 QB 354</w:t>
      </w:r>
      <w:r w:rsidR="00FE5C1E">
        <w:rPr>
          <w:lang w:val="en-IN"/>
        </w:rPr>
        <w:t xml:space="preserve"> a person was punished for the breach of duty of care, as he was the blood relative of the person who died from severe diabetes, and if he was a normal lodger he would not have been obligated to help the victim. </w:t>
      </w:r>
    </w:p>
    <w:p w14:paraId="7EED4972" w14:textId="77777777" w:rsidR="00E37E56" w:rsidRDefault="00E37E56" w:rsidP="00E37E56">
      <w:pPr>
        <w:pStyle w:val="Heading2"/>
        <w:rPr>
          <w:lang w:val="en-IN"/>
        </w:rPr>
      </w:pPr>
      <w:bookmarkStart w:id="5" w:name="_Toc116563833"/>
      <w:r w:rsidRPr="00E37E56">
        <w:rPr>
          <w:lang w:val="en-IN"/>
        </w:rPr>
        <w:t>Pros and Cons of General Duty</w:t>
      </w:r>
      <w:r w:rsidR="00C1240C">
        <w:rPr>
          <w:lang w:val="en-IN"/>
        </w:rPr>
        <w:t xml:space="preserve"> and Whether there should be a General Duty</w:t>
      </w:r>
      <w:bookmarkEnd w:id="5"/>
    </w:p>
    <w:p w14:paraId="702784E2" w14:textId="77777777" w:rsidR="00E37E56" w:rsidRPr="00E37E56" w:rsidRDefault="00E37E56" w:rsidP="00E37E56">
      <w:pPr>
        <w:rPr>
          <w:lang w:val="en-IN"/>
        </w:rPr>
      </w:pPr>
      <w:r>
        <w:rPr>
          <w:lang w:val="en-IN"/>
        </w:rPr>
        <w:t xml:space="preserve">On the face of it, Prima Facie, it seems, that there should be a duty to act generally, why should not there be such a duty which can make the people living in the country to act morally and those who do not will be punished by the criminal liabilities. </w:t>
      </w:r>
      <w:r w:rsidR="00C1240C">
        <w:rPr>
          <w:lang w:val="en-IN"/>
        </w:rPr>
        <w:t>There is a counter argument for the application of this duty, as there is a chance that more harm will be caused by the people, if they are trying to help anyone. For example, if a person is drowning on a beach, so does it means that all the people on the beach are responsible to save them, and if they do not, it means that they all should be prosecuted. Thus, it seems that this law is impractical to impose, and the people could act in way that show that they are in trouble to get any benefits from the person who comes to save them, like theft, blackmail, and other criminal offences.</w:t>
      </w:r>
    </w:p>
    <w:p w14:paraId="3721D6A7" w14:textId="77777777" w:rsidR="00E37E56" w:rsidRDefault="00E37E56" w:rsidP="00E37E56">
      <w:pPr>
        <w:pStyle w:val="Heading2"/>
        <w:rPr>
          <w:lang w:val="en-IN"/>
        </w:rPr>
      </w:pPr>
      <w:bookmarkStart w:id="6" w:name="_Toc116563834"/>
      <w:r>
        <w:rPr>
          <w:lang w:val="en-IN"/>
        </w:rPr>
        <w:t>Statute Law</w:t>
      </w:r>
      <w:bookmarkEnd w:id="6"/>
    </w:p>
    <w:p w14:paraId="28348495" w14:textId="77777777" w:rsidR="00C1240C" w:rsidRDefault="00C1240C" w:rsidP="00C1240C">
      <w:pPr>
        <w:rPr>
          <w:lang w:val="en-IN"/>
        </w:rPr>
      </w:pPr>
      <w:r>
        <w:rPr>
          <w:lang w:val="en-IN"/>
        </w:rPr>
        <w:t xml:space="preserve">There are various statutes that provide the exception to the general rule, the statues impose a responsibility on the people to act, so that the omission is not committed, and there are liabilities that can be imposed when they omit, and there are many statutes that impose such punishment. For example, the </w:t>
      </w:r>
      <w:r w:rsidR="00FE5C1E">
        <w:rPr>
          <w:lang w:val="en-IN"/>
        </w:rPr>
        <w:t>(</w:t>
      </w:r>
      <w:r w:rsidRPr="00FE5C1E">
        <w:rPr>
          <w:i/>
          <w:lang w:val="en-IN"/>
        </w:rPr>
        <w:t xml:space="preserve">Children and Young Persons Act </w:t>
      </w:r>
      <w:r>
        <w:rPr>
          <w:lang w:val="en-IN"/>
        </w:rPr>
        <w:t>(Section 1)</w:t>
      </w:r>
      <w:r w:rsidR="00FE5C1E">
        <w:rPr>
          <w:lang w:val="en-IN"/>
        </w:rPr>
        <w:t>)</w:t>
      </w:r>
      <w:r>
        <w:rPr>
          <w:lang w:val="en-IN"/>
        </w:rPr>
        <w:t xml:space="preserve"> provides that the guardian or a parent of a child has the responsibility to take care of the basic needs of such child and there are criminal penalties if they fail to fulfil such duty. The case of </w:t>
      </w:r>
      <w:r w:rsidRPr="00FE5C1E">
        <w:rPr>
          <w:i/>
          <w:iCs/>
          <w:lang w:val="en-IN"/>
        </w:rPr>
        <w:t>R v</w:t>
      </w:r>
      <w:r w:rsidRPr="00C1240C">
        <w:rPr>
          <w:i/>
          <w:iCs/>
          <w:lang w:val="en-IN"/>
        </w:rPr>
        <w:t xml:space="preserve"> Gibbins and Proctor</w:t>
      </w:r>
      <w:r>
        <w:rPr>
          <w:lang w:val="en-IN"/>
        </w:rPr>
        <w:t> [1918] 13 Cr App Rep 134 provide</w:t>
      </w:r>
      <w:r w:rsidR="00FE5C1E">
        <w:rPr>
          <w:lang w:val="en-IN"/>
        </w:rPr>
        <w:t>s</w:t>
      </w:r>
      <w:r>
        <w:rPr>
          <w:lang w:val="en-IN"/>
        </w:rPr>
        <w:t xml:space="preserve"> the facts where a mother who neglected to give food to her daughter due to which she dies, as she omitted to fulfil her duty she was charged and convicted with murder and the court stated that this case has the necessary elements of murder.</w:t>
      </w:r>
    </w:p>
    <w:p w14:paraId="01CF1FA6" w14:textId="77777777" w:rsidR="00E37E56" w:rsidRPr="00E37E56" w:rsidRDefault="00FE5C1E" w:rsidP="00E37E56">
      <w:pPr>
        <w:rPr>
          <w:lang w:val="en-IN"/>
        </w:rPr>
      </w:pPr>
      <w:r>
        <w:rPr>
          <w:lang w:val="en-IN"/>
        </w:rPr>
        <w:t>The (</w:t>
      </w:r>
      <w:r w:rsidRPr="00FE5C1E">
        <w:rPr>
          <w:i/>
          <w:lang w:val="en-IN"/>
        </w:rPr>
        <w:t>Road Traffic Act</w:t>
      </w:r>
      <w:r>
        <w:rPr>
          <w:lang w:val="en-IN"/>
        </w:rPr>
        <w:t xml:space="preserve"> of 1988) specified in section 6 that it is mandatory for the people to provide with their breath sample in the event where they are asked by the police officer to give the sample in the breath analyser and the failure to do so will be considered as an omission of the lawful compliance imposed by the law. The case of </w:t>
      </w:r>
      <w:r w:rsidRPr="00FE5C1E">
        <w:rPr>
          <w:i/>
          <w:lang w:val="en-IN"/>
        </w:rPr>
        <w:t>R v Dhytham</w:t>
      </w:r>
      <w:r>
        <w:rPr>
          <w:lang w:val="en-IN"/>
        </w:rPr>
        <w:t xml:space="preserve"> imposes a duty on the police officer to assist the members of the public in their time of need, regardless of the fact that are on duty or off duty, and this in a way imposes a general duty on the police </w:t>
      </w:r>
      <w:r>
        <w:rPr>
          <w:lang w:val="en-IN"/>
        </w:rPr>
        <w:lastRenderedPageBreak/>
        <w:t xml:space="preserve">officer to help the public, so a civilian is allowed to choose but a police officer is not under this exception. </w:t>
      </w:r>
    </w:p>
    <w:p w14:paraId="01FDDCC7" w14:textId="77777777" w:rsidR="00E37E56" w:rsidRDefault="00E37E56" w:rsidP="00E37E56">
      <w:pPr>
        <w:pStyle w:val="Heading2"/>
        <w:rPr>
          <w:lang w:val="en-IN"/>
        </w:rPr>
      </w:pPr>
      <w:bookmarkStart w:id="7" w:name="_Toc116563835"/>
      <w:r>
        <w:rPr>
          <w:lang w:val="en-IN"/>
        </w:rPr>
        <w:t>Common Law</w:t>
      </w:r>
      <w:bookmarkEnd w:id="7"/>
    </w:p>
    <w:p w14:paraId="030B7DFD" w14:textId="77777777" w:rsidR="00FE5C1E" w:rsidRDefault="00FE5C1E" w:rsidP="00FE5C1E">
      <w:pPr>
        <w:rPr>
          <w:lang w:val="en-IN"/>
        </w:rPr>
      </w:pPr>
      <w:r w:rsidRPr="00FE5C1E">
        <w:rPr>
          <w:lang w:val="en-IN"/>
        </w:rPr>
        <w:t xml:space="preserve">The common law is referred in the situation a statute law does not exists for a point of law or is silent on the law, in such a situation the common law will have the same effect as the statute law. The duty not to omit has been specified in the various cases of the common law, and as all of those cases cannot be discussed a few will be mentioned. The case of </w:t>
      </w:r>
      <w:r w:rsidRPr="00FE5C1E">
        <w:rPr>
          <w:i/>
          <w:lang w:val="en-IN"/>
        </w:rPr>
        <w:t>R v Miller</w:t>
      </w:r>
      <w:r w:rsidRPr="00FE5C1E">
        <w:rPr>
          <w:lang w:val="en-IN"/>
        </w:rPr>
        <w:t xml:space="preserve"> [1983] 2 AC 161</w:t>
      </w:r>
      <w:r>
        <w:rPr>
          <w:lang w:val="en-IN"/>
        </w:rPr>
        <w:t xml:space="preserve"> provides that a defendant was charged with arson, as the defendant was drunk and in that state slept which caused the fire and when the fire arose the defendant took no action to extinguish it, but ignored and caused the house to burn down and it suffered the damage of €800. The court stated as Miller created a dangerous situation and after that took no action to resolve it shows that he had a duty, even if the act was accidental, to take action, and when he choose to ignore it, he committed arson. </w:t>
      </w:r>
    </w:p>
    <w:p w14:paraId="6AED0627" w14:textId="77777777" w:rsidR="00FE5C1E" w:rsidRPr="00FE5C1E" w:rsidRDefault="00FE5C1E" w:rsidP="00FE5C1E">
      <w:pPr>
        <w:rPr>
          <w:lang w:val="en-IN"/>
        </w:rPr>
      </w:pPr>
      <w:r>
        <w:rPr>
          <w:lang w:val="en-IN"/>
        </w:rPr>
        <w:t>The failure to take the action on the contract of employment will also be an exception of the rule of duty of care. If it is responsibility of a person under their contract, like a life guard, and they omit that duty, they can be held liable under the law. The situation is cleared in the case of</w:t>
      </w:r>
      <w:r w:rsidRPr="00FE5C1E">
        <w:rPr>
          <w:lang w:val="en-IN"/>
        </w:rPr>
        <w:t> </w:t>
      </w:r>
      <w:r w:rsidRPr="00FE5C1E">
        <w:rPr>
          <w:i/>
          <w:iCs/>
          <w:lang w:val="en-IN"/>
        </w:rPr>
        <w:t>R v Pittwood</w:t>
      </w:r>
      <w:r w:rsidRPr="00FE5C1E">
        <w:rPr>
          <w:lang w:val="en-IN"/>
        </w:rPr>
        <w:t> [1902] 19 TLR 37</w:t>
      </w:r>
      <w:r>
        <w:rPr>
          <w:lang w:val="en-IN"/>
        </w:rPr>
        <w:t xml:space="preserve">, in this case the defendant was a gate keeper of a railway crossing, and he failed to close the door, through which a person passed and was killed, he was convicted for manslaughter. It was stated by the court that it was the duty of the gate keeper to open and close the duty and his non compliance of this duty led to the death of a person, so he is liable. It is also important to note that the duty of this kind will cease to exist when the employment is terminated. </w:t>
      </w:r>
    </w:p>
    <w:p w14:paraId="2212080A" w14:textId="77777777" w:rsidR="00E37E56" w:rsidRDefault="00E37E56" w:rsidP="00E37E56">
      <w:pPr>
        <w:rPr>
          <w:rFonts w:eastAsiaTheme="majorEastAsia" w:cstheme="majorBidi"/>
          <w:sz w:val="26"/>
          <w:szCs w:val="26"/>
          <w:lang w:val="en-IN"/>
        </w:rPr>
      </w:pPr>
      <w:r>
        <w:rPr>
          <w:lang w:val="en-IN"/>
        </w:rPr>
        <w:br w:type="page"/>
      </w:r>
    </w:p>
    <w:p w14:paraId="28CB1A5C" w14:textId="77777777" w:rsidR="00E37E56" w:rsidRPr="00E37E56" w:rsidRDefault="00E37E56" w:rsidP="00E37E56">
      <w:pPr>
        <w:pStyle w:val="Heading1"/>
        <w:rPr>
          <w:lang w:val="en-IN"/>
        </w:rPr>
      </w:pPr>
      <w:bookmarkStart w:id="8" w:name="_Toc116563836"/>
      <w:r>
        <w:rPr>
          <w:lang w:val="en-IN"/>
        </w:rPr>
        <w:lastRenderedPageBreak/>
        <w:t>Conclusion</w:t>
      </w:r>
      <w:bookmarkEnd w:id="8"/>
    </w:p>
    <w:p w14:paraId="12BF1424" w14:textId="77777777" w:rsidR="00E37E56" w:rsidRDefault="00FE5C1E" w:rsidP="00FE5C1E">
      <w:pPr>
        <w:jc w:val="left"/>
        <w:rPr>
          <w:lang w:val="en-IN"/>
        </w:rPr>
      </w:pPr>
      <w:r>
        <w:rPr>
          <w:lang w:val="en-IN"/>
        </w:rPr>
        <w:t>This report was regarding the situations where the duty to care is imposed and where it is not. It was learned that there is no general duty of care and it is at the option of the public to act or not, but there are certain situations they have to act. These situations were provided in the form of statute and common laws and were explained.</w:t>
      </w:r>
      <w:r w:rsidR="00E37E56">
        <w:rPr>
          <w:lang w:val="en-IN"/>
        </w:rPr>
        <w:br w:type="page"/>
      </w:r>
    </w:p>
    <w:p w14:paraId="47745EF4" w14:textId="77777777" w:rsidR="00E37E56" w:rsidRDefault="00E37E56" w:rsidP="00E37E56">
      <w:pPr>
        <w:pStyle w:val="Heading1"/>
        <w:rPr>
          <w:lang w:val="en-IN"/>
        </w:rPr>
      </w:pPr>
      <w:bookmarkStart w:id="9" w:name="_Toc116563837"/>
      <w:r>
        <w:rPr>
          <w:lang w:val="en-IN"/>
        </w:rPr>
        <w:lastRenderedPageBreak/>
        <w:t>References</w:t>
      </w:r>
      <w:bookmarkEnd w:id="9"/>
    </w:p>
    <w:p w14:paraId="566B811E" w14:textId="77777777" w:rsidR="00FE5C1E" w:rsidRDefault="00FE5C1E" w:rsidP="00981E36">
      <w:pPr>
        <w:spacing w:before="240"/>
        <w:rPr>
          <w:lang w:val="en-IN"/>
        </w:rPr>
      </w:pPr>
      <w:r w:rsidRPr="00FE5C1E">
        <w:rPr>
          <w:i/>
          <w:lang w:val="en-IN"/>
        </w:rPr>
        <w:t xml:space="preserve">Airedale NHS Trust v </w:t>
      </w:r>
      <w:r w:rsidRPr="00FE5C1E">
        <w:rPr>
          <w:lang w:val="en-IN"/>
        </w:rPr>
        <w:t>Bland [1993] Law Reports, Appeal Cases 789</w:t>
      </w:r>
    </w:p>
    <w:p w14:paraId="75454ADD" w14:textId="77777777" w:rsidR="00FE5C1E" w:rsidRPr="00FE5C1E" w:rsidRDefault="00FE5C1E" w:rsidP="00981E36">
      <w:pPr>
        <w:spacing w:before="240"/>
        <w:rPr>
          <w:lang w:val="en-IN"/>
        </w:rPr>
      </w:pPr>
      <w:r w:rsidRPr="00FE5C1E">
        <w:rPr>
          <w:i/>
          <w:lang w:val="en-IN"/>
        </w:rPr>
        <w:t>Children and Young Persons Act</w:t>
      </w:r>
      <w:r>
        <w:rPr>
          <w:lang w:val="en-IN"/>
        </w:rPr>
        <w:t xml:space="preserve">. </w:t>
      </w:r>
      <w:r w:rsidRPr="00FE5C1E">
        <w:rPr>
          <w:lang w:val="en-IN"/>
        </w:rPr>
        <w:t>https://www.legislation.gov.uk/ukpga/Geo5/23-24/12</w:t>
      </w:r>
    </w:p>
    <w:p w14:paraId="7E5600DC" w14:textId="77777777" w:rsidR="00FE5C1E" w:rsidRDefault="00FE5C1E" w:rsidP="00981E36">
      <w:pPr>
        <w:spacing w:before="240"/>
        <w:rPr>
          <w:i/>
          <w:lang w:val="en-IN"/>
        </w:rPr>
      </w:pPr>
      <w:r w:rsidRPr="00FE5C1E">
        <w:rPr>
          <w:i/>
          <w:lang w:val="en-IN"/>
        </w:rPr>
        <w:t xml:space="preserve">R v </w:t>
      </w:r>
      <w:r w:rsidRPr="00FE5C1E">
        <w:rPr>
          <w:lang w:val="en-IN"/>
        </w:rPr>
        <w:t>Dhytham [1979] 3 Weekly Legal Briefings, 467</w:t>
      </w:r>
    </w:p>
    <w:p w14:paraId="446BEC6F" w14:textId="77777777" w:rsidR="00FE5C1E" w:rsidRDefault="00FE5C1E" w:rsidP="00981E36">
      <w:pPr>
        <w:spacing w:before="240"/>
        <w:rPr>
          <w:lang w:val="en-IN"/>
        </w:rPr>
      </w:pPr>
      <w:r w:rsidRPr="00FE5C1E">
        <w:rPr>
          <w:i/>
          <w:iCs/>
          <w:lang w:val="en-IN"/>
        </w:rPr>
        <w:t>R v</w:t>
      </w:r>
      <w:r w:rsidRPr="00C1240C">
        <w:rPr>
          <w:i/>
          <w:iCs/>
          <w:lang w:val="en-IN"/>
        </w:rPr>
        <w:t xml:space="preserve"> Gibbins and Proctor</w:t>
      </w:r>
      <w:r>
        <w:rPr>
          <w:lang w:val="en-IN"/>
        </w:rPr>
        <w:t xml:space="preserve"> [1918] 13 </w:t>
      </w:r>
      <w:r w:rsidRPr="00FE5C1E">
        <w:rPr>
          <w:lang w:val="en-IN"/>
        </w:rPr>
        <w:t>Criminal Appeal Reports</w:t>
      </w:r>
      <w:r>
        <w:rPr>
          <w:lang w:val="en-IN"/>
        </w:rPr>
        <w:t xml:space="preserve"> 134</w:t>
      </w:r>
    </w:p>
    <w:p w14:paraId="7B5A498B" w14:textId="77777777" w:rsidR="00FE5C1E" w:rsidRDefault="00FE5C1E" w:rsidP="00981E36">
      <w:pPr>
        <w:spacing w:before="240"/>
        <w:rPr>
          <w:lang w:val="en-IN"/>
        </w:rPr>
      </w:pPr>
      <w:r w:rsidRPr="00FE5C1E">
        <w:rPr>
          <w:i/>
          <w:lang w:val="en-IN"/>
        </w:rPr>
        <w:t>R v Miller</w:t>
      </w:r>
      <w:r w:rsidRPr="00FE5C1E">
        <w:rPr>
          <w:lang w:val="en-IN"/>
        </w:rPr>
        <w:t xml:space="preserve"> [1983] 2 Law Reports, Appeal Cases 161</w:t>
      </w:r>
    </w:p>
    <w:p w14:paraId="51C456ED" w14:textId="77777777" w:rsidR="00FE5C1E" w:rsidRDefault="00FE5C1E" w:rsidP="00981E36">
      <w:pPr>
        <w:spacing w:before="240"/>
        <w:rPr>
          <w:lang w:val="en-IN"/>
        </w:rPr>
      </w:pPr>
      <w:r w:rsidRPr="00FE5C1E">
        <w:rPr>
          <w:i/>
          <w:iCs/>
          <w:lang w:val="en-IN"/>
        </w:rPr>
        <w:t>R v Pittwood</w:t>
      </w:r>
      <w:r w:rsidRPr="00FE5C1E">
        <w:rPr>
          <w:lang w:val="en-IN"/>
        </w:rPr>
        <w:t> [1902] 19 Times Law Reports 37</w:t>
      </w:r>
    </w:p>
    <w:p w14:paraId="74479EA2" w14:textId="77777777" w:rsidR="00FE5C1E" w:rsidRDefault="00FE5C1E" w:rsidP="00981E36">
      <w:pPr>
        <w:spacing w:before="240"/>
        <w:rPr>
          <w:lang w:val="en-IN"/>
        </w:rPr>
      </w:pPr>
      <w:r w:rsidRPr="00FE5C1E">
        <w:rPr>
          <w:i/>
          <w:lang w:val="en-IN"/>
        </w:rPr>
        <w:t>R v Stone and Dobinson</w:t>
      </w:r>
      <w:r w:rsidRPr="00FE5C1E">
        <w:rPr>
          <w:lang w:val="en-IN"/>
        </w:rPr>
        <w:t xml:space="preserve"> [1977] 1 </w:t>
      </w:r>
      <w:r>
        <w:rPr>
          <w:lang w:val="en-IN"/>
        </w:rPr>
        <w:t>Queens Bench Cases</w:t>
      </w:r>
      <w:r w:rsidRPr="00FE5C1E">
        <w:rPr>
          <w:lang w:val="en-IN"/>
        </w:rPr>
        <w:t xml:space="preserve"> 354</w:t>
      </w:r>
    </w:p>
    <w:p w14:paraId="7A9D9333" w14:textId="77777777" w:rsidR="00FE5C1E" w:rsidRDefault="00FE5C1E" w:rsidP="00981E36">
      <w:pPr>
        <w:spacing w:before="240"/>
        <w:rPr>
          <w:lang w:val="en-IN"/>
        </w:rPr>
      </w:pPr>
      <w:r w:rsidRPr="00FE5C1E">
        <w:rPr>
          <w:i/>
          <w:lang w:val="en-IN"/>
        </w:rPr>
        <w:t>Road Traffic Act</w:t>
      </w:r>
      <w:r>
        <w:rPr>
          <w:lang w:val="en-IN"/>
        </w:rPr>
        <w:t xml:space="preserve"> of 1988. </w:t>
      </w:r>
      <w:r w:rsidRPr="00FE5C1E">
        <w:rPr>
          <w:lang w:val="en-IN"/>
        </w:rPr>
        <w:t>https://www.legislation.gov.uk/ukpga/1988/52/contents</w:t>
      </w:r>
    </w:p>
    <w:p w14:paraId="0A251087" w14:textId="77777777" w:rsidR="00FE5C1E" w:rsidRPr="00FE5C1E" w:rsidRDefault="00FE5C1E" w:rsidP="00981E36">
      <w:pPr>
        <w:spacing w:before="240"/>
        <w:rPr>
          <w:lang w:val="en-IN"/>
        </w:rPr>
      </w:pPr>
      <w:r>
        <w:rPr>
          <w:shd w:val="clear" w:color="auto" w:fill="FFFFFF"/>
        </w:rPr>
        <w:t>Roy, M.S. (2020) ‘AN</w:t>
      </w:r>
      <w:r w:rsidR="00476AD4">
        <w:rPr>
          <w:shd w:val="clear" w:color="auto" w:fill="FFFFFF"/>
        </w:rPr>
        <w:t xml:space="preserve"> Effort To Unveil The Best Test On Criminal Attempt-Decoding Judicial Interpretations Of India</w:t>
      </w:r>
      <w:r>
        <w:rPr>
          <w:shd w:val="clear" w:color="auto" w:fill="FFFFFF"/>
        </w:rPr>
        <w:t xml:space="preserve">, UK </w:t>
      </w:r>
      <w:r w:rsidR="00476AD4">
        <w:rPr>
          <w:shd w:val="clear" w:color="auto" w:fill="FFFFFF"/>
        </w:rPr>
        <w:t xml:space="preserve">and </w:t>
      </w:r>
      <w:r>
        <w:rPr>
          <w:shd w:val="clear" w:color="auto" w:fill="FFFFFF"/>
        </w:rPr>
        <w:t>USA’, </w:t>
      </w:r>
      <w:r>
        <w:rPr>
          <w:i/>
          <w:iCs/>
          <w:shd w:val="clear" w:color="auto" w:fill="FFFFFF"/>
        </w:rPr>
        <w:t>PalArch's Journal of Archaeology of Egypt/Egyptology</w:t>
      </w:r>
      <w:r>
        <w:rPr>
          <w:shd w:val="clear" w:color="auto" w:fill="FFFFFF"/>
        </w:rPr>
        <w:t>, </w:t>
      </w:r>
      <w:r>
        <w:rPr>
          <w:i/>
          <w:iCs/>
          <w:shd w:val="clear" w:color="auto" w:fill="FFFFFF"/>
        </w:rPr>
        <w:t>17</w:t>
      </w:r>
      <w:r>
        <w:rPr>
          <w:shd w:val="clear" w:color="auto" w:fill="FFFFFF"/>
        </w:rPr>
        <w:t xml:space="preserve">(7), pp.3989-3999. </w:t>
      </w:r>
      <w:r w:rsidRPr="00FE5C1E">
        <w:rPr>
          <w:shd w:val="clear" w:color="auto" w:fill="FFFFFF"/>
        </w:rPr>
        <w:t>https://mail.palarch.nl/index.php/jae/article/download/2301/2268</w:t>
      </w:r>
    </w:p>
    <w:sectPr w:rsidR="00FE5C1E" w:rsidRPr="00FE5C1E" w:rsidSect="00E37E56">
      <w:footerReference w:type="default" r:id="rId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14F92" w14:textId="77777777" w:rsidR="00094338" w:rsidRDefault="00094338" w:rsidP="00E37E56">
      <w:pPr>
        <w:spacing w:after="0" w:line="240" w:lineRule="auto"/>
      </w:pPr>
      <w:r>
        <w:separator/>
      </w:r>
    </w:p>
  </w:endnote>
  <w:endnote w:type="continuationSeparator" w:id="0">
    <w:p w14:paraId="31AEE305" w14:textId="77777777" w:rsidR="00094338" w:rsidRDefault="00094338" w:rsidP="00E37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7845"/>
      <w:docPartObj>
        <w:docPartGallery w:val="Page Numbers (Bottom of Page)"/>
        <w:docPartUnique/>
      </w:docPartObj>
    </w:sdtPr>
    <w:sdtContent>
      <w:p w14:paraId="20C7FB15" w14:textId="77777777" w:rsidR="00E37E56" w:rsidRDefault="00000000">
        <w:pPr>
          <w:pStyle w:val="Footer"/>
          <w:jc w:val="center"/>
        </w:pPr>
        <w:r>
          <w:fldChar w:fldCharType="begin"/>
        </w:r>
        <w:r>
          <w:instrText xml:space="preserve"> PAGE   \* MERGEFORMAT </w:instrText>
        </w:r>
        <w:r>
          <w:fldChar w:fldCharType="separate"/>
        </w:r>
        <w:r w:rsidR="00476AD4">
          <w:rPr>
            <w:noProof/>
          </w:rPr>
          <w:t>8</w:t>
        </w:r>
        <w:r>
          <w:rPr>
            <w:noProof/>
          </w:rPr>
          <w:fldChar w:fldCharType="end"/>
        </w:r>
      </w:p>
    </w:sdtContent>
  </w:sdt>
  <w:p w14:paraId="32F8124C" w14:textId="77777777" w:rsidR="00E37E56" w:rsidRDefault="00E37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41591" w14:textId="77777777" w:rsidR="00094338" w:rsidRDefault="00094338" w:rsidP="00E37E56">
      <w:pPr>
        <w:spacing w:after="0" w:line="240" w:lineRule="auto"/>
      </w:pPr>
      <w:r>
        <w:separator/>
      </w:r>
    </w:p>
  </w:footnote>
  <w:footnote w:type="continuationSeparator" w:id="0">
    <w:p w14:paraId="61D0FCB5" w14:textId="77777777" w:rsidR="00094338" w:rsidRDefault="00094338" w:rsidP="00E37E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A0NDM3sTAwNrawNDFV0lEKTi0uzszPAykwrAUA3v8e5SwAAAA="/>
  </w:docVars>
  <w:rsids>
    <w:rsidRoot w:val="0010624A"/>
    <w:rsid w:val="0000287E"/>
    <w:rsid w:val="00040F84"/>
    <w:rsid w:val="00094338"/>
    <w:rsid w:val="0010624A"/>
    <w:rsid w:val="00255942"/>
    <w:rsid w:val="00320277"/>
    <w:rsid w:val="00476AD4"/>
    <w:rsid w:val="004B4896"/>
    <w:rsid w:val="004B7670"/>
    <w:rsid w:val="0054443C"/>
    <w:rsid w:val="00643710"/>
    <w:rsid w:val="007331CE"/>
    <w:rsid w:val="00981E36"/>
    <w:rsid w:val="00B72829"/>
    <w:rsid w:val="00C1240C"/>
    <w:rsid w:val="00CE509C"/>
    <w:rsid w:val="00DF7A1F"/>
    <w:rsid w:val="00E37E56"/>
    <w:rsid w:val="00FE5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6B13CC"/>
  <w15:docId w15:val="{8B5DF224-5074-47F0-8787-CAC3C7824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43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443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4443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43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4443C"/>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54443C"/>
    <w:pPr>
      <w:spacing w:after="0"/>
      <w:contextualSpacing/>
      <w:jc w:val="center"/>
    </w:pPr>
    <w:rPr>
      <w:rFonts w:eastAsiaTheme="majorEastAsia" w:cstheme="majorBidi"/>
      <w:spacing w:val="-10"/>
      <w:kern w:val="28"/>
      <w:sz w:val="52"/>
      <w:szCs w:val="56"/>
      <w:u w:val="single" w:color="4472C4" w:themeColor="accent1"/>
    </w:rPr>
  </w:style>
  <w:style w:type="character" w:customStyle="1" w:styleId="TitleChar">
    <w:name w:val="Title Char"/>
    <w:basedOn w:val="DefaultParagraphFont"/>
    <w:link w:val="Title"/>
    <w:uiPriority w:val="10"/>
    <w:rsid w:val="0054443C"/>
    <w:rPr>
      <w:rFonts w:ascii="Times New Roman" w:eastAsiaTheme="majorEastAsia" w:hAnsi="Times New Roman" w:cstheme="majorBidi"/>
      <w:spacing w:val="-10"/>
      <w:kern w:val="28"/>
      <w:sz w:val="52"/>
      <w:szCs w:val="56"/>
      <w:u w:val="single" w:color="4472C4" w:themeColor="accent1"/>
      <w:lang w:val="en-GB"/>
    </w:rPr>
  </w:style>
  <w:style w:type="paragraph" w:styleId="Header">
    <w:name w:val="header"/>
    <w:basedOn w:val="Normal"/>
    <w:link w:val="HeaderChar"/>
    <w:uiPriority w:val="99"/>
    <w:semiHidden/>
    <w:unhideWhenUsed/>
    <w:rsid w:val="00E37E5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37E56"/>
    <w:rPr>
      <w:rFonts w:ascii="Times New Roman" w:hAnsi="Times New Roman"/>
      <w:sz w:val="24"/>
      <w:lang w:val="en-GB"/>
    </w:rPr>
  </w:style>
  <w:style w:type="paragraph" w:styleId="Footer">
    <w:name w:val="footer"/>
    <w:basedOn w:val="Normal"/>
    <w:link w:val="FooterChar"/>
    <w:uiPriority w:val="99"/>
    <w:unhideWhenUsed/>
    <w:rsid w:val="00E37E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E56"/>
    <w:rPr>
      <w:rFonts w:ascii="Times New Roman" w:hAnsi="Times New Roman"/>
      <w:sz w:val="24"/>
      <w:lang w:val="en-GB"/>
    </w:rPr>
  </w:style>
  <w:style w:type="character" w:styleId="Emphasis">
    <w:name w:val="Emphasis"/>
    <w:basedOn w:val="DefaultParagraphFont"/>
    <w:uiPriority w:val="20"/>
    <w:qFormat/>
    <w:rsid w:val="00C1240C"/>
    <w:rPr>
      <w:i/>
      <w:iCs/>
    </w:rPr>
  </w:style>
  <w:style w:type="character" w:styleId="Strong">
    <w:name w:val="Strong"/>
    <w:basedOn w:val="DefaultParagraphFont"/>
    <w:uiPriority w:val="22"/>
    <w:qFormat/>
    <w:rsid w:val="00FE5C1E"/>
    <w:rPr>
      <w:b/>
      <w:bCs/>
    </w:rPr>
  </w:style>
  <w:style w:type="paragraph" w:styleId="ListParagraph">
    <w:name w:val="List Paragraph"/>
    <w:basedOn w:val="Normal"/>
    <w:uiPriority w:val="34"/>
    <w:qFormat/>
    <w:rsid w:val="00FE5C1E"/>
    <w:pPr>
      <w:ind w:left="720"/>
      <w:contextualSpacing/>
    </w:pPr>
  </w:style>
  <w:style w:type="paragraph" w:styleId="TOCHeading">
    <w:name w:val="TOC Heading"/>
    <w:basedOn w:val="Heading1"/>
    <w:next w:val="Normal"/>
    <w:uiPriority w:val="39"/>
    <w:semiHidden/>
    <w:unhideWhenUsed/>
    <w:qFormat/>
    <w:rsid w:val="00FE5C1E"/>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FE5C1E"/>
    <w:pPr>
      <w:spacing w:after="100"/>
    </w:pPr>
  </w:style>
  <w:style w:type="paragraph" w:styleId="TOC2">
    <w:name w:val="toc 2"/>
    <w:basedOn w:val="Normal"/>
    <w:next w:val="Normal"/>
    <w:autoRedefine/>
    <w:uiPriority w:val="39"/>
    <w:unhideWhenUsed/>
    <w:rsid w:val="00FE5C1E"/>
    <w:pPr>
      <w:spacing w:after="100"/>
      <w:ind w:left="240"/>
    </w:pPr>
  </w:style>
  <w:style w:type="character" w:styleId="Hyperlink">
    <w:name w:val="Hyperlink"/>
    <w:basedOn w:val="DefaultParagraphFont"/>
    <w:uiPriority w:val="99"/>
    <w:unhideWhenUsed/>
    <w:rsid w:val="00FE5C1E"/>
    <w:rPr>
      <w:color w:val="0563C1" w:themeColor="hyperlink"/>
      <w:u w:val="single"/>
    </w:rPr>
  </w:style>
  <w:style w:type="paragraph" w:styleId="BalloonText">
    <w:name w:val="Balloon Text"/>
    <w:basedOn w:val="Normal"/>
    <w:link w:val="BalloonTextChar"/>
    <w:uiPriority w:val="99"/>
    <w:semiHidden/>
    <w:unhideWhenUsed/>
    <w:rsid w:val="00FE5C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C1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97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F22FE4-35F2-487B-B153-44842CC65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Pages>
  <Words>1423</Words>
  <Characters>8116</Characters>
  <Application>Microsoft Office Word</Application>
  <DocSecurity>0</DocSecurity>
  <Lines>67</Lines>
  <Paragraphs>19</Paragraphs>
  <ScaleCrop>false</ScaleCrop>
  <Company/>
  <LinksUpToDate>false</LinksUpToDate>
  <CharactersWithSpaces>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cp:lastModifiedBy>
  <cp:revision>9</cp:revision>
  <dcterms:created xsi:type="dcterms:W3CDTF">2022-10-13T06:39:00Z</dcterms:created>
  <dcterms:modified xsi:type="dcterms:W3CDTF">2022-10-24T11:26:00Z</dcterms:modified>
</cp:coreProperties>
</file>