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2FE3" w:rsidRDefault="00F30CDB" w:rsidP="00F30CDB">
      <w:pPr>
        <w:spacing w:line="360" w:lineRule="auto"/>
      </w:pPr>
      <w:r>
        <w:t>Slide 1</w:t>
      </w:r>
    </w:p>
    <w:p w:rsidR="00F30CDB" w:rsidRDefault="00F30CDB" w:rsidP="00F30CDB">
      <w:pPr>
        <w:spacing w:line="360" w:lineRule="auto"/>
      </w:pPr>
    </w:p>
    <w:p w:rsidR="00F30CDB" w:rsidRDefault="00F30CDB" w:rsidP="00F30CDB">
      <w:pPr>
        <w:spacing w:line="360" w:lineRule="auto"/>
        <w:jc w:val="center"/>
      </w:pPr>
      <w:r>
        <w:object w:dxaOrig="9588"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59.25pt;height:201.7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0379133" r:id="rId5"/>
        </w:object>
      </w:r>
    </w:p>
    <w:p w:rsidR="00F30CDB" w:rsidRDefault="00F30CDB" w:rsidP="00F30CDB">
      <w:pPr>
        <w:spacing w:line="360" w:lineRule="auto"/>
        <w:jc w:val="center"/>
      </w:pPr>
    </w:p>
    <w:p w:rsidR="00F30CDB" w:rsidRDefault="00F30CDB" w:rsidP="00F30CDB">
      <w:pPr>
        <w:spacing w:line="360" w:lineRule="auto"/>
      </w:pPr>
    </w:p>
    <w:p w:rsidR="00F30CDB" w:rsidRDefault="00F30CDB">
      <w:r>
        <w:br w:type="page"/>
      </w:r>
    </w:p>
    <w:p w:rsidR="00F30CDB" w:rsidRDefault="00F30CDB" w:rsidP="00F30CDB">
      <w:pPr>
        <w:spacing w:line="360" w:lineRule="auto"/>
      </w:pPr>
      <w:r>
        <w:lastRenderedPageBreak/>
        <w:t>Slide 2</w:t>
      </w:r>
    </w:p>
    <w:p w:rsidR="00F30CDB" w:rsidRDefault="00F30CDB" w:rsidP="00F30CDB">
      <w:pPr>
        <w:spacing w:line="360" w:lineRule="auto"/>
      </w:pPr>
    </w:p>
    <w:p w:rsidR="00F30CDB" w:rsidRDefault="00F30CDB" w:rsidP="00F30CDB">
      <w:pPr>
        <w:spacing w:line="360" w:lineRule="auto"/>
        <w:jc w:val="center"/>
      </w:pPr>
      <w:r>
        <w:object w:dxaOrig="9588" w:dyaOrig="5390">
          <v:shape id="_x0000_i1030" type="#_x0000_t75" style="width:359.25pt;height:201.7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0" DrawAspect="Content" ObjectID="_1650379134" r:id="rId7"/>
        </w:object>
      </w:r>
    </w:p>
    <w:p w:rsidR="00F30CDB" w:rsidRDefault="00F30CDB" w:rsidP="00F30CDB">
      <w:pPr>
        <w:spacing w:line="360" w:lineRule="auto"/>
        <w:jc w:val="center"/>
      </w:pPr>
    </w:p>
    <w:p w:rsidR="00F30CDB" w:rsidRDefault="00F30CDB" w:rsidP="00F30CDB">
      <w:pPr>
        <w:spacing w:line="360" w:lineRule="auto"/>
      </w:pPr>
    </w:p>
    <w:p w:rsidR="00F30CDB" w:rsidRDefault="00F30CDB">
      <w:r>
        <w:br w:type="page"/>
      </w:r>
    </w:p>
    <w:p w:rsidR="00F30CDB" w:rsidRDefault="00F30CDB" w:rsidP="00F30CDB">
      <w:pPr>
        <w:spacing w:line="360" w:lineRule="auto"/>
      </w:pPr>
      <w:r>
        <w:lastRenderedPageBreak/>
        <w:t>Slide 3</w:t>
      </w:r>
    </w:p>
    <w:p w:rsidR="00F30CDB" w:rsidRDefault="00F30CDB" w:rsidP="00F30CDB">
      <w:pPr>
        <w:spacing w:line="360" w:lineRule="auto"/>
      </w:pPr>
    </w:p>
    <w:p w:rsidR="00F30CDB" w:rsidRDefault="00F30CDB" w:rsidP="00F30CDB">
      <w:pPr>
        <w:spacing w:line="360" w:lineRule="auto"/>
        <w:jc w:val="center"/>
      </w:pPr>
      <w:r>
        <w:object w:dxaOrig="9588" w:dyaOrig="5390">
          <v:shape id="_x0000_i1035" type="#_x0000_t75" style="width:359.25pt;height:201.7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5" DrawAspect="Content" ObjectID="_1650379135" r:id="rId9"/>
        </w:object>
      </w:r>
    </w:p>
    <w:p w:rsidR="00F30CDB" w:rsidRDefault="00F30CDB" w:rsidP="00F30CDB">
      <w:pPr>
        <w:spacing w:line="360" w:lineRule="auto"/>
        <w:jc w:val="cente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Good afternoon,</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My name is Constanta Alexandra Mateescu and today I will present you the history of Halifax Plc.</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Was founded in 1853, named after the town Halifax, West Yorkshire. The objective was for mutual benefit of local working people, depositing investors cash and reword them with an interest</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society chose to growth by open branches all around the country. In 1913 was the biggest building society in the UK.</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1928 became five time bigger </w:t>
      </w:r>
      <w:r>
        <w:rPr>
          <w:rFonts w:ascii="Calibri" w:hAnsi="Calibri" w:cs="Calibri"/>
          <w:kern w:val="24"/>
          <w:sz w:val="24"/>
          <w:szCs w:val="24"/>
        </w:rPr>
        <w:t>than its rival, by merging</w:t>
      </w:r>
      <w:r>
        <w:rPr>
          <w:rFonts w:ascii="Calibri" w:hAnsi="Calibri" w:cs="Calibri"/>
          <w:kern w:val="24"/>
          <w:sz w:val="24"/>
          <w:szCs w:val="24"/>
        </w:rPr>
        <w:t xml:space="preserve"> with Halifax Equitable Building Society, under the name Halifax Building Society</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92054C"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Through</w:t>
      </w:r>
      <w:r>
        <w:rPr>
          <w:rFonts w:ascii="Calibri" w:hAnsi="Calibri" w:cs="Calibri"/>
          <w:kern w:val="24"/>
          <w:sz w:val="24"/>
          <w:szCs w:val="24"/>
        </w:rPr>
        <w:t xml:space="preserve"> the 20</w:t>
      </w:r>
      <w:r>
        <w:rPr>
          <w:rFonts w:ascii="Calibri" w:hAnsi="Calibri" w:cs="Calibri"/>
          <w:kern w:val="24"/>
          <w:sz w:val="24"/>
          <w:szCs w:val="24"/>
          <w:vertAlign w:val="superscript"/>
        </w:rPr>
        <w:t>th</w:t>
      </w:r>
      <w:r>
        <w:rPr>
          <w:rFonts w:ascii="Calibri" w:hAnsi="Calibri" w:cs="Calibri"/>
          <w:kern w:val="24"/>
          <w:sz w:val="24"/>
          <w:szCs w:val="24"/>
        </w:rPr>
        <w:t xml:space="preserve"> century, </w:t>
      </w:r>
      <w:r>
        <w:rPr>
          <w:rFonts w:ascii="Calibri" w:hAnsi="Calibri" w:cs="Calibri"/>
          <w:kern w:val="24"/>
          <w:sz w:val="24"/>
          <w:szCs w:val="24"/>
        </w:rPr>
        <w:t>remained</w:t>
      </w:r>
      <w:r>
        <w:rPr>
          <w:rFonts w:ascii="Calibri" w:hAnsi="Calibri" w:cs="Calibri"/>
          <w:kern w:val="24"/>
          <w:sz w:val="24"/>
          <w:szCs w:val="24"/>
        </w:rPr>
        <w:t xml:space="preserve"> the largest building society and maintained the position until 1997 when it de</w:t>
      </w:r>
      <w:r w:rsidR="0092054C">
        <w:rPr>
          <w:rFonts w:ascii="Calibri" w:hAnsi="Calibri" w:cs="Calibri"/>
          <w:kern w:val="24"/>
          <w:sz w:val="24"/>
          <w:szCs w:val="24"/>
        </w:rPr>
        <w:t>mutualized, becoming Halifax PLC</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2001 formed a group with Bank of Scotland, the new group was named Halifax bank of Scotland (HOBS) with headquarters in Edinburgh.</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spacing w:line="360" w:lineRule="auto"/>
      </w:pPr>
    </w:p>
    <w:p w:rsidR="00F30CDB" w:rsidRDefault="00F30CDB" w:rsidP="0092054C">
      <w:r>
        <w:lastRenderedPageBreak/>
        <w:t>Slide 4</w:t>
      </w:r>
    </w:p>
    <w:p w:rsidR="00F30CDB" w:rsidRDefault="00F30CDB" w:rsidP="00F30CDB">
      <w:pPr>
        <w:spacing w:line="360" w:lineRule="auto"/>
      </w:pPr>
    </w:p>
    <w:p w:rsidR="00F30CDB" w:rsidRDefault="00F30CDB" w:rsidP="0092054C">
      <w:pPr>
        <w:spacing w:line="360" w:lineRule="auto"/>
      </w:pPr>
      <w:r>
        <w:object w:dxaOrig="9588" w:dyaOrig="5390">
          <v:shape id="_x0000_i1040" type="#_x0000_t75" style="width:359.25pt;height:201.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0" DrawAspect="Content" ObjectID="_1650379136" r:id="rId11"/>
        </w:object>
      </w:r>
    </w:p>
    <w:p w:rsidR="00F30CDB" w:rsidRDefault="00F30CDB" w:rsidP="00F30CDB">
      <w:pPr>
        <w:spacing w:line="360" w:lineRule="auto"/>
        <w:jc w:val="cente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Society was founded by a group of local townsmen, Jonas D </w:t>
      </w:r>
      <w:r>
        <w:rPr>
          <w:rFonts w:ascii="Calibri" w:hAnsi="Calibri" w:cs="Calibri"/>
          <w:kern w:val="24"/>
          <w:sz w:val="24"/>
          <w:szCs w:val="24"/>
        </w:rPr>
        <w:t>Taylor, a</w:t>
      </w:r>
      <w:r>
        <w:rPr>
          <w:rFonts w:ascii="Calibri" w:hAnsi="Calibri" w:cs="Calibri"/>
          <w:kern w:val="24"/>
          <w:sz w:val="24"/>
          <w:szCs w:val="24"/>
        </w:rPr>
        <w:t xml:space="preserve"> solicitor clerk, John Fisher a local bank manager, and Esau Hanson, a textile manufacturer</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Mr. J D Taylor was Secretary for 50 years. On the 22</w:t>
      </w:r>
      <w:r>
        <w:rPr>
          <w:rFonts w:ascii="Calibri" w:hAnsi="Calibri" w:cs="Calibri"/>
          <w:kern w:val="24"/>
          <w:sz w:val="24"/>
          <w:szCs w:val="24"/>
          <w:vertAlign w:val="superscript"/>
        </w:rPr>
        <w:t>nd</w:t>
      </w:r>
      <w:r>
        <w:rPr>
          <w:rFonts w:ascii="Calibri" w:hAnsi="Calibri" w:cs="Calibri"/>
          <w:kern w:val="24"/>
          <w:sz w:val="24"/>
          <w:szCs w:val="24"/>
        </w:rPr>
        <w:t xml:space="preserve"> January</w:t>
      </w:r>
      <w:r>
        <w:rPr>
          <w:rFonts w:ascii="Calibri" w:hAnsi="Calibri" w:cs="Calibri"/>
          <w:kern w:val="24"/>
          <w:sz w:val="24"/>
          <w:szCs w:val="24"/>
        </w:rPr>
        <w:t xml:space="preserve"> 1853, the Society was opened “for receiving Subscr</w:t>
      </w:r>
      <w:r>
        <w:rPr>
          <w:rFonts w:ascii="Calibri" w:hAnsi="Calibri" w:cs="Calibri"/>
          <w:kern w:val="24"/>
          <w:sz w:val="24"/>
          <w:szCs w:val="24"/>
        </w:rPr>
        <w:t>iptions’ trough an advertise</w:t>
      </w:r>
      <w:r>
        <w:rPr>
          <w:rFonts w:ascii="Calibri" w:hAnsi="Calibri" w:cs="Calibri"/>
          <w:kern w:val="24"/>
          <w:sz w:val="24"/>
          <w:szCs w:val="24"/>
        </w:rPr>
        <w:t xml:space="preserve"> in the ‘Halifax Guardian’ announced that the meeting would be healed on 4</w:t>
      </w:r>
      <w:r>
        <w:rPr>
          <w:rFonts w:ascii="Calibri" w:hAnsi="Calibri" w:cs="Calibri"/>
          <w:kern w:val="24"/>
          <w:sz w:val="24"/>
          <w:szCs w:val="24"/>
          <w:vertAlign w:val="superscript"/>
        </w:rPr>
        <w:t>th</w:t>
      </w:r>
      <w:r>
        <w:rPr>
          <w:rFonts w:ascii="Calibri" w:hAnsi="Calibri" w:cs="Calibri"/>
          <w:kern w:val="24"/>
          <w:sz w:val="24"/>
          <w:szCs w:val="24"/>
        </w:rPr>
        <w:t xml:space="preserve"> </w:t>
      </w:r>
      <w:r>
        <w:rPr>
          <w:rFonts w:ascii="Calibri" w:hAnsi="Calibri" w:cs="Calibri"/>
          <w:kern w:val="24"/>
          <w:sz w:val="24"/>
          <w:szCs w:val="24"/>
        </w:rPr>
        <w:t>February in</w:t>
      </w:r>
      <w:r>
        <w:rPr>
          <w:rFonts w:ascii="Calibri" w:hAnsi="Calibri" w:cs="Calibri"/>
          <w:kern w:val="24"/>
          <w:sz w:val="24"/>
          <w:szCs w:val="24"/>
        </w:rPr>
        <w:t xml:space="preserve"> Old Market.</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w:t>
      </w:r>
      <w:r>
        <w:rPr>
          <w:rFonts w:ascii="Calibri" w:hAnsi="Calibri" w:cs="Calibri"/>
          <w:kern w:val="24"/>
          <w:sz w:val="24"/>
          <w:szCs w:val="24"/>
        </w:rPr>
        <w:t>1875,</w:t>
      </w:r>
      <w:r>
        <w:rPr>
          <w:rFonts w:ascii="Calibri" w:hAnsi="Calibri" w:cs="Calibri"/>
          <w:kern w:val="24"/>
          <w:sz w:val="24"/>
          <w:szCs w:val="24"/>
        </w:rPr>
        <w:t xml:space="preserve"> the Society was incorporated under the Building Society Act of 1874</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1902, Enoch Hill replaced Jonas Taylor. Under Hill’s management, over the next 35 years, Halifax had a period of dramatic expansion.</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1924, </w:t>
      </w:r>
      <w:r>
        <w:rPr>
          <w:rFonts w:ascii="Calibri" w:hAnsi="Calibri" w:cs="Calibri"/>
          <w:kern w:val="24"/>
          <w:sz w:val="24"/>
          <w:szCs w:val="24"/>
        </w:rPr>
        <w:t>an</w:t>
      </w:r>
      <w:r>
        <w:rPr>
          <w:rFonts w:ascii="Calibri" w:hAnsi="Calibri" w:cs="Calibri"/>
          <w:kern w:val="24"/>
          <w:sz w:val="24"/>
          <w:szCs w:val="24"/>
        </w:rPr>
        <w:t xml:space="preserve"> office was opened in London, follows by Glasgow and Edinburgh. </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1967 was ”computerized” and in 1973 opened a new purpose-build Head Office in Trinity Road</w:t>
      </w:r>
    </w:p>
    <w:p w:rsidR="00F30CDB" w:rsidRDefault="00F30CDB" w:rsidP="00F30CDB">
      <w:pPr>
        <w:autoSpaceDE w:val="0"/>
        <w:autoSpaceDN w:val="0"/>
        <w:adjustRightInd w:val="0"/>
        <w:spacing w:after="0" w:line="240" w:lineRule="auto"/>
        <w:rPr>
          <w:rFonts w:ascii="Arial" w:hAnsi="Arial" w:cs="Arial"/>
          <w:sz w:val="24"/>
          <w:szCs w:val="24"/>
        </w:rPr>
      </w:pPr>
    </w:p>
    <w:p w:rsidR="00F30CDB" w:rsidRDefault="00F30CDB" w:rsidP="00F30CDB">
      <w:pPr>
        <w:spacing w:line="360" w:lineRule="auto"/>
      </w:pPr>
    </w:p>
    <w:p w:rsidR="00F30CDB" w:rsidRDefault="00F30CDB">
      <w:r>
        <w:br w:type="page"/>
      </w:r>
    </w:p>
    <w:p w:rsidR="00F30CDB" w:rsidRDefault="00F30CDB" w:rsidP="00F30CDB">
      <w:pPr>
        <w:spacing w:line="360" w:lineRule="auto"/>
      </w:pPr>
      <w:r>
        <w:lastRenderedPageBreak/>
        <w:t>Slide 5</w:t>
      </w:r>
    </w:p>
    <w:p w:rsidR="00F30CDB" w:rsidRDefault="00F30CDB" w:rsidP="00F30CDB">
      <w:pPr>
        <w:spacing w:line="360" w:lineRule="auto"/>
      </w:pPr>
    </w:p>
    <w:p w:rsidR="00F30CDB" w:rsidRDefault="00F30CDB" w:rsidP="00F30CDB">
      <w:pPr>
        <w:spacing w:line="360" w:lineRule="auto"/>
        <w:jc w:val="center"/>
      </w:pPr>
      <w:r>
        <w:object w:dxaOrig="9588" w:dyaOrig="5390">
          <v:shape id="_x0000_i1045" type="#_x0000_t75" style="width:359.25pt;height:201.7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5" DrawAspect="Content" ObjectID="_1650379137" r:id="rId13"/>
        </w:object>
      </w:r>
    </w:p>
    <w:p w:rsidR="00F30CDB" w:rsidRDefault="00F30CDB" w:rsidP="00F30CDB">
      <w:pPr>
        <w:spacing w:line="360" w:lineRule="auto"/>
        <w:jc w:val="cente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From the begging the business was brisk, from the subscriptions were deposited £ 600 in the first 3 months of </w:t>
      </w:r>
      <w:r>
        <w:rPr>
          <w:rFonts w:ascii="Calibri" w:hAnsi="Calibri" w:cs="Calibri"/>
          <w:kern w:val="24"/>
          <w:sz w:val="24"/>
          <w:szCs w:val="24"/>
        </w:rPr>
        <w:t>the year</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By 1885 it had the </w:t>
      </w:r>
      <w:r>
        <w:rPr>
          <w:rFonts w:ascii="Calibri" w:hAnsi="Calibri" w:cs="Calibri"/>
          <w:kern w:val="24"/>
          <w:sz w:val="24"/>
          <w:szCs w:val="24"/>
        </w:rPr>
        <w:t>biggest reserve</w:t>
      </w:r>
      <w:r>
        <w:rPr>
          <w:rFonts w:ascii="Calibri" w:hAnsi="Calibri" w:cs="Calibri"/>
          <w:kern w:val="24"/>
          <w:sz w:val="24"/>
          <w:szCs w:val="24"/>
        </w:rPr>
        <w:t xml:space="preserve"> of all the Yorkshire building societies, and its assets doubled to over £ 1 million.</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By 1913 proclaimed itself as a largest building society in the world, with asset of over £ 3 million</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1928, after expanded in London, Glasgow and Edinburgh, and the merger of the Halifax Permanent with Halifax Equitable, now had assets of £ 47 million</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Society financed 60% of houses build up to September 1937, and 14,000 letting in total.</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1997 was a turning point, the subsequent flotation was the largest the Stock Market had seen, creating 7.5 shareholders</w:t>
      </w: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Calibri" w:hAnsi="Calibri" w:cs="Calibri"/>
          <w:kern w:val="24"/>
          <w:sz w:val="24"/>
          <w:szCs w:val="24"/>
        </w:rPr>
      </w:pPr>
    </w:p>
    <w:p w:rsidR="00F30CDB" w:rsidRDefault="00F30CDB" w:rsidP="00F30CDB">
      <w:pPr>
        <w:autoSpaceDE w:val="0"/>
        <w:autoSpaceDN w:val="0"/>
        <w:adjustRightInd w:val="0"/>
        <w:spacing w:after="0" w:line="240" w:lineRule="auto"/>
        <w:rPr>
          <w:rFonts w:ascii="Arial" w:hAnsi="Arial" w:cs="Arial"/>
          <w:sz w:val="24"/>
          <w:szCs w:val="24"/>
        </w:rPr>
      </w:pPr>
    </w:p>
    <w:p w:rsidR="00F30CDB" w:rsidRDefault="00F30CDB" w:rsidP="00F30CDB">
      <w:pPr>
        <w:spacing w:line="360" w:lineRule="auto"/>
      </w:pPr>
    </w:p>
    <w:p w:rsidR="00F30CDB" w:rsidRDefault="00F30CDB">
      <w:r>
        <w:br w:type="page"/>
      </w:r>
    </w:p>
    <w:p w:rsidR="00F30CDB" w:rsidRDefault="00F30CDB" w:rsidP="00F30CDB">
      <w:pPr>
        <w:spacing w:line="360" w:lineRule="auto"/>
      </w:pPr>
      <w:r>
        <w:lastRenderedPageBreak/>
        <w:t>Slide 6</w:t>
      </w:r>
    </w:p>
    <w:p w:rsidR="00F30CDB" w:rsidRDefault="00F30CDB" w:rsidP="00F30CDB">
      <w:pPr>
        <w:spacing w:line="360" w:lineRule="auto"/>
      </w:pPr>
    </w:p>
    <w:p w:rsidR="00F30CDB" w:rsidRDefault="00F30CDB" w:rsidP="00F30CDB">
      <w:pPr>
        <w:spacing w:line="360" w:lineRule="auto"/>
        <w:jc w:val="center"/>
      </w:pPr>
      <w:r>
        <w:object w:dxaOrig="9588" w:dyaOrig="5390">
          <v:shape id="_x0000_i1050" type="#_x0000_t75" style="width:359.25pt;height:201.7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0" DrawAspect="Content" ObjectID="_1650379138" r:id="rId15"/>
        </w:object>
      </w:r>
    </w:p>
    <w:p w:rsidR="00F30CDB" w:rsidRDefault="00F30CDB"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F30CDB">
      <w:pPr>
        <w:spacing w:line="360" w:lineRule="auto"/>
        <w:jc w:val="center"/>
      </w:pPr>
    </w:p>
    <w:p w:rsidR="0092054C" w:rsidRDefault="0092054C" w:rsidP="0092054C">
      <w:pPr>
        <w:spacing w:line="360" w:lineRule="auto"/>
      </w:pPr>
      <w:r>
        <w:t>Slide 1</w:t>
      </w:r>
    </w:p>
    <w:p w:rsidR="0092054C" w:rsidRDefault="0092054C" w:rsidP="0092054C">
      <w:pPr>
        <w:spacing w:line="360" w:lineRule="auto"/>
      </w:pPr>
    </w:p>
    <w:p w:rsidR="0092054C" w:rsidRDefault="0092054C" w:rsidP="0092054C">
      <w:pPr>
        <w:spacing w:line="360" w:lineRule="auto"/>
        <w:jc w:val="center"/>
      </w:pPr>
      <w:r>
        <w:object w:dxaOrig="7185" w:dyaOrig="4035">
          <v:shape id="_x0000_i1055" type="#_x0000_t75" style="width:359.25pt;height:201.7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55" DrawAspect="Content" ObjectID="_1650379139" r:id="rId17"/>
        </w:object>
      </w:r>
    </w:p>
    <w:p w:rsidR="0092054C" w:rsidRDefault="0092054C" w:rsidP="0092054C">
      <w:pPr>
        <w:spacing w:line="360" w:lineRule="auto"/>
        <w:jc w:val="center"/>
      </w:pPr>
    </w:p>
    <w:p w:rsidR="0092054C" w:rsidRDefault="0092054C" w:rsidP="0092054C">
      <w:pPr>
        <w:spacing w:line="360" w:lineRule="auto"/>
      </w:pPr>
    </w:p>
    <w:p w:rsidR="0092054C" w:rsidRDefault="0092054C" w:rsidP="0092054C">
      <w:r>
        <w:br w:type="page"/>
      </w:r>
    </w:p>
    <w:p w:rsidR="0092054C" w:rsidRDefault="0092054C" w:rsidP="0092054C">
      <w:pPr>
        <w:spacing w:line="360" w:lineRule="auto"/>
      </w:pPr>
      <w:r>
        <w:lastRenderedPageBreak/>
        <w:t>Slide 2</w:t>
      </w:r>
    </w:p>
    <w:p w:rsidR="0092054C" w:rsidRDefault="0092054C" w:rsidP="0092054C">
      <w:pPr>
        <w:spacing w:line="360" w:lineRule="auto"/>
      </w:pPr>
    </w:p>
    <w:p w:rsidR="0092054C" w:rsidRDefault="0092054C" w:rsidP="0092054C">
      <w:pPr>
        <w:spacing w:line="360" w:lineRule="auto"/>
        <w:jc w:val="center"/>
      </w:pPr>
      <w:r>
        <w:object w:dxaOrig="7185" w:dyaOrig="4035">
          <v:shape id="_x0000_i1056" type="#_x0000_t75" style="width:359.25pt;height:201.7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56" DrawAspect="Content" ObjectID="_1650379140" r:id="rId19"/>
        </w:object>
      </w:r>
    </w:p>
    <w:p w:rsidR="0092054C" w:rsidRDefault="0092054C" w:rsidP="0092054C">
      <w:pPr>
        <w:spacing w:line="360" w:lineRule="auto"/>
        <w:jc w:val="center"/>
      </w:pPr>
    </w:p>
    <w:p w:rsidR="0092054C" w:rsidRDefault="0092054C" w:rsidP="0092054C">
      <w:pPr>
        <w:spacing w:line="360" w:lineRule="auto"/>
      </w:pPr>
    </w:p>
    <w:p w:rsidR="0092054C" w:rsidRDefault="0092054C" w:rsidP="0092054C">
      <w:r>
        <w:br w:type="page"/>
      </w:r>
    </w:p>
    <w:p w:rsidR="0092054C" w:rsidRDefault="0092054C" w:rsidP="0092054C">
      <w:pPr>
        <w:spacing w:line="360" w:lineRule="auto"/>
      </w:pPr>
      <w:r>
        <w:lastRenderedPageBreak/>
        <w:t>Slide 3</w:t>
      </w:r>
    </w:p>
    <w:p w:rsidR="0092054C" w:rsidRDefault="0092054C" w:rsidP="0092054C">
      <w:pPr>
        <w:spacing w:line="360" w:lineRule="auto"/>
      </w:pPr>
    </w:p>
    <w:p w:rsidR="0092054C" w:rsidRDefault="0092054C" w:rsidP="0092054C">
      <w:pPr>
        <w:spacing w:line="360" w:lineRule="auto"/>
        <w:jc w:val="center"/>
      </w:pPr>
      <w:r>
        <w:object w:dxaOrig="7185" w:dyaOrig="4035">
          <v:shape id="_x0000_i1057" type="#_x0000_t75" style="width:359.25pt;height:201.7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57" DrawAspect="Content" ObjectID="_1650379141" r:id="rId21"/>
        </w:object>
      </w:r>
    </w:p>
    <w:p w:rsidR="0092054C" w:rsidRDefault="0092054C" w:rsidP="0092054C">
      <w:pPr>
        <w:spacing w:line="360" w:lineRule="auto"/>
        <w:jc w:val="center"/>
      </w:pPr>
    </w:p>
    <w:p w:rsidR="0092054C" w:rsidRDefault="0092054C" w:rsidP="0092054C">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Before the introduction of modern technologies Halifax Bank used a lot of paper to create costumers documents and to keep data </w:t>
      </w:r>
      <w:proofErr w:type="gramStart"/>
      <w:r>
        <w:rPr>
          <w:rFonts w:ascii="Calibri" w:hAnsi="Calibri" w:cs="Calibri"/>
          <w:kern w:val="24"/>
          <w:sz w:val="24"/>
          <w:szCs w:val="24"/>
          <w:lang w:val="en-GB"/>
        </w:rPr>
        <w:t>record .</w:t>
      </w:r>
      <w:proofErr w:type="gramEnd"/>
      <w:r>
        <w:rPr>
          <w:rFonts w:ascii="Calibri" w:hAnsi="Calibri" w:cs="Calibri"/>
          <w:kern w:val="24"/>
          <w:sz w:val="24"/>
          <w:szCs w:val="24"/>
          <w:lang w:val="en-GB"/>
        </w:rPr>
        <w:t xml:space="preserve"> However to keep all the documents organized they used ledgers, folio number with A-Z </w:t>
      </w:r>
      <w:proofErr w:type="gramStart"/>
      <w:r>
        <w:rPr>
          <w:rFonts w:ascii="Calibri" w:hAnsi="Calibri" w:cs="Calibri"/>
          <w:kern w:val="24"/>
          <w:sz w:val="24"/>
          <w:szCs w:val="24"/>
          <w:lang w:val="en-GB"/>
        </w:rPr>
        <w:t>categorization .</w:t>
      </w:r>
      <w:proofErr w:type="gramEnd"/>
    </w:p>
    <w:p w:rsidR="0092054C" w:rsidRDefault="0092054C" w:rsidP="0092054C">
      <w:pPr>
        <w:autoSpaceDE w:val="0"/>
        <w:autoSpaceDN w:val="0"/>
        <w:adjustRightInd w:val="0"/>
        <w:spacing w:after="0" w:line="240" w:lineRule="auto"/>
        <w:rPr>
          <w:rFonts w:ascii="Arial" w:hAnsi="Arial" w:cs="Arial"/>
          <w:sz w:val="24"/>
          <w:szCs w:val="24"/>
        </w:rPr>
      </w:pPr>
    </w:p>
    <w:p w:rsidR="0092054C" w:rsidRDefault="0092054C" w:rsidP="0092054C">
      <w:pPr>
        <w:spacing w:line="360" w:lineRule="auto"/>
      </w:pPr>
    </w:p>
    <w:p w:rsidR="0092054C" w:rsidRDefault="0092054C" w:rsidP="0092054C">
      <w:r>
        <w:br w:type="page"/>
      </w:r>
    </w:p>
    <w:p w:rsidR="0092054C" w:rsidRDefault="0092054C" w:rsidP="0092054C">
      <w:pPr>
        <w:spacing w:line="360" w:lineRule="auto"/>
      </w:pPr>
      <w:r>
        <w:lastRenderedPageBreak/>
        <w:t>Slide 4</w:t>
      </w:r>
    </w:p>
    <w:p w:rsidR="0092054C" w:rsidRDefault="0092054C" w:rsidP="0092054C">
      <w:pPr>
        <w:spacing w:line="360" w:lineRule="auto"/>
      </w:pPr>
    </w:p>
    <w:p w:rsidR="0092054C" w:rsidRDefault="0092054C" w:rsidP="0092054C">
      <w:pPr>
        <w:spacing w:line="360" w:lineRule="auto"/>
        <w:jc w:val="center"/>
      </w:pPr>
      <w:r>
        <w:object w:dxaOrig="7185" w:dyaOrig="4035">
          <v:shape id="_x0000_i1058" type="#_x0000_t75" style="width:359.25pt;height:201.7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58" DrawAspect="Content" ObjectID="_1650379142" r:id="rId23"/>
        </w:object>
      </w:r>
    </w:p>
    <w:p w:rsidR="0092054C" w:rsidRDefault="0092054C" w:rsidP="0092054C">
      <w:pPr>
        <w:spacing w:line="360" w:lineRule="auto"/>
        <w:jc w:val="center"/>
      </w:pPr>
    </w:p>
    <w:p w:rsidR="0092054C" w:rsidRDefault="0092054C" w:rsidP="0092054C">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Before the introduction of modern technologies there were a lot of delays in transaction and big </w:t>
      </w:r>
      <w:proofErr w:type="gramStart"/>
      <w:r>
        <w:rPr>
          <w:rFonts w:ascii="Calibri" w:hAnsi="Calibri" w:cs="Calibri"/>
          <w:kern w:val="24"/>
          <w:sz w:val="24"/>
          <w:szCs w:val="24"/>
          <w:lang w:val="en-GB"/>
        </w:rPr>
        <w:t>queues .</w:t>
      </w:r>
      <w:proofErr w:type="gramEnd"/>
      <w:r>
        <w:rPr>
          <w:rFonts w:ascii="Calibri" w:hAnsi="Calibri" w:cs="Calibri"/>
          <w:kern w:val="24"/>
          <w:sz w:val="24"/>
          <w:szCs w:val="24"/>
          <w:lang w:val="en-GB"/>
        </w:rPr>
        <w:t xml:space="preserve"> A simple movement of cheque from clerk to officer to cashier would take between 15 minutes and an hour the reason </w:t>
      </w:r>
      <w:proofErr w:type="gramStart"/>
      <w:r>
        <w:rPr>
          <w:rFonts w:ascii="Calibri" w:hAnsi="Calibri" w:cs="Calibri"/>
          <w:kern w:val="24"/>
          <w:sz w:val="24"/>
          <w:szCs w:val="24"/>
          <w:lang w:val="en-GB"/>
        </w:rPr>
        <w:t>is  because</w:t>
      </w:r>
      <w:proofErr w:type="gramEnd"/>
      <w:r>
        <w:rPr>
          <w:rFonts w:ascii="Calibri" w:hAnsi="Calibri" w:cs="Calibri"/>
          <w:kern w:val="24"/>
          <w:sz w:val="24"/>
          <w:szCs w:val="24"/>
          <w:lang w:val="en-GB"/>
        </w:rPr>
        <w:t xml:space="preserve"> everything it was done manually by the staff working at the bank but it was a positive thing as well  the bank officers were experienced and knew how to handle every situation they even knew their costumers by name/ face .</w:t>
      </w:r>
    </w:p>
    <w:p w:rsidR="0092054C" w:rsidRDefault="0092054C" w:rsidP="0092054C">
      <w:pPr>
        <w:autoSpaceDE w:val="0"/>
        <w:autoSpaceDN w:val="0"/>
        <w:adjustRightInd w:val="0"/>
        <w:spacing w:after="0" w:line="240" w:lineRule="auto"/>
        <w:rPr>
          <w:rFonts w:ascii="Arial" w:hAnsi="Arial" w:cs="Arial"/>
          <w:sz w:val="24"/>
          <w:szCs w:val="24"/>
        </w:rPr>
      </w:pPr>
    </w:p>
    <w:p w:rsidR="0092054C" w:rsidRDefault="0092054C" w:rsidP="0092054C">
      <w:pPr>
        <w:spacing w:line="360" w:lineRule="auto"/>
      </w:pPr>
    </w:p>
    <w:p w:rsidR="0092054C" w:rsidRDefault="0092054C" w:rsidP="0092054C">
      <w:r>
        <w:br w:type="page"/>
      </w:r>
    </w:p>
    <w:p w:rsidR="0092054C" w:rsidRDefault="0092054C" w:rsidP="0092054C">
      <w:pPr>
        <w:spacing w:line="360" w:lineRule="auto"/>
      </w:pPr>
      <w:r>
        <w:lastRenderedPageBreak/>
        <w:t>Slide 5</w:t>
      </w:r>
    </w:p>
    <w:p w:rsidR="0092054C" w:rsidRDefault="0092054C" w:rsidP="0092054C">
      <w:pPr>
        <w:spacing w:line="360" w:lineRule="auto"/>
      </w:pPr>
    </w:p>
    <w:p w:rsidR="0092054C" w:rsidRDefault="0092054C" w:rsidP="0092054C">
      <w:pPr>
        <w:spacing w:line="360" w:lineRule="auto"/>
        <w:jc w:val="center"/>
      </w:pPr>
      <w:r>
        <w:object w:dxaOrig="7185" w:dyaOrig="4035">
          <v:shape id="_x0000_i1059" type="#_x0000_t75" style="width:359.25pt;height:201.7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59" DrawAspect="Content" ObjectID="_1650379143" r:id="rId25"/>
        </w:object>
      </w:r>
    </w:p>
    <w:p w:rsidR="0092054C" w:rsidRDefault="0092054C" w:rsidP="0092054C">
      <w:pPr>
        <w:spacing w:line="360" w:lineRule="auto"/>
        <w:jc w:val="center"/>
      </w:pPr>
    </w:p>
    <w:p w:rsidR="0092054C" w:rsidRDefault="0092054C" w:rsidP="0092054C">
      <w:pPr>
        <w:autoSpaceDE w:val="0"/>
        <w:autoSpaceDN w:val="0"/>
        <w:adjustRightInd w:val="0"/>
        <w:spacing w:after="0" w:line="240" w:lineRule="auto"/>
        <w:rPr>
          <w:rFonts w:ascii="Calibri" w:hAnsi="Calibri" w:cs="Calibri"/>
          <w:kern w:val="24"/>
          <w:sz w:val="24"/>
          <w:szCs w:val="24"/>
          <w:lang w:val="en-GB"/>
        </w:rPr>
      </w:pPr>
      <w:r>
        <w:rPr>
          <w:rFonts w:ascii="Calibri" w:hAnsi="Calibri" w:cs="Calibri"/>
          <w:kern w:val="24"/>
          <w:sz w:val="24"/>
          <w:szCs w:val="24"/>
          <w:lang w:val="en-GB"/>
        </w:rPr>
        <w:t xml:space="preserve">The arrival of </w:t>
      </w:r>
      <w:proofErr w:type="gramStart"/>
      <w:r>
        <w:rPr>
          <w:rFonts w:ascii="Calibri" w:hAnsi="Calibri" w:cs="Calibri"/>
          <w:kern w:val="24"/>
          <w:sz w:val="24"/>
          <w:szCs w:val="24"/>
          <w:lang w:val="en-GB"/>
        </w:rPr>
        <w:t>mechanization  in</w:t>
      </w:r>
      <w:proofErr w:type="gramEnd"/>
      <w:r>
        <w:rPr>
          <w:rFonts w:ascii="Calibri" w:hAnsi="Calibri" w:cs="Calibri"/>
          <w:kern w:val="24"/>
          <w:sz w:val="24"/>
          <w:szCs w:val="24"/>
          <w:lang w:val="en-GB"/>
        </w:rPr>
        <w:t xml:space="preserve"> the 1960s announce an era of rapid change and innovation to this bank. The business of the Halifax was transformed, accounts were handled electronically and filing systems </w:t>
      </w:r>
      <w:proofErr w:type="gramStart"/>
      <w:r>
        <w:rPr>
          <w:rFonts w:ascii="Calibri" w:hAnsi="Calibri" w:cs="Calibri"/>
          <w:kern w:val="24"/>
          <w:sz w:val="24"/>
          <w:szCs w:val="24"/>
          <w:lang w:val="en-GB"/>
        </w:rPr>
        <w:t>automated ,</w:t>
      </w:r>
      <w:proofErr w:type="gramEnd"/>
      <w:r>
        <w:rPr>
          <w:rFonts w:ascii="Calibri" w:hAnsi="Calibri" w:cs="Calibri"/>
          <w:kern w:val="24"/>
          <w:sz w:val="24"/>
          <w:szCs w:val="24"/>
          <w:lang w:val="en-GB"/>
        </w:rPr>
        <w:t xml:space="preserve"> cash dispensers were installed also branches were </w:t>
      </w:r>
      <w:proofErr w:type="spellStart"/>
      <w:r>
        <w:rPr>
          <w:rFonts w:ascii="Calibri" w:hAnsi="Calibri" w:cs="Calibri"/>
          <w:kern w:val="24"/>
          <w:sz w:val="24"/>
          <w:szCs w:val="24"/>
          <w:lang w:val="en-GB"/>
        </w:rPr>
        <w:t>monotonized</w:t>
      </w:r>
      <w:proofErr w:type="spellEnd"/>
      <w:r>
        <w:rPr>
          <w:rFonts w:ascii="Calibri" w:hAnsi="Calibri" w:cs="Calibri"/>
          <w:kern w:val="24"/>
          <w:sz w:val="24"/>
          <w:szCs w:val="24"/>
          <w:lang w:val="en-GB"/>
        </w:rPr>
        <w:t xml:space="preserve">. </w:t>
      </w:r>
    </w:p>
    <w:p w:rsidR="0092054C" w:rsidRDefault="0092054C" w:rsidP="0092054C">
      <w:pPr>
        <w:autoSpaceDE w:val="0"/>
        <w:autoSpaceDN w:val="0"/>
        <w:adjustRightInd w:val="0"/>
        <w:spacing w:after="0" w:line="240" w:lineRule="auto"/>
        <w:rPr>
          <w:rFonts w:ascii="Arial" w:hAnsi="Arial" w:cs="Arial"/>
          <w:sz w:val="24"/>
          <w:szCs w:val="24"/>
        </w:rPr>
      </w:pPr>
    </w:p>
    <w:p w:rsidR="0092054C" w:rsidRDefault="0092054C" w:rsidP="0092054C">
      <w:pPr>
        <w:spacing w:line="360" w:lineRule="auto"/>
      </w:pPr>
    </w:p>
    <w:p w:rsidR="0092054C" w:rsidRDefault="0092054C" w:rsidP="0092054C">
      <w:r>
        <w:br w:type="page"/>
      </w:r>
    </w:p>
    <w:p w:rsidR="0092054C" w:rsidRDefault="0092054C" w:rsidP="0092054C">
      <w:pPr>
        <w:spacing w:line="360" w:lineRule="auto"/>
      </w:pPr>
      <w:r>
        <w:lastRenderedPageBreak/>
        <w:t>Slide 6</w:t>
      </w:r>
    </w:p>
    <w:p w:rsidR="0092054C" w:rsidRDefault="0092054C" w:rsidP="0092054C">
      <w:pPr>
        <w:spacing w:line="360" w:lineRule="auto"/>
      </w:pPr>
    </w:p>
    <w:p w:rsidR="0092054C" w:rsidRDefault="0092054C" w:rsidP="0092054C">
      <w:pPr>
        <w:spacing w:line="360" w:lineRule="auto"/>
        <w:jc w:val="center"/>
      </w:pPr>
      <w:r>
        <w:object w:dxaOrig="7185" w:dyaOrig="4035">
          <v:shape id="_x0000_i1060" type="#_x0000_t75" style="width:359.25pt;height:201.7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60" DrawAspect="Content" ObjectID="_1650379144" r:id="rId27"/>
        </w:object>
      </w:r>
    </w:p>
    <w:p w:rsidR="0092054C" w:rsidRDefault="0092054C" w:rsidP="0092054C">
      <w:pPr>
        <w:spacing w:line="360" w:lineRule="auto"/>
        <w:jc w:val="center"/>
      </w:pPr>
    </w:p>
    <w:p w:rsidR="0092054C" w:rsidRDefault="0092054C" w:rsidP="0092054C">
      <w:pPr>
        <w:spacing w:line="360" w:lineRule="auto"/>
      </w:pPr>
    </w:p>
    <w:p w:rsidR="0092054C" w:rsidRDefault="0092054C" w:rsidP="0092054C">
      <w:pPr>
        <w:spacing w:line="360" w:lineRule="auto"/>
      </w:pPr>
    </w:p>
    <w:p w:rsidR="0092054C" w:rsidRDefault="0092054C" w:rsidP="00F30CDB">
      <w:pPr>
        <w:spacing w:line="360" w:lineRule="auto"/>
        <w:jc w:val="center"/>
      </w:pPr>
    </w:p>
    <w:p w:rsidR="00F30CDB" w:rsidRDefault="00F30CDB" w:rsidP="00F30CDB">
      <w:pPr>
        <w:spacing w:line="360" w:lineRule="auto"/>
      </w:pPr>
    </w:p>
    <w:p w:rsidR="00F30CDB" w:rsidRDefault="00F30CDB"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F30CDB">
      <w:pPr>
        <w:spacing w:line="360" w:lineRule="auto"/>
      </w:pPr>
    </w:p>
    <w:p w:rsidR="0092054C" w:rsidRDefault="0092054C" w:rsidP="0092054C">
      <w:pPr>
        <w:jc w:val="center"/>
        <w:rPr>
          <w:b/>
          <w:sz w:val="52"/>
          <w:szCs w:val="52"/>
          <w:u w:val="single"/>
        </w:rPr>
      </w:pPr>
    </w:p>
    <w:p w:rsidR="0092054C" w:rsidRDefault="0092054C" w:rsidP="0092054C">
      <w:pPr>
        <w:jc w:val="center"/>
        <w:rPr>
          <w:b/>
          <w:sz w:val="52"/>
          <w:szCs w:val="52"/>
          <w:u w:val="single"/>
        </w:rPr>
      </w:pPr>
    </w:p>
    <w:p w:rsidR="0092054C" w:rsidRDefault="0092054C" w:rsidP="0092054C">
      <w:pPr>
        <w:jc w:val="center"/>
        <w:rPr>
          <w:b/>
          <w:sz w:val="52"/>
          <w:szCs w:val="52"/>
          <w:u w:val="single"/>
        </w:rPr>
      </w:pPr>
    </w:p>
    <w:p w:rsidR="0092054C" w:rsidRDefault="0092054C" w:rsidP="0092054C">
      <w:pPr>
        <w:jc w:val="center"/>
        <w:rPr>
          <w:b/>
          <w:sz w:val="52"/>
          <w:szCs w:val="52"/>
          <w:u w:val="single"/>
        </w:rPr>
      </w:pPr>
    </w:p>
    <w:p w:rsidR="0092054C" w:rsidRDefault="0092054C" w:rsidP="0092054C">
      <w:pPr>
        <w:jc w:val="center"/>
        <w:rPr>
          <w:b/>
          <w:sz w:val="52"/>
          <w:szCs w:val="52"/>
          <w:u w:val="single"/>
        </w:rPr>
      </w:pPr>
    </w:p>
    <w:p w:rsidR="0092054C" w:rsidRDefault="0092054C" w:rsidP="0092054C">
      <w:pPr>
        <w:jc w:val="center"/>
        <w:rPr>
          <w:b/>
          <w:sz w:val="52"/>
          <w:szCs w:val="52"/>
          <w:u w:val="single"/>
        </w:rPr>
      </w:pPr>
    </w:p>
    <w:p w:rsidR="0092054C" w:rsidRDefault="0092054C" w:rsidP="0092054C">
      <w:pPr>
        <w:jc w:val="center"/>
        <w:rPr>
          <w:b/>
          <w:sz w:val="52"/>
          <w:szCs w:val="52"/>
          <w:u w:val="single"/>
        </w:rPr>
      </w:pPr>
      <w:r>
        <w:rPr>
          <w:b/>
          <w:sz w:val="52"/>
          <w:szCs w:val="52"/>
          <w:u w:val="single"/>
        </w:rPr>
        <w:t>DIGITAL SKILLS AND RESEARCH METHODS</w:t>
      </w:r>
    </w:p>
    <w:p w:rsidR="0092054C" w:rsidRDefault="0092054C" w:rsidP="0092054C">
      <w:r>
        <w:t xml:space="preserve">Student </w:t>
      </w:r>
      <w:proofErr w:type="spellStart"/>
      <w:proofErr w:type="gramStart"/>
      <w:r>
        <w:t>Name:Daniela</w:t>
      </w:r>
      <w:proofErr w:type="spellEnd"/>
      <w:proofErr w:type="gramEnd"/>
      <w:r>
        <w:t xml:space="preserve"> </w:t>
      </w:r>
      <w:proofErr w:type="spellStart"/>
      <w:r>
        <w:t>Nicoleta</w:t>
      </w:r>
      <w:proofErr w:type="spellEnd"/>
      <w:r>
        <w:t xml:space="preserve"> </w:t>
      </w:r>
      <w:proofErr w:type="spellStart"/>
      <w:r>
        <w:t>Fazakas</w:t>
      </w:r>
      <w:proofErr w:type="spellEnd"/>
      <w:r>
        <w:t xml:space="preserve"> </w:t>
      </w:r>
    </w:p>
    <w:p w:rsidR="0092054C" w:rsidRDefault="0092054C" w:rsidP="0092054C">
      <w:r>
        <w:t>Student Number:1916669</w:t>
      </w:r>
    </w:p>
    <w:p w:rsidR="0092054C" w:rsidRDefault="0092054C" w:rsidP="0092054C">
      <w:r>
        <w:t xml:space="preserve">Module </w:t>
      </w:r>
      <w:proofErr w:type="spellStart"/>
      <w:proofErr w:type="gramStart"/>
      <w:r>
        <w:t>Name:Digital</w:t>
      </w:r>
      <w:proofErr w:type="spellEnd"/>
      <w:proofErr w:type="gramEnd"/>
      <w:r>
        <w:t xml:space="preserve"> Skills and Research Methods </w:t>
      </w:r>
    </w:p>
    <w:p w:rsidR="0092054C" w:rsidRDefault="0092054C" w:rsidP="0092054C">
      <w:r>
        <w:t xml:space="preserve">Lecturers </w:t>
      </w:r>
      <w:proofErr w:type="spellStart"/>
      <w:proofErr w:type="gramStart"/>
      <w:r>
        <w:t>Name:Amitave</w:t>
      </w:r>
      <w:proofErr w:type="spellEnd"/>
      <w:proofErr w:type="gramEnd"/>
      <w:r>
        <w:t xml:space="preserve"> </w:t>
      </w:r>
      <w:proofErr w:type="spellStart"/>
      <w:r>
        <w:t>Banik</w:t>
      </w:r>
      <w:proofErr w:type="spellEnd"/>
    </w:p>
    <w:p w:rsidR="0092054C" w:rsidRDefault="0092054C" w:rsidP="0092054C"/>
    <w:p w:rsidR="0092054C" w:rsidRDefault="0092054C" w:rsidP="0092054C"/>
    <w:p w:rsidR="0092054C" w:rsidRDefault="0092054C" w:rsidP="0092054C"/>
    <w:p w:rsidR="0092054C" w:rsidRPr="003B29CC" w:rsidRDefault="0092054C" w:rsidP="0092054C"/>
    <w:sdt>
      <w:sdtPr>
        <w:rPr>
          <w:rFonts w:ascii="Times New Roman" w:eastAsiaTheme="minorEastAsia" w:hAnsi="Times New Roman" w:cstheme="minorBidi"/>
          <w:b w:val="0"/>
          <w:bCs w:val="0"/>
          <w:color w:val="000000" w:themeColor="text1"/>
          <w:sz w:val="24"/>
          <w:szCs w:val="22"/>
          <w:lang w:val="en-GB" w:eastAsia="en-IN"/>
        </w:rPr>
        <w:id w:val="5338994"/>
        <w:docPartObj>
          <w:docPartGallery w:val="Table of Contents"/>
          <w:docPartUnique/>
        </w:docPartObj>
      </w:sdtPr>
      <w:sdtEndPr>
        <w:rPr>
          <w:rFonts w:asciiTheme="minorHAnsi" w:eastAsiaTheme="minorHAnsi" w:hAnsiTheme="minorHAnsi"/>
          <w:color w:val="auto"/>
          <w:sz w:val="22"/>
          <w:lang w:val="en-US" w:eastAsia="en-US"/>
        </w:rPr>
      </w:sdtEndPr>
      <w:sdtContent>
        <w:p w:rsidR="0092054C" w:rsidRPr="00893D3C" w:rsidRDefault="0092054C" w:rsidP="0092054C">
          <w:pPr>
            <w:pStyle w:val="TOCHeading"/>
            <w:spacing w:line="360" w:lineRule="auto"/>
            <w:jc w:val="center"/>
            <w:rPr>
              <w:rFonts w:ascii="Times New Roman" w:hAnsi="Times New Roman" w:cs="Times New Roman"/>
              <w:color w:val="000000" w:themeColor="text1"/>
              <w:sz w:val="24"/>
              <w:szCs w:val="24"/>
            </w:rPr>
          </w:pPr>
          <w:r w:rsidRPr="00893D3C">
            <w:rPr>
              <w:rFonts w:ascii="Times New Roman" w:hAnsi="Times New Roman" w:cs="Times New Roman"/>
              <w:color w:val="000000" w:themeColor="text1"/>
              <w:sz w:val="24"/>
              <w:szCs w:val="24"/>
            </w:rPr>
            <w:t>Table of Contents</w:t>
          </w:r>
        </w:p>
        <w:p w:rsidR="0092054C" w:rsidRDefault="0092054C" w:rsidP="0092054C">
          <w:pPr>
            <w:pStyle w:val="TOC1"/>
            <w:tabs>
              <w:tab w:val="right" w:leader="dot" w:pos="9016"/>
            </w:tabs>
            <w:rPr>
              <w:rFonts w:asciiTheme="minorHAnsi" w:hAnsiTheme="minorHAnsi"/>
              <w:noProof/>
              <w:color w:val="auto"/>
              <w:sz w:val="22"/>
              <w:lang w:val="en-IN"/>
            </w:rPr>
          </w:pPr>
          <w:r w:rsidRPr="00893D3C">
            <w:rPr>
              <w:rFonts w:cs="Times New Roman"/>
              <w:szCs w:val="24"/>
            </w:rPr>
            <w:fldChar w:fldCharType="begin"/>
          </w:r>
          <w:r w:rsidRPr="00893D3C">
            <w:rPr>
              <w:rFonts w:cs="Times New Roman"/>
              <w:szCs w:val="24"/>
            </w:rPr>
            <w:instrText xml:space="preserve"> TOC \o "1-3" \h \z \u </w:instrText>
          </w:r>
          <w:r w:rsidRPr="00893D3C">
            <w:rPr>
              <w:rFonts w:cs="Times New Roman"/>
              <w:szCs w:val="24"/>
            </w:rPr>
            <w:fldChar w:fldCharType="separate"/>
          </w:r>
          <w:hyperlink w:anchor="_Toc38565456" w:history="1">
            <w:r w:rsidRPr="00FD3174">
              <w:rPr>
                <w:rStyle w:val="Hyperlink"/>
                <w:noProof/>
              </w:rPr>
              <w:t>Insights to the modern technology introduced by Halifax bank</w:t>
            </w:r>
            <w:r>
              <w:rPr>
                <w:noProof/>
                <w:webHidden/>
              </w:rPr>
              <w:tab/>
            </w:r>
            <w:r>
              <w:rPr>
                <w:noProof/>
                <w:webHidden/>
              </w:rPr>
              <w:fldChar w:fldCharType="begin"/>
            </w:r>
            <w:r>
              <w:rPr>
                <w:noProof/>
                <w:webHidden/>
              </w:rPr>
              <w:instrText xml:space="preserve"> PAGEREF _Toc38565456 \h </w:instrText>
            </w:r>
            <w:r>
              <w:rPr>
                <w:noProof/>
                <w:webHidden/>
              </w:rPr>
            </w:r>
            <w:r>
              <w:rPr>
                <w:noProof/>
                <w:webHidden/>
              </w:rPr>
              <w:fldChar w:fldCharType="separate"/>
            </w:r>
            <w:r>
              <w:rPr>
                <w:noProof/>
                <w:webHidden/>
              </w:rPr>
              <w:t>3</w:t>
            </w:r>
            <w:r>
              <w:rPr>
                <w:noProof/>
                <w:webHidden/>
              </w:rPr>
              <w:fldChar w:fldCharType="end"/>
            </w:r>
          </w:hyperlink>
        </w:p>
        <w:p w:rsidR="0092054C" w:rsidRDefault="0092054C" w:rsidP="0092054C">
          <w:pPr>
            <w:pStyle w:val="TOC1"/>
            <w:tabs>
              <w:tab w:val="right" w:leader="dot" w:pos="9016"/>
            </w:tabs>
            <w:rPr>
              <w:rFonts w:asciiTheme="minorHAnsi" w:hAnsiTheme="minorHAnsi"/>
              <w:noProof/>
              <w:color w:val="auto"/>
              <w:sz w:val="22"/>
              <w:lang w:val="en-IN"/>
            </w:rPr>
          </w:pPr>
          <w:hyperlink w:anchor="_Toc38565457" w:history="1">
            <w:r w:rsidRPr="00FD3174">
              <w:rPr>
                <w:rStyle w:val="Hyperlink"/>
                <w:noProof/>
              </w:rPr>
              <w:t>References</w:t>
            </w:r>
            <w:r>
              <w:rPr>
                <w:noProof/>
                <w:webHidden/>
              </w:rPr>
              <w:tab/>
            </w:r>
            <w:r>
              <w:rPr>
                <w:noProof/>
                <w:webHidden/>
              </w:rPr>
              <w:fldChar w:fldCharType="begin"/>
            </w:r>
            <w:r>
              <w:rPr>
                <w:noProof/>
                <w:webHidden/>
              </w:rPr>
              <w:instrText xml:space="preserve"> PAGEREF _Toc38565457 \h </w:instrText>
            </w:r>
            <w:r>
              <w:rPr>
                <w:noProof/>
                <w:webHidden/>
              </w:rPr>
            </w:r>
            <w:r>
              <w:rPr>
                <w:noProof/>
                <w:webHidden/>
              </w:rPr>
              <w:fldChar w:fldCharType="separate"/>
            </w:r>
            <w:r>
              <w:rPr>
                <w:noProof/>
                <w:webHidden/>
              </w:rPr>
              <w:t>5</w:t>
            </w:r>
            <w:r>
              <w:rPr>
                <w:noProof/>
                <w:webHidden/>
              </w:rPr>
              <w:fldChar w:fldCharType="end"/>
            </w:r>
          </w:hyperlink>
        </w:p>
        <w:p w:rsidR="0092054C" w:rsidRDefault="0092054C" w:rsidP="0092054C">
          <w:pPr>
            <w:pStyle w:val="TOC1"/>
            <w:tabs>
              <w:tab w:val="right" w:leader="dot" w:pos="9016"/>
            </w:tabs>
            <w:rPr>
              <w:rFonts w:asciiTheme="minorHAnsi" w:hAnsiTheme="minorHAnsi"/>
              <w:noProof/>
              <w:color w:val="auto"/>
              <w:sz w:val="22"/>
              <w:lang w:val="en-IN"/>
            </w:rPr>
          </w:pPr>
          <w:hyperlink w:anchor="_Toc38565458" w:history="1">
            <w:r w:rsidRPr="00FD3174">
              <w:rPr>
                <w:rStyle w:val="Hyperlink"/>
                <w:noProof/>
              </w:rPr>
              <w:t>Appendix</w:t>
            </w:r>
            <w:r>
              <w:rPr>
                <w:noProof/>
                <w:webHidden/>
              </w:rPr>
              <w:tab/>
            </w:r>
            <w:r>
              <w:rPr>
                <w:noProof/>
                <w:webHidden/>
              </w:rPr>
              <w:fldChar w:fldCharType="begin"/>
            </w:r>
            <w:r>
              <w:rPr>
                <w:noProof/>
                <w:webHidden/>
              </w:rPr>
              <w:instrText xml:space="preserve"> PAGEREF _Toc38565458 \h </w:instrText>
            </w:r>
            <w:r>
              <w:rPr>
                <w:noProof/>
                <w:webHidden/>
              </w:rPr>
            </w:r>
            <w:r>
              <w:rPr>
                <w:noProof/>
                <w:webHidden/>
              </w:rPr>
              <w:fldChar w:fldCharType="separate"/>
            </w:r>
            <w:r>
              <w:rPr>
                <w:noProof/>
                <w:webHidden/>
              </w:rPr>
              <w:t>6</w:t>
            </w:r>
            <w:r>
              <w:rPr>
                <w:noProof/>
                <w:webHidden/>
              </w:rPr>
              <w:fldChar w:fldCharType="end"/>
            </w:r>
          </w:hyperlink>
        </w:p>
        <w:p w:rsidR="0092054C" w:rsidRDefault="0092054C" w:rsidP="0092054C">
          <w:r w:rsidRPr="00893D3C">
            <w:rPr>
              <w:rFonts w:cs="Times New Roman"/>
              <w:szCs w:val="24"/>
            </w:rPr>
            <w:fldChar w:fldCharType="end"/>
          </w:r>
        </w:p>
      </w:sdtContent>
    </w:sdt>
    <w:p w:rsidR="0092054C" w:rsidRDefault="0092054C" w:rsidP="0092054C">
      <w:pPr>
        <w:pStyle w:val="Heading1"/>
      </w:pPr>
    </w:p>
    <w:p w:rsidR="0092054C" w:rsidRPr="00756AC9" w:rsidRDefault="0092054C" w:rsidP="0092054C">
      <w:pPr>
        <w:spacing w:line="276" w:lineRule="auto"/>
        <w:rPr>
          <w:b/>
          <w:bCs/>
          <w:kern w:val="32"/>
          <w:szCs w:val="32"/>
        </w:rPr>
      </w:pPr>
      <w:r>
        <w:t xml:space="preserve"> </w:t>
      </w:r>
    </w:p>
    <w:p w:rsidR="0092054C" w:rsidRDefault="0092054C" w:rsidP="0092054C">
      <w:pPr>
        <w:spacing w:line="276" w:lineRule="auto"/>
        <w:rPr>
          <w:b/>
          <w:bCs/>
          <w:kern w:val="32"/>
          <w:szCs w:val="32"/>
        </w:rPr>
      </w:pPr>
      <w:r>
        <w:br w:type="page"/>
      </w:r>
    </w:p>
    <w:p w:rsidR="0092054C" w:rsidRDefault="0092054C" w:rsidP="0092054C">
      <w:pPr>
        <w:pStyle w:val="Heading1"/>
      </w:pPr>
      <w:bookmarkStart w:id="0" w:name="_Toc38565456"/>
      <w:r>
        <w:lastRenderedPageBreak/>
        <w:t>Insights</w:t>
      </w:r>
      <w:r w:rsidRPr="005642D9">
        <w:t xml:space="preserve"> to</w:t>
      </w:r>
      <w:r>
        <w:t xml:space="preserve"> the</w:t>
      </w:r>
      <w:r w:rsidRPr="005642D9">
        <w:t xml:space="preserve"> modern technology</w:t>
      </w:r>
      <w:r>
        <w:t xml:space="preserve"> introduced by Halifax bank</w:t>
      </w:r>
      <w:bookmarkEnd w:id="0"/>
    </w:p>
    <w:p w:rsidR="0092054C" w:rsidRDefault="0092054C" w:rsidP="0092054C">
      <w:r>
        <w:t xml:space="preserve">Halifax bank in order to improve performance of the organization introduced the open </w:t>
      </w:r>
      <w:r w:rsidRPr="005D4D7B">
        <w:rPr>
          <w:rFonts w:cs="Times New Roman"/>
          <w:szCs w:val="24"/>
        </w:rPr>
        <w:t xml:space="preserve">banking system that has potential to attract more number of customers to the organization </w:t>
      </w:r>
      <w:r w:rsidRPr="005D4D7B">
        <w:rPr>
          <w:rFonts w:cs="Times New Roman"/>
          <w:color w:val="000000"/>
          <w:szCs w:val="24"/>
          <w:shd w:val="clear" w:color="auto" w:fill="FFFFFF"/>
        </w:rPr>
        <w:t>(Finextra.com, 2020)</w:t>
      </w:r>
      <w:r w:rsidRPr="005D4D7B">
        <w:rPr>
          <w:rFonts w:cs="Times New Roman"/>
          <w:szCs w:val="24"/>
        </w:rPr>
        <w:t xml:space="preserve">. The </w:t>
      </w:r>
      <w:bookmarkStart w:id="1" w:name="_GoBack"/>
      <w:bookmarkEnd w:id="1"/>
      <w:r w:rsidRPr="005D4D7B">
        <w:rPr>
          <w:rFonts w:cs="Times New Roman"/>
          <w:szCs w:val="24"/>
        </w:rPr>
        <w:t>open banking system provides opportunity to customers in regards accessing the bank directly though a third party software. In addition, the software provides detailed information</w:t>
      </w:r>
      <w:r>
        <w:t xml:space="preserve"> about the bank’s services and policies and serves various purposes for customers to get reliable over the bank’s </w:t>
      </w:r>
      <w:r w:rsidRPr="007F0A48">
        <w:rPr>
          <w:rFonts w:cs="Times New Roman"/>
          <w:szCs w:val="24"/>
        </w:rPr>
        <w:t xml:space="preserve">operation </w:t>
      </w:r>
      <w:r w:rsidRPr="007F0A48">
        <w:rPr>
          <w:rFonts w:cs="Times New Roman"/>
          <w:color w:val="000000"/>
          <w:szCs w:val="24"/>
          <w:shd w:val="clear" w:color="auto" w:fill="FFFFFF"/>
        </w:rPr>
        <w:t>(Openbanking.UK, 2020)</w:t>
      </w:r>
      <w:r w:rsidRPr="007F0A48">
        <w:rPr>
          <w:rFonts w:cs="Times New Roman"/>
          <w:szCs w:val="24"/>
        </w:rPr>
        <w:t>. The software introduced by Halifax ensures that banking transfers from customers’ account are securely done with appropriate electronic-statements generated for the transactions. In</w:t>
      </w:r>
      <w:r>
        <w:t xml:space="preserve"> relation, the transfer of finance can be processed to distinct bank accounts from the customer’s account. Therefore, the modern technology introduced by the bank is potentially flexible in providing the necessary services to customers from distinct destinations so as to save their time from waiting in bank queue to process their request. </w:t>
      </w:r>
    </w:p>
    <w:p w:rsidR="0092054C" w:rsidRDefault="0092054C" w:rsidP="0092054C">
      <w:pPr>
        <w:rPr>
          <w:b/>
        </w:rPr>
      </w:pPr>
      <w:r w:rsidRPr="00F70AF9">
        <w:rPr>
          <w:b/>
        </w:rPr>
        <w:t>Development of the software</w:t>
      </w:r>
    </w:p>
    <w:p w:rsidR="0092054C" w:rsidRPr="00F70AF9" w:rsidRDefault="0092054C" w:rsidP="0092054C">
      <w:pPr>
        <w:rPr>
          <w:b/>
        </w:rPr>
      </w:pPr>
      <w:r>
        <w:t>Subsequently, the open banking opportunity initiated by the Halifax bank is developed by strategic coding supported by approval of the UK government. The software is produced with liable agreement between the third party operating the application for helping customers fulfilling their banking requirements and the Halifax bank.</w:t>
      </w:r>
    </w:p>
    <w:p w:rsidR="0092054C" w:rsidRPr="00F8540A" w:rsidRDefault="0092054C" w:rsidP="0092054C">
      <w:r>
        <w:t xml:space="preserve">The software was further developed with expert coding developers so as to diminish access to global hackers and improve the business of the firm safeguarding the accounts of its clients successfully. Moreover, the open banking system of Halifax bank is centrally controlled by an expert unit of the third party aligned with Halifax bank to make the customer’s journey easier in banking with Halifax and assuring safety to financial flow from various accounts. Furthermore, the software of Halifax bank is developed with improvised design suiting the specifications of modern world in stable operating system that assures secured networking of the banking process.  </w:t>
      </w:r>
    </w:p>
    <w:p w:rsidR="0092054C" w:rsidRDefault="0092054C" w:rsidP="0092054C">
      <w:pPr>
        <w:rPr>
          <w:b/>
        </w:rPr>
      </w:pPr>
      <w:r w:rsidRPr="0068052D">
        <w:rPr>
          <w:b/>
        </w:rPr>
        <w:t>Innovative services</w:t>
      </w:r>
    </w:p>
    <w:p w:rsidR="0092054C" w:rsidRPr="00CD6B7E" w:rsidRDefault="0092054C" w:rsidP="0092054C">
      <w:pPr>
        <w:rPr>
          <w:b/>
        </w:rPr>
      </w:pPr>
      <w:r>
        <w:t xml:space="preserve">Consequently, the application is facilitated with innovative security system that unlocks the profile of customers by tracking their heart beat and ensures that no other individual can theft money from the application with access of </w:t>
      </w:r>
      <w:r w:rsidRPr="00227A57">
        <w:rPr>
          <w:rFonts w:cs="Times New Roman"/>
          <w:szCs w:val="24"/>
        </w:rPr>
        <w:t xml:space="preserve">passwords </w:t>
      </w:r>
      <w:r w:rsidRPr="00227A57">
        <w:rPr>
          <w:rFonts w:cs="Times New Roman"/>
          <w:color w:val="000000"/>
          <w:szCs w:val="24"/>
          <w:shd w:val="clear" w:color="auto" w:fill="FFFFFF"/>
        </w:rPr>
        <w:t>(Openbanking.UK, 2020)</w:t>
      </w:r>
      <w:r w:rsidRPr="00227A57">
        <w:rPr>
          <w:rFonts w:cs="Times New Roman"/>
          <w:szCs w:val="24"/>
        </w:rPr>
        <w:t>. Furthermore, the application introduced by Halifax bank is innovative with its facilities allowing registration for credit cards and tracking savings and current account distinctly with</w:t>
      </w:r>
      <w:r>
        <w:t xml:space="preserve"> the mobile application. Thus, the software has potential to earn </w:t>
      </w:r>
      <w:proofErr w:type="spellStart"/>
      <w:r>
        <w:t>favour</w:t>
      </w:r>
      <w:proofErr w:type="spellEnd"/>
      <w:r>
        <w:t xml:space="preserve"> of people and improving number of customers to the bank supporting its overall growth as a competitive commercial bank.</w:t>
      </w:r>
    </w:p>
    <w:p w:rsidR="0092054C" w:rsidRDefault="0092054C" w:rsidP="0092054C">
      <w:r>
        <w:t>Moreover, it is observed that people of the UK as an impact of modern technologies find difficulty to find recharge stores as the number of shops has reduced for recharging customer’s prepaid phones. Thus, the initiated software of Halifax provides opportunity to customers to flexibly pay their bills and recharge their prepaid phones for extending their validity and service.</w:t>
      </w:r>
    </w:p>
    <w:p w:rsidR="0092054C" w:rsidRDefault="0092054C" w:rsidP="0092054C">
      <w:pPr>
        <w:rPr>
          <w:b/>
          <w:bCs/>
          <w:kern w:val="32"/>
          <w:szCs w:val="32"/>
        </w:rPr>
      </w:pPr>
      <w:r>
        <w:t>The application of Halifax bank has introduced innovative strategy for investors with availability of stock market analytical data of Halifax so as to provide opportunity to its customers to invest over the bank’s process and gain substantial interest serving their needs.</w:t>
      </w:r>
      <w:r>
        <w:br w:type="page"/>
      </w:r>
    </w:p>
    <w:p w:rsidR="0092054C" w:rsidRDefault="0092054C" w:rsidP="0092054C">
      <w:pPr>
        <w:pStyle w:val="Heading1"/>
      </w:pPr>
      <w:bookmarkStart w:id="2" w:name="_Toc38565457"/>
      <w:r>
        <w:lastRenderedPageBreak/>
        <w:t>References</w:t>
      </w:r>
      <w:bookmarkEnd w:id="2"/>
    </w:p>
    <w:p w:rsidR="0092054C" w:rsidRPr="00DE541C" w:rsidRDefault="0092054C" w:rsidP="0092054C">
      <w:pPr>
        <w:pStyle w:val="NormalWeb"/>
        <w:spacing w:before="0" w:beforeAutospacing="0" w:after="293" w:afterAutospacing="0" w:line="360" w:lineRule="auto"/>
        <w:jc w:val="both"/>
        <w:rPr>
          <w:color w:val="000000"/>
        </w:rPr>
      </w:pPr>
      <w:r w:rsidRPr="00DE541C">
        <w:rPr>
          <w:color w:val="000000"/>
        </w:rPr>
        <w:t>Finextra.com, 2020. </w:t>
      </w:r>
      <w:r w:rsidRPr="00DE541C">
        <w:rPr>
          <w:i/>
          <w:iCs/>
          <w:color w:val="000000"/>
        </w:rPr>
        <w:t xml:space="preserve">Open Banking Year Two: Insights </w:t>
      </w:r>
      <w:proofErr w:type="gramStart"/>
      <w:r w:rsidRPr="00DE541C">
        <w:rPr>
          <w:i/>
          <w:iCs/>
          <w:color w:val="000000"/>
        </w:rPr>
        <w:t>From</w:t>
      </w:r>
      <w:proofErr w:type="gramEnd"/>
      <w:r w:rsidRPr="00DE541C">
        <w:rPr>
          <w:i/>
          <w:iCs/>
          <w:color w:val="000000"/>
        </w:rPr>
        <w:t xml:space="preserve"> The CMA9</w:t>
      </w:r>
      <w:r w:rsidRPr="00DE541C">
        <w:rPr>
          <w:color w:val="000000"/>
        </w:rPr>
        <w:t xml:space="preserve">. [online] </w:t>
      </w:r>
      <w:proofErr w:type="spellStart"/>
      <w:r w:rsidRPr="00DE541C">
        <w:rPr>
          <w:color w:val="000000"/>
        </w:rPr>
        <w:t>Finextra</w:t>
      </w:r>
      <w:proofErr w:type="spellEnd"/>
      <w:r w:rsidRPr="00DE541C">
        <w:rPr>
          <w:color w:val="000000"/>
        </w:rPr>
        <w:t xml:space="preserve"> Research. Available at: &lt;https://www.finextra.com/newsarticle/35054/open-banking-year-two-insights-from-the-cma9&gt; [Accessed 23 April 2020].</w:t>
      </w:r>
    </w:p>
    <w:p w:rsidR="0092054C" w:rsidRPr="00DE541C" w:rsidRDefault="0092054C" w:rsidP="0092054C">
      <w:pPr>
        <w:pStyle w:val="NormalWeb"/>
        <w:spacing w:before="0" w:beforeAutospacing="0" w:after="293" w:afterAutospacing="0" w:line="360" w:lineRule="auto"/>
        <w:jc w:val="both"/>
        <w:rPr>
          <w:color w:val="000000"/>
        </w:rPr>
      </w:pPr>
      <w:r w:rsidRPr="00DE541C">
        <w:rPr>
          <w:color w:val="000000"/>
        </w:rPr>
        <w:t>Openbanking.UK, 2020. </w:t>
      </w:r>
      <w:r w:rsidRPr="00DE541C">
        <w:rPr>
          <w:i/>
          <w:iCs/>
          <w:color w:val="000000"/>
        </w:rPr>
        <w:t>Home – Open Banking</w:t>
      </w:r>
      <w:r w:rsidRPr="00DE541C">
        <w:rPr>
          <w:color w:val="000000"/>
        </w:rPr>
        <w:t>. [online] Open Banking. Available at: &lt;https://www.openbanking.org.uk/&gt; [Accessed 23 April 2020].</w:t>
      </w:r>
    </w:p>
    <w:p w:rsidR="0092054C" w:rsidRPr="00DE541C" w:rsidRDefault="0092054C" w:rsidP="0092054C">
      <w:pPr>
        <w:pStyle w:val="NormalWeb"/>
        <w:spacing w:before="0" w:beforeAutospacing="0" w:after="293" w:afterAutospacing="0" w:line="360" w:lineRule="auto"/>
        <w:jc w:val="both"/>
        <w:rPr>
          <w:color w:val="000000"/>
        </w:rPr>
      </w:pPr>
      <w:r w:rsidRPr="00DE541C">
        <w:rPr>
          <w:color w:val="000000"/>
        </w:rPr>
        <w:t>Openbanking.UK, 2020. </w:t>
      </w:r>
      <w:r w:rsidRPr="00DE541C">
        <w:rPr>
          <w:i/>
          <w:iCs/>
          <w:color w:val="000000"/>
        </w:rPr>
        <w:t>What Is Open Banking? – Open Banking</w:t>
      </w:r>
      <w:r w:rsidRPr="00DE541C">
        <w:rPr>
          <w:color w:val="000000"/>
        </w:rPr>
        <w:t>. [online] Open Banking. Available at: &lt;https://www.openbanking.org.uk/customers/what-is-open-banking/&gt; [Accessed 23 April 2020].</w:t>
      </w:r>
    </w:p>
    <w:p w:rsidR="0092054C" w:rsidRDefault="0092054C" w:rsidP="0092054C">
      <w:pPr>
        <w:spacing w:line="276" w:lineRule="auto"/>
      </w:pPr>
      <w:r>
        <w:br w:type="page"/>
      </w:r>
    </w:p>
    <w:p w:rsidR="0092054C" w:rsidRDefault="0092054C" w:rsidP="0092054C">
      <w:pPr>
        <w:pStyle w:val="Heading1"/>
      </w:pPr>
      <w:bookmarkStart w:id="3" w:name="_Toc38565458"/>
      <w:r>
        <w:lastRenderedPageBreak/>
        <w:t>Appendix</w:t>
      </w:r>
      <w:bookmarkEnd w:id="3"/>
    </w:p>
    <w:p w:rsidR="0092054C" w:rsidRDefault="0092054C" w:rsidP="0092054C">
      <w:pPr>
        <w:jc w:val="center"/>
      </w:pPr>
    </w:p>
    <w:p w:rsidR="0092054C" w:rsidRDefault="0092054C" w:rsidP="0092054C">
      <w:pPr>
        <w:jc w:val="center"/>
      </w:pPr>
      <w:r w:rsidRPr="008D71F2">
        <w:rPr>
          <w:noProof/>
          <w:lang w:val="en-IN"/>
        </w:rPr>
        <w:object w:dxaOrig="7202" w:dyaOrig="5390">
          <v:shape id="_x0000_i1067" type="#_x0000_t75" style="width:5in;height:270pt" o:ole="">
            <v:imagedata r:id="rId28" o:title=""/>
          </v:shape>
          <o:OLEObject Type="Embed" ProgID="PowerPoint.Slide.12" ShapeID="_x0000_i1067" DrawAspect="Content" ObjectID="_1650379145" r:id="rId29"/>
        </w:object>
      </w:r>
    </w:p>
    <w:p w:rsidR="0092054C" w:rsidRDefault="0092054C" w:rsidP="0092054C">
      <w:pPr>
        <w:jc w:val="center"/>
      </w:pPr>
      <w:r w:rsidRPr="008D71F2">
        <w:rPr>
          <w:noProof/>
          <w:lang w:val="en-IN"/>
        </w:rPr>
        <w:object w:dxaOrig="7202" w:dyaOrig="5390">
          <v:shape id="_x0000_i1068" type="#_x0000_t75" style="width:5in;height:270pt" o:ole="">
            <v:imagedata r:id="rId30" o:title=""/>
          </v:shape>
          <o:OLEObject Type="Embed" ProgID="PowerPoint.Slide.12" ShapeID="_x0000_i1068" DrawAspect="Content" ObjectID="_1650379146" r:id="rId31"/>
        </w:object>
      </w:r>
    </w:p>
    <w:p w:rsidR="0092054C" w:rsidRDefault="0092054C" w:rsidP="0092054C">
      <w:pPr>
        <w:jc w:val="center"/>
      </w:pPr>
      <w:r w:rsidRPr="008D71F2">
        <w:rPr>
          <w:noProof/>
          <w:lang w:val="en-IN"/>
        </w:rPr>
        <w:object w:dxaOrig="7202" w:dyaOrig="5390">
          <v:shape id="_x0000_i1069" type="#_x0000_t75" style="width:5in;height:270pt" o:ole="">
            <v:imagedata r:id="rId32" o:title=""/>
          </v:shape>
          <o:OLEObject Type="Embed" ProgID="PowerPoint.Slide.12" ShapeID="_x0000_i1069" DrawAspect="Content" ObjectID="_1650379147" r:id="rId33"/>
        </w:object>
      </w:r>
    </w:p>
    <w:p w:rsidR="0092054C" w:rsidRDefault="0092054C" w:rsidP="0092054C">
      <w:pPr>
        <w:jc w:val="center"/>
      </w:pPr>
      <w:r w:rsidRPr="000130A7">
        <w:rPr>
          <w:noProof/>
          <w:lang w:val="en-IN"/>
        </w:rPr>
        <w:object w:dxaOrig="7202" w:dyaOrig="5390">
          <v:shape id="_x0000_i1070" type="#_x0000_t75" style="width:5in;height:270pt" o:ole="">
            <v:imagedata r:id="rId34" o:title=""/>
          </v:shape>
          <o:OLEObject Type="Embed" ProgID="PowerPoint.Slide.12" ShapeID="_x0000_i1070" DrawAspect="Content" ObjectID="_1650379148" r:id="rId35"/>
        </w:object>
      </w:r>
    </w:p>
    <w:p w:rsidR="0092054C" w:rsidRDefault="0092054C" w:rsidP="0092054C">
      <w:pPr>
        <w:jc w:val="center"/>
      </w:pPr>
      <w:r w:rsidRPr="000130A7">
        <w:rPr>
          <w:noProof/>
          <w:lang w:val="en-IN"/>
        </w:rPr>
        <w:object w:dxaOrig="7202" w:dyaOrig="5390">
          <v:shape id="_x0000_i1071" type="#_x0000_t75" style="width:5in;height:270pt" o:ole="">
            <v:imagedata r:id="rId36" o:title=""/>
          </v:shape>
          <o:OLEObject Type="Embed" ProgID="PowerPoint.Slide.12" ShapeID="_x0000_i1071" DrawAspect="Content" ObjectID="_1650379149" r:id="rId37"/>
        </w:object>
      </w:r>
    </w:p>
    <w:p w:rsidR="0092054C" w:rsidRDefault="0092054C" w:rsidP="0092054C">
      <w:pPr>
        <w:jc w:val="center"/>
      </w:pPr>
      <w:r w:rsidRPr="000130A7">
        <w:rPr>
          <w:noProof/>
          <w:lang w:val="en-IN"/>
        </w:rPr>
        <w:object w:dxaOrig="7202" w:dyaOrig="5390">
          <v:shape id="_x0000_i1072" type="#_x0000_t75" style="width:5in;height:270pt" o:ole="">
            <v:imagedata r:id="rId38" o:title=""/>
          </v:shape>
          <o:OLEObject Type="Embed" ProgID="PowerPoint.Slide.12" ShapeID="_x0000_i1072" DrawAspect="Content" ObjectID="_1650379150" r:id="rId39"/>
        </w:object>
      </w:r>
    </w:p>
    <w:p w:rsidR="0092054C" w:rsidRDefault="0092054C" w:rsidP="0092054C">
      <w:pPr>
        <w:jc w:val="center"/>
      </w:pPr>
    </w:p>
    <w:p w:rsidR="0092054C" w:rsidRDefault="0092054C" w:rsidP="0092054C">
      <w:pPr>
        <w:jc w:val="center"/>
      </w:pPr>
    </w:p>
    <w:p w:rsidR="0092054C" w:rsidRDefault="0092054C" w:rsidP="0092054C">
      <w:pPr>
        <w:jc w:val="center"/>
      </w:pPr>
    </w:p>
    <w:p w:rsidR="0092054C" w:rsidRDefault="0092054C" w:rsidP="0092054C">
      <w:pPr>
        <w:jc w:val="center"/>
      </w:pPr>
    </w:p>
    <w:p w:rsidR="0092054C" w:rsidRDefault="0092054C" w:rsidP="0092054C">
      <w:pPr>
        <w:jc w:val="center"/>
      </w:pPr>
    </w:p>
    <w:p w:rsidR="0092054C" w:rsidRDefault="0092054C" w:rsidP="0092054C">
      <w:pPr>
        <w:jc w:val="center"/>
      </w:pPr>
    </w:p>
    <w:p w:rsidR="0092054C" w:rsidRPr="00C41180" w:rsidRDefault="0092054C" w:rsidP="0092054C">
      <w:pPr>
        <w:jc w:val="center"/>
      </w:pPr>
    </w:p>
    <w:p w:rsidR="0092054C" w:rsidRDefault="0092054C" w:rsidP="00F30CDB">
      <w:pPr>
        <w:spacing w:line="360" w:lineRule="auto"/>
      </w:pPr>
    </w:p>
    <w:sectPr w:rsidR="009205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0CDB"/>
    <w:rsid w:val="00817B8A"/>
    <w:rsid w:val="0092054C"/>
    <w:rsid w:val="00D67DCA"/>
    <w:rsid w:val="00F30C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CB907"/>
  <w15:chartTrackingRefBased/>
  <w15:docId w15:val="{FFCCFD1E-A4D2-431D-9DD8-F3071AA0C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92054C"/>
    <w:pPr>
      <w:keepNext/>
      <w:widowControl w:val="0"/>
      <w:suppressAutoHyphens/>
      <w:spacing w:before="240" w:after="60" w:line="360" w:lineRule="auto"/>
      <w:jc w:val="both"/>
      <w:outlineLvl w:val="0"/>
    </w:pPr>
    <w:rPr>
      <w:rFonts w:ascii="Times New Roman" w:hAnsi="Times New Roman"/>
      <w:b/>
      <w:bCs/>
      <w:kern w:val="32"/>
      <w:sz w:val="24"/>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54C"/>
    <w:rPr>
      <w:rFonts w:ascii="Times New Roman" w:hAnsi="Times New Roman"/>
      <w:b/>
      <w:bCs/>
      <w:kern w:val="32"/>
      <w:sz w:val="24"/>
      <w:szCs w:val="32"/>
      <w:lang w:val="en-GB"/>
    </w:rPr>
  </w:style>
  <w:style w:type="paragraph" w:styleId="TOCHeading">
    <w:name w:val="TOC Heading"/>
    <w:basedOn w:val="Heading1"/>
    <w:next w:val="Normal"/>
    <w:uiPriority w:val="39"/>
    <w:semiHidden/>
    <w:unhideWhenUsed/>
    <w:qFormat/>
    <w:rsid w:val="0092054C"/>
    <w:pPr>
      <w:keepLines/>
      <w:widowControl/>
      <w:suppressAutoHyphens w:val="0"/>
      <w:spacing w:before="480" w:after="0" w:line="276" w:lineRule="auto"/>
      <w:jc w:val="left"/>
      <w:outlineLvl w:val="9"/>
    </w:pPr>
    <w:rPr>
      <w:rFonts w:asciiTheme="majorHAnsi" w:eastAsiaTheme="majorEastAsia" w:hAnsiTheme="majorHAnsi" w:cstheme="majorBidi"/>
      <w:color w:val="2E74B5" w:themeColor="accent1" w:themeShade="BF"/>
      <w:kern w:val="0"/>
      <w:sz w:val="28"/>
      <w:szCs w:val="28"/>
      <w:lang w:val="en-US"/>
    </w:rPr>
  </w:style>
  <w:style w:type="paragraph" w:styleId="TOC1">
    <w:name w:val="toc 1"/>
    <w:basedOn w:val="Normal"/>
    <w:next w:val="Normal"/>
    <w:autoRedefine/>
    <w:uiPriority w:val="39"/>
    <w:unhideWhenUsed/>
    <w:rsid w:val="0092054C"/>
    <w:pPr>
      <w:spacing w:after="100" w:line="360" w:lineRule="auto"/>
      <w:jc w:val="both"/>
    </w:pPr>
    <w:rPr>
      <w:rFonts w:ascii="Times New Roman" w:eastAsiaTheme="minorEastAsia" w:hAnsi="Times New Roman"/>
      <w:color w:val="000000" w:themeColor="text1"/>
      <w:sz w:val="24"/>
      <w:lang w:val="en-GB" w:eastAsia="en-IN"/>
    </w:rPr>
  </w:style>
  <w:style w:type="character" w:styleId="Hyperlink">
    <w:name w:val="Hyperlink"/>
    <w:basedOn w:val="DefaultParagraphFont"/>
    <w:uiPriority w:val="99"/>
    <w:unhideWhenUsed/>
    <w:rsid w:val="0092054C"/>
    <w:rPr>
      <w:color w:val="0563C1" w:themeColor="hyperlink"/>
      <w:u w:val="single"/>
    </w:rPr>
  </w:style>
  <w:style w:type="paragraph" w:styleId="NormalWeb">
    <w:name w:val="Normal (Web)"/>
    <w:basedOn w:val="Normal"/>
    <w:uiPriority w:val="99"/>
    <w:semiHidden/>
    <w:unhideWhenUsed/>
    <w:rsid w:val="0092054C"/>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2187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2.sldx"/><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fontTable" Target="fontTable.xml"/><Relationship Id="rId5" Type="http://schemas.openxmlformats.org/officeDocument/2006/relationships/package" Target="embeddings/Microsoft_PowerPoint_Slide.sldx"/><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PowerPoint_Slide7.sldx"/><Relationship Id="rId31" Type="http://schemas.openxmlformats.org/officeDocument/2006/relationships/package" Target="embeddings/Microsoft_PowerPoint_Slide13.sldx"/><Relationship Id="rId4" Type="http://schemas.openxmlformats.org/officeDocument/2006/relationships/image" Target="media/image1.emf"/><Relationship Id="rId9" Type="http://schemas.openxmlformats.org/officeDocument/2006/relationships/package" Target="embeddings/Microsoft_PowerPoint_Slide2.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8" Type="http://schemas.openxmlformats.org/officeDocument/2006/relationships/image" Target="media/image3.emf"/><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20</Pages>
  <Words>1288</Words>
  <Characters>7348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Mara</dc:creator>
  <cp:keywords/>
  <dc:description/>
  <cp:lastModifiedBy>Mara</cp:lastModifiedBy>
  <cp:revision>1</cp:revision>
  <dcterms:created xsi:type="dcterms:W3CDTF">2020-05-07T14:35:00Z</dcterms:created>
  <dcterms:modified xsi:type="dcterms:W3CDTF">2020-05-07T14:52:00Z</dcterms:modified>
</cp:coreProperties>
</file>