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7AB1A" w14:textId="23E15386" w:rsidR="00C11CD0" w:rsidRDefault="00C11CD0"/>
    <w:sdt>
      <w:sdtPr>
        <w:id w:val="2055809963"/>
        <w:docPartObj>
          <w:docPartGallery w:val="Cover Pages"/>
          <w:docPartUnique/>
        </w:docPartObj>
      </w:sdtPr>
      <w:sdtContent>
        <w:p w14:paraId="6741596E" w14:textId="729C0924" w:rsidR="00C11CD0" w:rsidRDefault="00C11CD0">
          <w:r>
            <w:rPr>
              <w:noProof/>
            </w:rPr>
            <w:pict w14:anchorId="23186D0C">
              <v:group id="Group 252" o:spid="_x0000_s2052" style="position:absolute;margin-left:193.95pt;margin-top:0;width:245.15pt;height:11in;z-index:251659776;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2053"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8" o:title="" opacity="52428f" color2="white [3212]" o:opacity2="52428f" type="pattern"/>
                  <v:shadow color="#d8d8d8" offset="3pt,3pt"/>
                </v:rect>
                <v:rect id="Rectangle 460" o:spid="_x0000_s2054" style="position:absolute;left:1246;width:29718;height:100584;visibility:visible;mso-wrap-style:square;v-text-anchor:top" fillcolor="#272727 [2749]" strokecolor="#f2f2f2 [3041]" strokeweight="3pt">
                  <v:shadow type="perspective" color="#0a2f40 [1604]" opacity=".5" offset="1pt" offset2="-1pt"/>
                  <o:extrusion v:ext="view" on="t" viewpoint="-34.72222mm" viewpointorigin="-.5" skewangle="-45" lightposition="-50000" lightposition2="50000"/>
                </v:rect>
                <v:rect id="Rectangle 461" o:spid="_x0000_s2055"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style="mso-next-textbox:#Rectangle 461" inset="28.8pt,14.4pt,14.4pt,14.4pt">
                    <w:txbxContent>
                      <w:p w14:paraId="0E69438C" w14:textId="12FC2C1D" w:rsidR="00C11CD0" w:rsidRDefault="00C11CD0">
                        <w:pPr>
                          <w:pStyle w:val="NoSpacing"/>
                          <w:rPr>
                            <w:color w:val="FFFFFF" w:themeColor="background1"/>
                            <w:sz w:val="96"/>
                            <w:szCs w:val="96"/>
                          </w:rPr>
                        </w:pPr>
                      </w:p>
                    </w:txbxContent>
                  </v:textbox>
                </v:rect>
                <v:rect id="Rectangle 9" o:spid="_x0000_s2056"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style="mso-next-textbox:#Rectangle 9" inset="28.8pt,14.4pt,14.4pt,14.4pt">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750FC0A" w14:textId="44F48F03" w:rsidR="00C11CD0" w:rsidRPr="00C9658C" w:rsidRDefault="00C11CD0">
                            <w:pPr>
                              <w:pStyle w:val="NoSpacing"/>
                              <w:spacing w:line="360" w:lineRule="auto"/>
                              <w:rPr>
                                <w:color w:val="FFFFFF" w:themeColor="background1"/>
                                <w:sz w:val="32"/>
                                <w:szCs w:val="32"/>
                              </w:rPr>
                            </w:pPr>
                            <w:r w:rsidRPr="00C9658C">
                              <w:rPr>
                                <w:color w:val="FFFFFF" w:themeColor="background1"/>
                                <w:sz w:val="32"/>
                                <w:szCs w:val="32"/>
                              </w:rPr>
                              <w:t>Adrian Mihai Neacsu</w:t>
                            </w:r>
                          </w:p>
                        </w:sdtContent>
                      </w:sdt>
                      <w:sdt>
                        <w:sdtPr>
                          <w:rPr>
                            <w:color w:val="FFFFFF" w:themeColor="background1"/>
                            <w:sz w:val="32"/>
                            <w:szCs w:val="32"/>
                          </w:rPr>
                          <w:alias w:val="Company"/>
                          <w:id w:val="1760174317"/>
                          <w:dataBinding w:prefixMappings="xmlns:ns0='http://schemas.openxmlformats.org/officeDocument/2006/extended-properties'" w:xpath="/ns0:Properties[1]/ns0:Company[1]" w:storeItemID="{6668398D-A668-4E3E-A5EB-62B293D839F1}"/>
                          <w:text/>
                        </w:sdtPr>
                        <w:sdtContent>
                          <w:p w14:paraId="78E215F3" w14:textId="5CBAF2EC" w:rsidR="00C11CD0" w:rsidRPr="00C9658C" w:rsidRDefault="00C11CD0">
                            <w:pPr>
                              <w:pStyle w:val="NoSpacing"/>
                              <w:spacing w:line="360" w:lineRule="auto"/>
                              <w:rPr>
                                <w:color w:val="FFFFFF" w:themeColor="background1"/>
                                <w:sz w:val="32"/>
                                <w:szCs w:val="32"/>
                              </w:rPr>
                            </w:pPr>
                            <w:r w:rsidRPr="00C9658C">
                              <w:rPr>
                                <w:color w:val="FFFFFF" w:themeColor="background1"/>
                                <w:sz w:val="32"/>
                                <w:szCs w:val="32"/>
                              </w:rPr>
                              <w:t>2312529</w:t>
                            </w:r>
                          </w:p>
                        </w:sdtContent>
                      </w:sdt>
                    </w:txbxContent>
                  </v:textbox>
                </v:rect>
                <w10:wrap anchorx="page" anchory="page"/>
              </v:group>
            </w:pict>
          </w:r>
          <w:r>
            <w:rPr>
              <w:noProof/>
            </w:rPr>
            <w:pict w14:anchorId="06D6778E">
              <v:rect id="Rectangle 16" o:spid="_x0000_s2051" style="position:absolute;margin-left:0;margin-top:0;width:548.85pt;height:50.4pt;z-index:251660800;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F06A5CF" w14:textId="1B7C7574" w:rsidR="00C11CD0" w:rsidRDefault="00C11CD0">
                          <w:pPr>
                            <w:pStyle w:val="NoSpacing"/>
                            <w:jc w:val="right"/>
                            <w:rPr>
                              <w:color w:val="FFFFFF" w:themeColor="background1"/>
                              <w:sz w:val="72"/>
                              <w:szCs w:val="72"/>
                            </w:rPr>
                          </w:pPr>
                          <w:r w:rsidRPr="00C11CD0">
                            <w:rPr>
                              <w:color w:val="FFFFFF" w:themeColor="background1"/>
                              <w:sz w:val="72"/>
                              <w:szCs w:val="72"/>
                            </w:rPr>
                            <w:t>Global Business Environment</w:t>
                          </w:r>
                        </w:p>
                      </w:sdtContent>
                    </w:sdt>
                  </w:txbxContent>
                </v:textbox>
                <w10:wrap anchorx="page" anchory="page"/>
              </v:rect>
            </w:pict>
          </w:r>
        </w:p>
        <w:p w14:paraId="74BCCFB6" w14:textId="164DF873" w:rsidR="00C11CD0" w:rsidRDefault="00C11CD0">
          <w:r>
            <w:rPr>
              <w:noProof/>
            </w:rPr>
            <w:pict w14:anchorId="48374F13">
              <v:shapetype id="_x0000_t202" coordsize="21600,21600" o:spt="202" path="m,l,21600r21600,l21600,xe">
                <v:stroke joinstyle="miter"/>
                <v:path gradientshapeok="t" o:connecttype="rect"/>
              </v:shapetype>
              <v:shape id="Text Box 2" o:spid="_x0000_s2057" type="#_x0000_t202" style="position:absolute;margin-left:352.4pt;margin-top:675pt;width:87.85pt;height:36pt;z-index:251661824;visibility:visible;mso-wrap-distance-left:9pt;mso-wrap-distance-top:3.6pt;mso-wrap-distance-right:9pt;mso-wrap-distance-bottom:3.6pt;mso-position-horizontal-relative:text;mso-position-vertical-relative:text;mso-width-relative:margin;mso-height-relative:margin;v-text-anchor:top" fillcolor="black [3213]" strokecolor="black [3200]" strokeweight="1pt">
                <v:stroke dashstyle="dash"/>
                <v:shadow color="#868686"/>
                <v:textbox>
                  <w:txbxContent>
                    <w:p w14:paraId="20F9BAE7" w14:textId="279BA5DE" w:rsidR="00C11CD0" w:rsidRDefault="00C9658C" w:rsidP="00C9658C">
                      <w:pPr>
                        <w:jc w:val="center"/>
                      </w:pPr>
                      <w:r w:rsidRPr="00C9658C">
                        <w:rPr>
                          <w:b/>
                        </w:rPr>
                        <w:t>LCBB4016</w:t>
                      </w:r>
                    </w:p>
                  </w:txbxContent>
                </v:textbox>
                <w10:wrap type="square"/>
              </v:shape>
            </w:pict>
          </w:r>
          <w:r>
            <w:rPr>
              <w:noProof/>
            </w:rPr>
            <w:drawing>
              <wp:anchor distT="0" distB="0" distL="114300" distR="114300" simplePos="0" relativeHeight="251663872" behindDoc="0" locked="0" layoutInCell="0" allowOverlap="1" wp14:anchorId="08302B9A" wp14:editId="1642824D">
                <wp:simplePos x="0" y="0"/>
                <wp:positionH relativeFrom="page">
                  <wp:posOffset>1230924</wp:posOffset>
                </wp:positionH>
                <wp:positionV relativeFrom="page">
                  <wp:posOffset>3499338</wp:posOffset>
                </wp:positionV>
                <wp:extent cx="5949510" cy="3702493"/>
                <wp:effectExtent l="0" t="0" r="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49510" cy="3702493"/>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62706F43" w14:textId="77777777" w:rsidR="00C11CD0" w:rsidRDefault="00C11CD0" w:rsidP="003E5F83">
      <w:pPr>
        <w:pStyle w:val="Title"/>
      </w:pPr>
    </w:p>
    <w:p w14:paraId="71A30B5C" w14:textId="77777777" w:rsidR="00C11CD0" w:rsidRDefault="00C11CD0">
      <w:pPr>
        <w:rPr>
          <w:rFonts w:asciiTheme="majorHAnsi" w:eastAsiaTheme="majorEastAsia" w:hAnsiTheme="majorHAnsi" w:cstheme="majorBidi"/>
          <w:spacing w:val="-10"/>
          <w:kern w:val="28"/>
          <w:sz w:val="56"/>
          <w:szCs w:val="56"/>
        </w:rPr>
      </w:pPr>
      <w:r>
        <w:br w:type="page"/>
      </w:r>
    </w:p>
    <w:p w14:paraId="7BEB20ED" w14:textId="0A797C52" w:rsidR="007A630F" w:rsidRDefault="003E5F83" w:rsidP="003E5F83">
      <w:pPr>
        <w:pStyle w:val="Title"/>
      </w:pPr>
      <w:r>
        <w:lastRenderedPageBreak/>
        <w:t>Introduction</w:t>
      </w:r>
    </w:p>
    <w:p w14:paraId="160433D7" w14:textId="77777777" w:rsidR="003E5F83" w:rsidRDefault="003E5F83"/>
    <w:p w14:paraId="64D6D667" w14:textId="21774837" w:rsidR="003E5F83" w:rsidRDefault="003E5F83" w:rsidP="003E5F83">
      <w:pPr>
        <w:spacing w:line="276" w:lineRule="auto"/>
        <w:jc w:val="both"/>
        <w:rPr>
          <w:rFonts w:ascii="Arial" w:hAnsi="Arial" w:cs="Arial"/>
          <w:sz w:val="24"/>
          <w:szCs w:val="24"/>
        </w:rPr>
      </w:pPr>
      <w:r w:rsidRPr="003E5F83">
        <w:rPr>
          <w:rFonts w:ascii="Arial" w:hAnsi="Arial" w:cs="Arial"/>
          <w:sz w:val="24"/>
          <w:szCs w:val="24"/>
        </w:rPr>
        <w:t>Globalisation is defined as the increasing integration of economies through flows of goods, services, capital, knowledge and people, a trend which has intensified substantially since the latter half of the twentieth century (International Monetary Fund, 2024</w:t>
      </w:r>
      <w:r w:rsidR="00F1491C">
        <w:rPr>
          <w:rFonts w:ascii="Arial" w:hAnsi="Arial" w:cs="Arial"/>
          <w:sz w:val="24"/>
          <w:szCs w:val="24"/>
        </w:rPr>
        <w:t xml:space="preserve">, </w:t>
      </w:r>
      <w:r w:rsidR="00F1491C" w:rsidRPr="00F1491C">
        <w:rPr>
          <w:rFonts w:ascii="Arial" w:hAnsi="Arial" w:cs="Arial"/>
          <w:sz w:val="24"/>
          <w:szCs w:val="24"/>
        </w:rPr>
        <w:t>Buckley and Ghauri, 2015</w:t>
      </w:r>
      <w:r w:rsidRPr="003E5F83">
        <w:rPr>
          <w:rFonts w:ascii="Arial" w:hAnsi="Arial" w:cs="Arial"/>
          <w:sz w:val="24"/>
          <w:szCs w:val="24"/>
        </w:rPr>
        <w:t>). As the world becomes more interconnected, businesses face new risks alongside opportunities</w:t>
      </w:r>
      <w:r w:rsidRPr="003E5F83">
        <w:rPr>
          <w:rFonts w:ascii="Arial" w:hAnsi="Arial" w:cs="Arial"/>
          <w:sz w:val="24"/>
          <w:szCs w:val="24"/>
        </w:rPr>
        <w:t xml:space="preserve">, </w:t>
      </w:r>
      <w:r w:rsidRPr="003E5F83">
        <w:rPr>
          <w:rFonts w:ascii="Arial" w:hAnsi="Arial" w:cs="Arial"/>
          <w:sz w:val="24"/>
          <w:szCs w:val="24"/>
        </w:rPr>
        <w:t>such as heightened vulnerability in global value chains caused by geopolitical tensions (Woods, 2024). At the same time, regulatory regimes are evolving rapidly; for example, the European Union’s Corporate Sustainability Reporting Directive now requires large EU-listed companies to provide significantly enhanced disclosures on environmental, social and governance performance (European Commission, 2024).</w:t>
      </w:r>
    </w:p>
    <w:p w14:paraId="588E5445" w14:textId="77777777" w:rsidR="00AC4727" w:rsidRPr="003E5F83" w:rsidRDefault="00AC4727" w:rsidP="003E5F83">
      <w:pPr>
        <w:spacing w:line="276" w:lineRule="auto"/>
        <w:jc w:val="both"/>
        <w:rPr>
          <w:rFonts w:ascii="Arial" w:hAnsi="Arial" w:cs="Arial"/>
          <w:sz w:val="24"/>
          <w:szCs w:val="24"/>
        </w:rPr>
      </w:pPr>
    </w:p>
    <w:p w14:paraId="0CF555CD" w14:textId="77777777" w:rsidR="00AC4727" w:rsidRDefault="00AC4727" w:rsidP="003E5F83">
      <w:pPr>
        <w:spacing w:line="276" w:lineRule="auto"/>
        <w:jc w:val="both"/>
        <w:rPr>
          <w:rFonts w:ascii="Arial" w:hAnsi="Arial" w:cs="Arial"/>
          <w:sz w:val="24"/>
          <w:szCs w:val="24"/>
        </w:rPr>
      </w:pPr>
      <w:r>
        <w:rPr>
          <w:rFonts w:ascii="Arial" w:hAnsi="Arial" w:cs="Arial"/>
          <w:noProof/>
          <w:sz w:val="24"/>
          <w:szCs w:val="24"/>
        </w:rPr>
        <w:drawing>
          <wp:inline distT="0" distB="0" distL="0" distR="0" wp14:anchorId="720A59EB" wp14:editId="2A462414">
            <wp:extent cx="5731510" cy="2762250"/>
            <wp:effectExtent l="0" t="0" r="0" b="0"/>
            <wp:docPr id="15607108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710816" name="Picture 156071081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762250"/>
                    </a:xfrm>
                    <a:prstGeom prst="rect">
                      <a:avLst/>
                    </a:prstGeom>
                  </pic:spPr>
                </pic:pic>
              </a:graphicData>
            </a:graphic>
          </wp:inline>
        </w:drawing>
      </w:r>
    </w:p>
    <w:p w14:paraId="2BC216FB" w14:textId="77777777" w:rsidR="00AC4727" w:rsidRDefault="00AC4727" w:rsidP="003E5F83">
      <w:pPr>
        <w:spacing w:line="276" w:lineRule="auto"/>
        <w:jc w:val="both"/>
        <w:rPr>
          <w:rFonts w:ascii="Arial" w:hAnsi="Arial" w:cs="Arial"/>
          <w:sz w:val="24"/>
          <w:szCs w:val="24"/>
        </w:rPr>
      </w:pPr>
    </w:p>
    <w:p w14:paraId="20EC2036" w14:textId="5B5CAA12" w:rsidR="003E5F83" w:rsidRPr="003E5F83" w:rsidRDefault="003E5F83" w:rsidP="003E5F83">
      <w:pPr>
        <w:spacing w:line="276" w:lineRule="auto"/>
        <w:jc w:val="both"/>
        <w:rPr>
          <w:rFonts w:ascii="Arial" w:hAnsi="Arial" w:cs="Arial"/>
          <w:sz w:val="24"/>
          <w:szCs w:val="24"/>
        </w:rPr>
      </w:pPr>
      <w:r w:rsidRPr="003E5F83">
        <w:rPr>
          <w:rFonts w:ascii="Arial" w:hAnsi="Arial" w:cs="Arial"/>
          <w:sz w:val="24"/>
          <w:szCs w:val="24"/>
        </w:rPr>
        <w:t>This essay focuses on AstraZeneca PLC, a UK-headquartered multinational engaged in biopharmaceutical innovation and global operations. The purpose is to critically examine how three major global forces</w:t>
      </w:r>
      <w:r w:rsidRPr="003E5F83">
        <w:rPr>
          <w:rFonts w:ascii="Arial" w:hAnsi="Arial" w:cs="Arial"/>
          <w:sz w:val="24"/>
          <w:szCs w:val="24"/>
        </w:rPr>
        <w:t xml:space="preserve"> (</w:t>
      </w:r>
      <w:r w:rsidRPr="003E5F83">
        <w:rPr>
          <w:rFonts w:ascii="Arial" w:hAnsi="Arial" w:cs="Arial"/>
          <w:sz w:val="24"/>
          <w:szCs w:val="24"/>
        </w:rPr>
        <w:t>data-driven discovery and development, increasingly contested international supply chains, and tighter sustainability and disclosure regulation</w:t>
      </w:r>
      <w:r w:rsidRPr="003E5F83">
        <w:rPr>
          <w:rFonts w:ascii="Arial" w:hAnsi="Arial" w:cs="Arial"/>
          <w:sz w:val="24"/>
          <w:szCs w:val="24"/>
        </w:rPr>
        <w:t xml:space="preserve">) </w:t>
      </w:r>
      <w:r w:rsidRPr="003E5F83">
        <w:rPr>
          <w:rFonts w:ascii="Arial" w:hAnsi="Arial" w:cs="Arial"/>
          <w:sz w:val="24"/>
          <w:szCs w:val="24"/>
        </w:rPr>
        <w:t>affect the company’s international strategy. The analysis will explore both opportunities and challenges, assess implications for its market position, innovation capabilities, talent management and competitiveness, and will conclude with strategic recommendations for managing these forces effectively.</w:t>
      </w:r>
    </w:p>
    <w:p w14:paraId="15CDC9DB" w14:textId="77777777" w:rsidR="003E5F83" w:rsidRDefault="003E5F83"/>
    <w:p w14:paraId="2B77C81B" w14:textId="4A4FFFA7" w:rsidR="003E5F83" w:rsidRDefault="003E5F83" w:rsidP="003E5F83">
      <w:pPr>
        <w:pStyle w:val="Title"/>
      </w:pPr>
      <w:r w:rsidRPr="003E5F83">
        <w:lastRenderedPageBreak/>
        <w:t>Opportunities and Challenges</w:t>
      </w:r>
    </w:p>
    <w:p w14:paraId="38CFF86D" w14:textId="77777777" w:rsidR="003E5F83" w:rsidRPr="001965B7" w:rsidRDefault="003E5F83" w:rsidP="001965B7">
      <w:pPr>
        <w:spacing w:line="276" w:lineRule="auto"/>
        <w:jc w:val="both"/>
        <w:rPr>
          <w:rFonts w:ascii="Arial" w:hAnsi="Arial" w:cs="Arial"/>
          <w:sz w:val="24"/>
          <w:szCs w:val="24"/>
        </w:rPr>
      </w:pPr>
    </w:p>
    <w:p w14:paraId="26D12A6C" w14:textId="77777777" w:rsidR="001965B7" w:rsidRDefault="001965B7" w:rsidP="001965B7">
      <w:pPr>
        <w:spacing w:line="276" w:lineRule="auto"/>
        <w:jc w:val="both"/>
      </w:pPr>
      <w:r w:rsidRPr="001965B7">
        <w:rPr>
          <w:rFonts w:ascii="Arial" w:hAnsi="Arial" w:cs="Arial"/>
          <w:sz w:val="24"/>
          <w:szCs w:val="24"/>
        </w:rPr>
        <w:t>The global business environment facing AstraZeneca is increasingly shaped by rapid technological change, geopolitical uncertainty and tightening sustainability regulation. These trends create both opportunities for innovation and challenges for international operations (World Economic Forum, 2024; European Commission, 2024). The following section explores how these global forces influence AstraZeneca’s strategic and operational decisions</w:t>
      </w:r>
      <w:r w:rsidRPr="001965B7">
        <w:t>.</w:t>
      </w:r>
    </w:p>
    <w:p w14:paraId="78EB1593" w14:textId="6B8D3A25" w:rsidR="00F34EC7" w:rsidRPr="001965B7" w:rsidRDefault="00F34EC7" w:rsidP="001965B7">
      <w:pPr>
        <w:pStyle w:val="Heading1"/>
        <w:rPr>
          <w:color w:val="auto"/>
        </w:rPr>
      </w:pPr>
      <w:r w:rsidRPr="00F34EC7">
        <w:t xml:space="preserve"> </w:t>
      </w:r>
      <w:r w:rsidRPr="001965B7">
        <w:rPr>
          <w:color w:val="auto"/>
        </w:rPr>
        <w:t>Opportunities</w:t>
      </w:r>
    </w:p>
    <w:p w14:paraId="6DA79A97" w14:textId="628877F7" w:rsidR="00F34EC7" w:rsidRPr="001965B7" w:rsidRDefault="0038612B" w:rsidP="001965B7">
      <w:pPr>
        <w:pStyle w:val="ListParagraph"/>
        <w:numPr>
          <w:ilvl w:val="0"/>
          <w:numId w:val="1"/>
        </w:numPr>
        <w:spacing w:line="276" w:lineRule="auto"/>
        <w:jc w:val="both"/>
        <w:rPr>
          <w:rFonts w:ascii="Arial" w:hAnsi="Arial" w:cs="Arial"/>
          <w:sz w:val="24"/>
          <w:szCs w:val="24"/>
        </w:rPr>
      </w:pPr>
      <w:r>
        <w:rPr>
          <w:rFonts w:ascii="Arial" w:hAnsi="Arial" w:cs="Arial"/>
          <w:b/>
          <w:bCs/>
          <w:noProof/>
          <w:sz w:val="24"/>
          <w:szCs w:val="24"/>
        </w:rPr>
        <w:drawing>
          <wp:anchor distT="0" distB="0" distL="114300" distR="114300" simplePos="0" relativeHeight="251652608" behindDoc="0" locked="0" layoutInCell="1" allowOverlap="1" wp14:anchorId="45C38FF4" wp14:editId="3589F854">
            <wp:simplePos x="0" y="0"/>
            <wp:positionH relativeFrom="column">
              <wp:posOffset>457200</wp:posOffset>
            </wp:positionH>
            <wp:positionV relativeFrom="paragraph">
              <wp:posOffset>38100</wp:posOffset>
            </wp:positionV>
            <wp:extent cx="2109470" cy="1101090"/>
            <wp:effectExtent l="0" t="0" r="0" b="0"/>
            <wp:wrapSquare wrapText="bothSides"/>
            <wp:docPr id="1727736537" name="Picture 3" descr="A hand holding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736537" name="Picture 3" descr="A hand holding a machin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09470" cy="1101090"/>
                    </a:xfrm>
                    <a:prstGeom prst="rect">
                      <a:avLst/>
                    </a:prstGeom>
                  </pic:spPr>
                </pic:pic>
              </a:graphicData>
            </a:graphic>
          </wp:anchor>
        </w:drawing>
      </w:r>
      <w:r w:rsidR="00F34EC7" w:rsidRPr="001965B7">
        <w:rPr>
          <w:rFonts w:ascii="Arial" w:hAnsi="Arial" w:cs="Arial"/>
          <w:b/>
          <w:bCs/>
          <w:sz w:val="24"/>
          <w:szCs w:val="24"/>
        </w:rPr>
        <w:t>Technological innovation</w:t>
      </w:r>
      <w:r w:rsidR="00F34EC7" w:rsidRPr="001965B7">
        <w:rPr>
          <w:rFonts w:ascii="Arial" w:hAnsi="Arial" w:cs="Arial"/>
          <w:sz w:val="24"/>
          <w:szCs w:val="24"/>
        </w:rPr>
        <w:t xml:space="preserve"> offers major benefits. AstraZeneca has invested heavily in digital research partnerships that use advanced modelling and data analytics to speed up discovery and reduce development costs (AstraZeneca PLC, 2024</w:t>
      </w:r>
      <w:r w:rsidR="00F1491C">
        <w:rPr>
          <w:rFonts w:ascii="Arial" w:hAnsi="Arial" w:cs="Arial"/>
          <w:sz w:val="24"/>
          <w:szCs w:val="24"/>
        </w:rPr>
        <w:t xml:space="preserve"> </w:t>
      </w:r>
      <w:r w:rsidR="00F1491C" w:rsidRPr="00F1491C">
        <w:rPr>
          <w:rFonts w:ascii="Arial" w:hAnsi="Arial" w:cs="Arial"/>
          <w:sz w:val="24"/>
          <w:szCs w:val="24"/>
        </w:rPr>
        <w:t>Brynjolfsson and McAfee, 2017</w:t>
      </w:r>
      <w:r w:rsidR="00F34EC7" w:rsidRPr="001965B7">
        <w:rPr>
          <w:rFonts w:ascii="Arial" w:hAnsi="Arial" w:cs="Arial"/>
          <w:sz w:val="24"/>
          <w:szCs w:val="24"/>
        </w:rPr>
        <w:t>). Collaboration with BenevolentAI and several universities demonstrates how data-driven insights can improve compound selection and clinical efficiency (De La Pava, 2025). Such initiatives strengthen AstraZeneca’s innovation capacity and support its position as a leader in science-based pharmaceuticals.</w:t>
      </w:r>
    </w:p>
    <w:p w14:paraId="51E28C2A" w14:textId="077F1FD9" w:rsidR="00F34EC7" w:rsidRDefault="0038612B" w:rsidP="001965B7">
      <w:pPr>
        <w:pStyle w:val="ListParagraph"/>
        <w:numPr>
          <w:ilvl w:val="0"/>
          <w:numId w:val="1"/>
        </w:numPr>
        <w:spacing w:line="276" w:lineRule="auto"/>
        <w:jc w:val="both"/>
        <w:rPr>
          <w:rFonts w:ascii="Arial" w:hAnsi="Arial" w:cs="Arial"/>
          <w:sz w:val="24"/>
          <w:szCs w:val="24"/>
        </w:rPr>
      </w:pPr>
      <w:r>
        <w:rPr>
          <w:rFonts w:ascii="Arial" w:hAnsi="Arial" w:cs="Arial"/>
          <w:b/>
          <w:bCs/>
          <w:noProof/>
          <w:sz w:val="24"/>
          <w:szCs w:val="24"/>
        </w:rPr>
        <w:drawing>
          <wp:anchor distT="0" distB="0" distL="114300" distR="114300" simplePos="0" relativeHeight="251657728" behindDoc="0" locked="0" layoutInCell="1" allowOverlap="1" wp14:anchorId="0640AABB" wp14:editId="252D9636">
            <wp:simplePos x="0" y="0"/>
            <wp:positionH relativeFrom="column">
              <wp:posOffset>457200</wp:posOffset>
            </wp:positionH>
            <wp:positionV relativeFrom="paragraph">
              <wp:posOffset>635</wp:posOffset>
            </wp:positionV>
            <wp:extent cx="2108200" cy="1199907"/>
            <wp:effectExtent l="0" t="0" r="0" b="0"/>
            <wp:wrapSquare wrapText="bothSides"/>
            <wp:docPr id="1867608807" name="Picture 1"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608807" name="Picture 1" descr="A map of the worl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08200" cy="1199907"/>
                    </a:xfrm>
                    <a:prstGeom prst="rect">
                      <a:avLst/>
                    </a:prstGeom>
                  </pic:spPr>
                </pic:pic>
              </a:graphicData>
            </a:graphic>
          </wp:anchor>
        </w:drawing>
      </w:r>
      <w:r w:rsidR="00F34EC7" w:rsidRPr="001965B7">
        <w:rPr>
          <w:rFonts w:ascii="Arial" w:hAnsi="Arial" w:cs="Arial"/>
          <w:b/>
          <w:bCs/>
          <w:sz w:val="24"/>
          <w:szCs w:val="24"/>
        </w:rPr>
        <w:t>Geopolitical diversification</w:t>
      </w:r>
      <w:r w:rsidR="00F34EC7" w:rsidRPr="001965B7">
        <w:rPr>
          <w:rFonts w:ascii="Arial" w:hAnsi="Arial" w:cs="Arial"/>
          <w:sz w:val="24"/>
          <w:szCs w:val="24"/>
        </w:rPr>
        <w:t xml:space="preserve"> also provides resilience. By distributing manufacturing and sourcing operations across Europe, North America and Asia, AstraZeneca limits exposure to single-market risks (SCW Magazine, 2024). This network helps the firm sustain supply during trade restrictions or regional disruptions. Diversification</w:t>
      </w:r>
      <w:r>
        <w:rPr>
          <w:rFonts w:ascii="Arial" w:hAnsi="Arial" w:cs="Arial"/>
          <w:sz w:val="24"/>
          <w:szCs w:val="24"/>
        </w:rPr>
        <w:t>,</w:t>
      </w:r>
      <w:r w:rsidR="00F34EC7" w:rsidRPr="001965B7">
        <w:rPr>
          <w:rFonts w:ascii="Arial" w:hAnsi="Arial" w:cs="Arial"/>
          <w:sz w:val="24"/>
          <w:szCs w:val="24"/>
        </w:rPr>
        <w:t xml:space="preserve"> therefore</w:t>
      </w:r>
      <w:r>
        <w:rPr>
          <w:rFonts w:ascii="Arial" w:hAnsi="Arial" w:cs="Arial"/>
          <w:sz w:val="24"/>
          <w:szCs w:val="24"/>
        </w:rPr>
        <w:t>,</w:t>
      </w:r>
      <w:r w:rsidR="00F34EC7" w:rsidRPr="001965B7">
        <w:rPr>
          <w:rFonts w:ascii="Arial" w:hAnsi="Arial" w:cs="Arial"/>
          <w:sz w:val="24"/>
          <w:szCs w:val="24"/>
        </w:rPr>
        <w:t xml:space="preserve"> functions as both a defensive and strategic advantage, protecting market share and ensuring consistent product delivery.</w:t>
      </w:r>
    </w:p>
    <w:p w14:paraId="4931C1A4" w14:textId="77777777" w:rsidR="0038612B" w:rsidRPr="001965B7" w:rsidRDefault="0038612B" w:rsidP="0038612B">
      <w:pPr>
        <w:pStyle w:val="ListParagraph"/>
        <w:spacing w:line="276" w:lineRule="auto"/>
        <w:jc w:val="both"/>
        <w:rPr>
          <w:rFonts w:ascii="Arial" w:hAnsi="Arial" w:cs="Arial"/>
          <w:sz w:val="24"/>
          <w:szCs w:val="24"/>
        </w:rPr>
      </w:pPr>
    </w:p>
    <w:p w14:paraId="7B280417" w14:textId="05238149" w:rsidR="00F34EC7" w:rsidRPr="001965B7" w:rsidRDefault="0038612B" w:rsidP="001965B7">
      <w:pPr>
        <w:pStyle w:val="ListParagraph"/>
        <w:numPr>
          <w:ilvl w:val="0"/>
          <w:numId w:val="1"/>
        </w:numPr>
        <w:spacing w:line="276" w:lineRule="auto"/>
        <w:jc w:val="both"/>
        <w:rPr>
          <w:rFonts w:ascii="Arial" w:hAnsi="Arial" w:cs="Arial"/>
          <w:sz w:val="24"/>
          <w:szCs w:val="24"/>
        </w:rPr>
      </w:pPr>
      <w:r>
        <w:rPr>
          <w:rFonts w:ascii="Arial" w:hAnsi="Arial" w:cs="Arial"/>
          <w:b/>
          <w:bCs/>
          <w:noProof/>
          <w:sz w:val="24"/>
          <w:szCs w:val="24"/>
        </w:rPr>
        <w:drawing>
          <wp:anchor distT="0" distB="0" distL="114300" distR="114300" simplePos="0" relativeHeight="251658752" behindDoc="0" locked="0" layoutInCell="1" allowOverlap="1" wp14:anchorId="3E2373BC" wp14:editId="60E84EDC">
            <wp:simplePos x="0" y="0"/>
            <wp:positionH relativeFrom="column">
              <wp:posOffset>457200</wp:posOffset>
            </wp:positionH>
            <wp:positionV relativeFrom="paragraph">
              <wp:posOffset>2540</wp:posOffset>
            </wp:positionV>
            <wp:extent cx="2109600" cy="1256400"/>
            <wp:effectExtent l="0" t="0" r="0" b="0"/>
            <wp:wrapSquare wrapText="bothSides"/>
            <wp:docPr id="28238789" name="Picture 2" descr="A group of people writing on a chalk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38789" name="Picture 2" descr="A group of people writing on a chalkboar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09600" cy="1256400"/>
                    </a:xfrm>
                    <a:prstGeom prst="rect">
                      <a:avLst/>
                    </a:prstGeom>
                  </pic:spPr>
                </pic:pic>
              </a:graphicData>
            </a:graphic>
          </wp:anchor>
        </w:drawing>
      </w:r>
      <w:r w:rsidR="00F34EC7" w:rsidRPr="001965B7">
        <w:rPr>
          <w:rFonts w:ascii="Arial" w:hAnsi="Arial" w:cs="Arial"/>
          <w:b/>
          <w:bCs/>
          <w:sz w:val="24"/>
          <w:szCs w:val="24"/>
        </w:rPr>
        <w:t>Sustainability leadership</w:t>
      </w:r>
      <w:r w:rsidR="00F34EC7" w:rsidRPr="001965B7">
        <w:rPr>
          <w:rFonts w:ascii="Arial" w:hAnsi="Arial" w:cs="Arial"/>
          <w:sz w:val="24"/>
          <w:szCs w:val="24"/>
        </w:rPr>
        <w:t xml:space="preserve"> represents another opportunity. AstraZeneca’s </w:t>
      </w:r>
      <w:r w:rsidR="00F34EC7" w:rsidRPr="001965B7">
        <w:rPr>
          <w:rFonts w:ascii="Arial" w:hAnsi="Arial" w:cs="Arial"/>
          <w:i/>
          <w:iCs/>
          <w:sz w:val="24"/>
          <w:szCs w:val="24"/>
        </w:rPr>
        <w:t>Ambition Zero Carbon</w:t>
      </w:r>
      <w:r w:rsidR="00F34EC7" w:rsidRPr="001965B7">
        <w:rPr>
          <w:rFonts w:ascii="Arial" w:hAnsi="Arial" w:cs="Arial"/>
          <w:sz w:val="24"/>
          <w:szCs w:val="24"/>
        </w:rPr>
        <w:t xml:space="preserve"> programme aligns closely with the European Union’s Corporate Sustainability Reporting Directive (CSRD), reinforcing its image as an ethically responsible corporation (European Commission, 2024). Early compliance with such frameworks enhances investor confidence and may secure access to sustainability-linked financing, strengthening the company’s long-term competitive advantage.</w:t>
      </w:r>
    </w:p>
    <w:p w14:paraId="1D1CDD39" w14:textId="1FC56284" w:rsidR="0038612B" w:rsidRDefault="0038612B" w:rsidP="001965B7">
      <w:pPr>
        <w:pStyle w:val="Heading1"/>
        <w:rPr>
          <w:color w:val="auto"/>
        </w:rPr>
      </w:pPr>
    </w:p>
    <w:p w14:paraId="4931E895" w14:textId="7CAC73D2" w:rsidR="00F34EC7" w:rsidRPr="001965B7" w:rsidRDefault="00F34EC7" w:rsidP="001965B7">
      <w:pPr>
        <w:pStyle w:val="Heading1"/>
        <w:rPr>
          <w:color w:val="auto"/>
        </w:rPr>
      </w:pPr>
      <w:r w:rsidRPr="001965B7">
        <w:rPr>
          <w:color w:val="auto"/>
        </w:rPr>
        <w:t>Challenges</w:t>
      </w:r>
    </w:p>
    <w:p w14:paraId="35F2DD43" w14:textId="7EE4421C" w:rsidR="001965B7" w:rsidRPr="001965B7" w:rsidRDefault="0038612B" w:rsidP="001965B7">
      <w:pPr>
        <w:spacing w:line="276" w:lineRule="auto"/>
        <w:jc w:val="both"/>
        <w:rPr>
          <w:rFonts w:ascii="Arial" w:hAnsi="Arial" w:cs="Arial"/>
          <w:sz w:val="24"/>
          <w:szCs w:val="24"/>
        </w:rPr>
      </w:pPr>
      <w:r>
        <w:rPr>
          <w:noProof/>
        </w:rPr>
        <w:drawing>
          <wp:anchor distT="0" distB="0" distL="114300" distR="114300" simplePos="0" relativeHeight="251656704" behindDoc="0" locked="0" layoutInCell="1" allowOverlap="1" wp14:anchorId="3D8BA035" wp14:editId="09087999">
            <wp:simplePos x="0" y="0"/>
            <wp:positionH relativeFrom="column">
              <wp:posOffset>38100</wp:posOffset>
            </wp:positionH>
            <wp:positionV relativeFrom="paragraph">
              <wp:posOffset>27940</wp:posOffset>
            </wp:positionV>
            <wp:extent cx="2033905" cy="1550035"/>
            <wp:effectExtent l="0" t="0" r="0" b="0"/>
            <wp:wrapSquare wrapText="bothSides"/>
            <wp:docPr id="129819700" name="Picture 4" descr="A person riding a blue arrow over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19700" name="Picture 4" descr="A person riding a blue arrow over a word&#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33905" cy="1550035"/>
                    </a:xfrm>
                    <a:prstGeom prst="rect">
                      <a:avLst/>
                    </a:prstGeom>
                  </pic:spPr>
                </pic:pic>
              </a:graphicData>
            </a:graphic>
            <wp14:sizeRelH relativeFrom="margin">
              <wp14:pctWidth>0</wp14:pctWidth>
            </wp14:sizeRelH>
            <wp14:sizeRelV relativeFrom="margin">
              <wp14:pctHeight>0</wp14:pctHeight>
            </wp14:sizeRelV>
          </wp:anchor>
        </w:drawing>
      </w:r>
      <w:r w:rsidR="00F34EC7" w:rsidRPr="001965B7">
        <w:rPr>
          <w:rFonts w:ascii="Arial" w:hAnsi="Arial" w:cs="Arial"/>
          <w:sz w:val="24"/>
          <w:szCs w:val="24"/>
        </w:rPr>
        <w:t xml:space="preserve">Despite these benefits, several obstacles accompany these same forces. </w:t>
      </w:r>
    </w:p>
    <w:p w14:paraId="1AB46A48" w14:textId="2F0A3729" w:rsidR="00F34EC7" w:rsidRPr="001965B7" w:rsidRDefault="00F34EC7" w:rsidP="001965B7">
      <w:pPr>
        <w:pStyle w:val="ListParagraph"/>
        <w:numPr>
          <w:ilvl w:val="0"/>
          <w:numId w:val="2"/>
        </w:numPr>
        <w:spacing w:line="276" w:lineRule="auto"/>
        <w:jc w:val="both"/>
        <w:rPr>
          <w:rFonts w:ascii="Arial" w:hAnsi="Arial" w:cs="Arial"/>
          <w:sz w:val="24"/>
          <w:szCs w:val="24"/>
        </w:rPr>
      </w:pPr>
      <w:r w:rsidRPr="001965B7">
        <w:rPr>
          <w:rFonts w:ascii="Arial" w:hAnsi="Arial" w:cs="Arial"/>
          <w:b/>
          <w:bCs/>
          <w:sz w:val="24"/>
          <w:szCs w:val="24"/>
        </w:rPr>
        <w:t>Technological transformation</w:t>
      </w:r>
      <w:r w:rsidRPr="001965B7">
        <w:rPr>
          <w:rFonts w:ascii="Arial" w:hAnsi="Arial" w:cs="Arial"/>
          <w:sz w:val="24"/>
          <w:szCs w:val="24"/>
        </w:rPr>
        <w:t xml:space="preserve"> demands substantial investment in digital infrastructure, specialised staff and data-governance systems (Bednarski, 2025). Strict privacy rules under the General Data Protection Regulation add compliance costs, while uncertainty about the reliability of predictive models increases financial risk (De La Pava, 2025).</w:t>
      </w:r>
    </w:p>
    <w:p w14:paraId="165E10F1" w14:textId="77777777" w:rsidR="00F34EC7" w:rsidRPr="001965B7" w:rsidRDefault="00F34EC7" w:rsidP="001965B7">
      <w:pPr>
        <w:pStyle w:val="ListParagraph"/>
        <w:numPr>
          <w:ilvl w:val="0"/>
          <w:numId w:val="2"/>
        </w:numPr>
        <w:spacing w:line="276" w:lineRule="auto"/>
        <w:jc w:val="both"/>
        <w:rPr>
          <w:rFonts w:ascii="Arial" w:hAnsi="Arial" w:cs="Arial"/>
          <w:sz w:val="24"/>
          <w:szCs w:val="24"/>
        </w:rPr>
      </w:pPr>
      <w:r w:rsidRPr="001965B7">
        <w:rPr>
          <w:rFonts w:ascii="Arial" w:hAnsi="Arial" w:cs="Arial"/>
          <w:b/>
          <w:bCs/>
          <w:sz w:val="24"/>
          <w:szCs w:val="24"/>
        </w:rPr>
        <w:t>Geopolitical volatility</w:t>
      </w:r>
      <w:r w:rsidRPr="001965B7">
        <w:rPr>
          <w:rFonts w:ascii="Arial" w:hAnsi="Arial" w:cs="Arial"/>
          <w:sz w:val="24"/>
          <w:szCs w:val="24"/>
        </w:rPr>
        <w:t xml:space="preserve"> remains a major constraint. Pharmaceutical supply chains depend on uninterrupted global logistics, yet events such as the Red Sea shipping crisis have disrupted raw-material flows and raised transport costs (World Economic Forum, 2024). AstraZeneca must maintain additional suppliers and inventory buffers to mitigate these risks, which safeguards operations but reduces efficiency. Political instability in emerging markets further complicates expansion and long-term investment planning.</w:t>
      </w:r>
    </w:p>
    <w:p w14:paraId="31BCBDA6" w14:textId="77777777" w:rsidR="00F34EC7" w:rsidRPr="001965B7" w:rsidRDefault="00F34EC7" w:rsidP="001965B7">
      <w:pPr>
        <w:pStyle w:val="ListParagraph"/>
        <w:numPr>
          <w:ilvl w:val="0"/>
          <w:numId w:val="2"/>
        </w:numPr>
        <w:spacing w:line="276" w:lineRule="auto"/>
        <w:jc w:val="both"/>
        <w:rPr>
          <w:rFonts w:ascii="Arial" w:hAnsi="Arial" w:cs="Arial"/>
          <w:sz w:val="24"/>
          <w:szCs w:val="24"/>
        </w:rPr>
      </w:pPr>
      <w:r w:rsidRPr="001965B7">
        <w:rPr>
          <w:rFonts w:ascii="Arial" w:hAnsi="Arial" w:cs="Arial"/>
          <w:b/>
          <w:bCs/>
          <w:sz w:val="24"/>
          <w:szCs w:val="24"/>
        </w:rPr>
        <w:t>Sustainability regulation</w:t>
      </w:r>
      <w:r w:rsidRPr="001965B7">
        <w:rPr>
          <w:rFonts w:ascii="Arial" w:hAnsi="Arial" w:cs="Arial"/>
          <w:sz w:val="24"/>
          <w:szCs w:val="24"/>
        </w:rPr>
        <w:t xml:space="preserve"> also poses burdens. Meeting the CSRD’s disclosure requirements requires extensive data collection and verification across more than 100 sites worldwide (European Commission, 2024). Furthermore, balancing environmental goals with equitable medicine access in lower-income markets generates ethical and operational dilemmas (BMJ, 2025). The need to align global reporting, compliance, and social-impact objectives increases managerial complexity and cost.</w:t>
      </w:r>
    </w:p>
    <w:p w14:paraId="7A1C289A" w14:textId="77777777" w:rsidR="00F34EC7" w:rsidRPr="00F34EC7" w:rsidRDefault="00F34EC7" w:rsidP="001965B7">
      <w:pPr>
        <w:spacing w:line="276" w:lineRule="auto"/>
        <w:jc w:val="both"/>
        <w:rPr>
          <w:rFonts w:ascii="Arial" w:hAnsi="Arial" w:cs="Arial"/>
          <w:sz w:val="24"/>
          <w:szCs w:val="24"/>
        </w:rPr>
      </w:pPr>
      <w:r w:rsidRPr="00F34EC7">
        <w:rPr>
          <w:rFonts w:ascii="Arial" w:hAnsi="Arial" w:cs="Arial"/>
          <w:sz w:val="24"/>
          <w:szCs w:val="24"/>
        </w:rPr>
        <w:t>Overall, AstraZeneca benefits from technological and sustainability trends that promote innovation and corporate responsibility, yet faces challenges arising from high implementation costs, regulatory demands, and political uncertainty. Its ability to convert these global pressures into strategic advantage depends on sustaining innovation, improving risk management, and maintaining agility across its international operations.</w:t>
      </w:r>
    </w:p>
    <w:p w14:paraId="51CC3980" w14:textId="77777777" w:rsidR="0038612B" w:rsidRDefault="0038612B" w:rsidP="00D20F00">
      <w:pPr>
        <w:pStyle w:val="Title"/>
      </w:pPr>
    </w:p>
    <w:p w14:paraId="3CF02910" w14:textId="77777777" w:rsidR="0038612B" w:rsidRDefault="0038612B" w:rsidP="00D20F00">
      <w:pPr>
        <w:pStyle w:val="Title"/>
      </w:pPr>
    </w:p>
    <w:p w14:paraId="2944C236" w14:textId="77777777" w:rsidR="00DE33F4" w:rsidRDefault="00DE33F4" w:rsidP="00D20F00">
      <w:pPr>
        <w:pStyle w:val="Title"/>
      </w:pPr>
    </w:p>
    <w:p w14:paraId="759C5A56" w14:textId="77777777" w:rsidR="00DE33F4" w:rsidRDefault="00DE33F4" w:rsidP="00D20F00">
      <w:pPr>
        <w:pStyle w:val="Title"/>
      </w:pPr>
    </w:p>
    <w:p w14:paraId="112E2FEA" w14:textId="4DDB6AC8" w:rsidR="003E5F83" w:rsidRDefault="00D20F00" w:rsidP="00D20F00">
      <w:pPr>
        <w:pStyle w:val="Title"/>
      </w:pPr>
      <w:r w:rsidRPr="00D20F00">
        <w:lastRenderedPageBreak/>
        <w:t>Impact on the Organisation</w:t>
      </w:r>
    </w:p>
    <w:p w14:paraId="3AA9D4A8" w14:textId="77777777" w:rsidR="003E5F83" w:rsidRDefault="003E5F83"/>
    <w:p w14:paraId="22FD055A" w14:textId="1CBD8D7E" w:rsidR="0063792D" w:rsidRPr="0063792D" w:rsidRDefault="0063792D" w:rsidP="0063792D">
      <w:pPr>
        <w:spacing w:line="276" w:lineRule="auto"/>
        <w:jc w:val="both"/>
      </w:pPr>
      <w:r w:rsidRPr="0063792D">
        <w:rPr>
          <w:rStyle w:val="Heading1Char"/>
          <w:color w:val="auto"/>
        </w:rPr>
        <w:t>Market positioning</w:t>
      </w:r>
      <w:r w:rsidRPr="0063792D">
        <w:br/>
      </w:r>
      <w:r w:rsidRPr="0063792D">
        <w:rPr>
          <w:rFonts w:ascii="Arial" w:hAnsi="Arial" w:cs="Arial"/>
          <w:sz w:val="24"/>
          <w:szCs w:val="24"/>
        </w:rPr>
        <w:t xml:space="preserve">AstraZeneca’s proactive adoption of advanced data-driven methods has reinforced its reputation as a science-led innovator. Investment in digital partnerships has improved research productivity and strengthened the brand’s image as an evidence-based pharmaceutical leader (AstraZeneca PLC, 2024). This strategic positioning enhances investor and stakeholder confidence, aligning the firm with the global shift toward precision medicine. However, technological dependence also increases exposure to </w:t>
      </w:r>
      <w:r>
        <w:rPr>
          <w:rFonts w:ascii="Arial" w:hAnsi="Arial" w:cs="Arial"/>
          <w:sz w:val="24"/>
          <w:szCs w:val="24"/>
        </w:rPr>
        <w:t>cybersecurity</w:t>
      </w:r>
      <w:r w:rsidRPr="0063792D">
        <w:rPr>
          <w:rFonts w:ascii="Arial" w:hAnsi="Arial" w:cs="Arial"/>
          <w:sz w:val="24"/>
          <w:szCs w:val="24"/>
        </w:rPr>
        <w:t xml:space="preserve"> risk and regulatory scrutiny, which can undermine public trust if data breaches occur (Bednarski, 2025).</w:t>
      </w:r>
    </w:p>
    <w:p w14:paraId="5FC311BB" w14:textId="635A955C" w:rsidR="0063792D" w:rsidRPr="0063792D" w:rsidRDefault="0063792D" w:rsidP="0063792D">
      <w:pPr>
        <w:spacing w:line="276" w:lineRule="auto"/>
        <w:jc w:val="both"/>
        <w:rPr>
          <w:rFonts w:ascii="Arial" w:hAnsi="Arial" w:cs="Arial"/>
          <w:sz w:val="24"/>
          <w:szCs w:val="24"/>
        </w:rPr>
      </w:pPr>
      <w:r w:rsidRPr="0063792D">
        <w:rPr>
          <w:rStyle w:val="Heading1Char"/>
          <w:color w:val="auto"/>
        </w:rPr>
        <w:t>Innovation capacity</w:t>
      </w:r>
      <w:r w:rsidRPr="0063792D">
        <w:br/>
      </w:r>
      <w:r w:rsidRPr="0063792D">
        <w:rPr>
          <w:rFonts w:ascii="Arial" w:hAnsi="Arial" w:cs="Arial"/>
          <w:sz w:val="24"/>
          <w:szCs w:val="24"/>
        </w:rPr>
        <w:t>The integration of computational tools and cross-disciplinary collaboration has accelerated drug discovery, enabling AstraZeneca to shorten development cycles and expand its pipeline (De La Pava, 2025). Yet, this innovation model demands continuous capital investment and adaptation to complex data-compliance standards, which can reduce short-term profitability. Geopolitical instability adds further uncertainty by threatening the continuity of supply for critical ingredients, potentially delaying product launches and eroding first-mover advantage (World Economic Forum, 2024).</w:t>
      </w:r>
    </w:p>
    <w:p w14:paraId="598C0A13" w14:textId="5ADC48A6" w:rsidR="0063792D" w:rsidRPr="0063792D" w:rsidRDefault="0063792D" w:rsidP="0063792D">
      <w:pPr>
        <w:spacing w:line="276" w:lineRule="auto"/>
        <w:jc w:val="both"/>
        <w:rPr>
          <w:rFonts w:ascii="Arial" w:hAnsi="Arial" w:cs="Arial"/>
          <w:sz w:val="24"/>
          <w:szCs w:val="24"/>
        </w:rPr>
      </w:pPr>
      <w:r w:rsidRPr="0063792D">
        <w:rPr>
          <w:rStyle w:val="Heading1Char"/>
          <w:color w:val="auto"/>
        </w:rPr>
        <w:t>Talent management</w:t>
      </w:r>
      <w:r w:rsidRPr="0063792D">
        <w:br/>
      </w:r>
      <w:r w:rsidRPr="0063792D">
        <w:rPr>
          <w:rFonts w:ascii="Arial" w:hAnsi="Arial" w:cs="Arial"/>
          <w:sz w:val="24"/>
          <w:szCs w:val="24"/>
        </w:rPr>
        <w:t>AstraZeneca’s global reach requires a workforce skilled in digital science, regulatory affairs and sustainability management. The company has invested in employee development programmes to build analytical and technical capabilities, improving retention and organisational learning (AstraZeneca PLC, 2024). Nevertheless, competition for such talent is intense across the sector. Recruiting and retaining high-skill professionals increases labour costs and may exacerbate inequalities between advanced and emerging markets where AstraZeneca operates (BMJ, 2025).</w:t>
      </w:r>
    </w:p>
    <w:p w14:paraId="6C6B5E41" w14:textId="3E7CE7B7" w:rsidR="0063792D" w:rsidRPr="0063792D" w:rsidRDefault="0063792D" w:rsidP="0063792D">
      <w:pPr>
        <w:spacing w:line="276" w:lineRule="auto"/>
        <w:jc w:val="both"/>
      </w:pPr>
      <w:r w:rsidRPr="0063792D">
        <w:rPr>
          <w:rStyle w:val="Heading1Char"/>
          <w:color w:val="auto"/>
        </w:rPr>
        <w:t>Competitiveness</w:t>
      </w:r>
      <w:r w:rsidRPr="0063792D">
        <w:br/>
      </w:r>
      <w:r w:rsidRPr="0063792D">
        <w:rPr>
          <w:rFonts w:ascii="Arial" w:hAnsi="Arial" w:cs="Arial"/>
          <w:sz w:val="24"/>
          <w:szCs w:val="24"/>
        </w:rPr>
        <w:t>The integration of sustainability objectives into strategic planning</w:t>
      </w:r>
      <w:r w:rsidR="00DE33F4">
        <w:rPr>
          <w:rFonts w:ascii="Arial" w:hAnsi="Arial" w:cs="Arial"/>
          <w:sz w:val="24"/>
          <w:szCs w:val="24"/>
        </w:rPr>
        <w:t xml:space="preserve">, </w:t>
      </w:r>
      <w:r w:rsidRPr="0063792D">
        <w:rPr>
          <w:rFonts w:ascii="Arial" w:hAnsi="Arial" w:cs="Arial"/>
          <w:sz w:val="24"/>
          <w:szCs w:val="24"/>
        </w:rPr>
        <w:t xml:space="preserve">particularly the </w:t>
      </w:r>
      <w:r w:rsidRPr="0063792D">
        <w:rPr>
          <w:rFonts w:ascii="Arial" w:hAnsi="Arial" w:cs="Arial"/>
          <w:i/>
          <w:iCs/>
          <w:sz w:val="24"/>
          <w:szCs w:val="24"/>
        </w:rPr>
        <w:t>Ambition Zero Carbon</w:t>
      </w:r>
      <w:r w:rsidRPr="0063792D">
        <w:rPr>
          <w:rFonts w:ascii="Arial" w:hAnsi="Arial" w:cs="Arial"/>
          <w:sz w:val="24"/>
          <w:szCs w:val="24"/>
        </w:rPr>
        <w:t xml:space="preserve"> programme</w:t>
      </w:r>
      <w:r w:rsidR="00DE33F4">
        <w:rPr>
          <w:rFonts w:ascii="Arial" w:hAnsi="Arial" w:cs="Arial"/>
          <w:sz w:val="24"/>
          <w:szCs w:val="24"/>
        </w:rPr>
        <w:t xml:space="preserve">, </w:t>
      </w:r>
      <w:r w:rsidRPr="0063792D">
        <w:rPr>
          <w:rFonts w:ascii="Arial" w:hAnsi="Arial" w:cs="Arial"/>
          <w:sz w:val="24"/>
          <w:szCs w:val="24"/>
        </w:rPr>
        <w:t xml:space="preserve">has differentiated AstraZeneca from competitors less advanced in ESG alignment (European Commission, 2024). Strong environmental performance can enhance access to green financing and procurement opportunities. However, heightened disclosure and reporting requirements under the CSRD impose administrative costs that smaller rivals may avoid, creating potential disadvantages in cost structure. In sum, while these global </w:t>
      </w:r>
      <w:r w:rsidRPr="0063792D">
        <w:rPr>
          <w:rFonts w:ascii="Arial" w:hAnsi="Arial" w:cs="Arial"/>
          <w:sz w:val="24"/>
          <w:szCs w:val="24"/>
        </w:rPr>
        <w:lastRenderedPageBreak/>
        <w:t>forces have strengthened AstraZeneca’s innovation and ethical positioning, they simultaneously increase operational and financial pressures that must be managed through strategic agility and continual capability building.</w:t>
      </w:r>
    </w:p>
    <w:p w14:paraId="3A89F581" w14:textId="77777777" w:rsidR="003E5F83" w:rsidRDefault="003E5F83"/>
    <w:p w14:paraId="1686A4B4" w14:textId="116A1CEB" w:rsidR="000D4FF7" w:rsidRPr="000D4FF7" w:rsidRDefault="007D0838" w:rsidP="00ED5CC2">
      <w:pPr>
        <w:pStyle w:val="Title"/>
      </w:pPr>
      <w:r>
        <w:rPr>
          <w:rFonts w:ascii="Arial" w:hAnsi="Arial" w:cs="Arial"/>
          <w:noProof/>
          <w:sz w:val="24"/>
          <w:szCs w:val="24"/>
        </w:rPr>
        <w:drawing>
          <wp:anchor distT="0" distB="0" distL="114300" distR="114300" simplePos="0" relativeHeight="251661824" behindDoc="0" locked="0" layoutInCell="1" allowOverlap="1" wp14:anchorId="79719DEA" wp14:editId="4B26456F">
            <wp:simplePos x="0" y="0"/>
            <wp:positionH relativeFrom="column">
              <wp:posOffset>0</wp:posOffset>
            </wp:positionH>
            <wp:positionV relativeFrom="paragraph">
              <wp:posOffset>488315</wp:posOffset>
            </wp:positionV>
            <wp:extent cx="1479550" cy="1082040"/>
            <wp:effectExtent l="0" t="0" r="0" b="0"/>
            <wp:wrapSquare wrapText="bothSides"/>
            <wp:docPr id="1072015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1505" name="Picture 10720150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79550" cy="1082040"/>
                    </a:xfrm>
                    <a:prstGeom prst="rect">
                      <a:avLst/>
                    </a:prstGeom>
                  </pic:spPr>
                </pic:pic>
              </a:graphicData>
            </a:graphic>
            <wp14:sizeRelH relativeFrom="margin">
              <wp14:pctWidth>0</wp14:pctWidth>
            </wp14:sizeRelH>
            <wp14:sizeRelV relativeFrom="margin">
              <wp14:pctHeight>0</wp14:pctHeight>
            </wp14:sizeRelV>
          </wp:anchor>
        </w:drawing>
      </w:r>
      <w:r w:rsidR="000D4FF7" w:rsidRPr="000D4FF7">
        <w:t>Strategic Recommendations</w:t>
      </w:r>
    </w:p>
    <w:p w14:paraId="46693E3E" w14:textId="387C3E2D" w:rsidR="000D4FF7" w:rsidRPr="000D4FF7" w:rsidRDefault="000D4FF7" w:rsidP="0038612B">
      <w:pPr>
        <w:spacing w:line="276" w:lineRule="auto"/>
        <w:jc w:val="both"/>
        <w:rPr>
          <w:rFonts w:ascii="Arial" w:hAnsi="Arial" w:cs="Arial"/>
          <w:sz w:val="24"/>
          <w:szCs w:val="24"/>
        </w:rPr>
      </w:pPr>
      <w:r w:rsidRPr="000D4FF7">
        <w:rPr>
          <w:rFonts w:ascii="Arial" w:hAnsi="Arial" w:cs="Arial"/>
          <w:sz w:val="24"/>
          <w:szCs w:val="24"/>
        </w:rPr>
        <w:t>To strengthen its international strategy in response to rapid artificial intelligence (AI) adoption, geopolitical volatility, and tightening sustainability regulation, AstraZeneca should adopt an integrated set of strategic actions.</w:t>
      </w:r>
    </w:p>
    <w:p w14:paraId="4E85BAD9" w14:textId="22DF2E35" w:rsidR="000D4FF7" w:rsidRPr="000D4FF7" w:rsidRDefault="000D4FF7" w:rsidP="0038612B">
      <w:pPr>
        <w:spacing w:line="276" w:lineRule="auto"/>
        <w:jc w:val="both"/>
        <w:rPr>
          <w:rFonts w:ascii="Arial" w:hAnsi="Arial" w:cs="Arial"/>
          <w:sz w:val="24"/>
          <w:szCs w:val="24"/>
        </w:rPr>
      </w:pPr>
      <w:r w:rsidRPr="000D4FF7">
        <w:rPr>
          <w:rStyle w:val="Heading2Char"/>
          <w:rFonts w:ascii="Arial" w:hAnsi="Arial" w:cs="Arial"/>
          <w:color w:val="auto"/>
        </w:rPr>
        <w:t>1. Deepen ethical AI and digital innovation</w:t>
      </w:r>
      <w:r w:rsidRPr="000D4FF7">
        <w:rPr>
          <w:rFonts w:ascii="Arial" w:hAnsi="Arial" w:cs="Arial"/>
        </w:rPr>
        <w:br/>
      </w:r>
      <w:r w:rsidRPr="000D4FF7">
        <w:rPr>
          <w:rFonts w:ascii="Arial" w:hAnsi="Arial" w:cs="Arial"/>
          <w:sz w:val="24"/>
          <w:szCs w:val="24"/>
        </w:rPr>
        <w:t xml:space="preserve">AstraZeneca should continue to expand its collaborations with AI-focused research partners to accelerate drug discovery while ensuring transparent and responsible data management (AstraZeneca PLC, 2024). Establishing an internal </w:t>
      </w:r>
      <w:r w:rsidRPr="000D4FF7">
        <w:rPr>
          <w:rFonts w:ascii="Arial" w:hAnsi="Arial" w:cs="Arial"/>
          <w:i/>
          <w:iCs/>
          <w:sz w:val="24"/>
          <w:szCs w:val="24"/>
        </w:rPr>
        <w:t>AI Ethics and Governance Board</w:t>
      </w:r>
      <w:r w:rsidRPr="000D4FF7">
        <w:rPr>
          <w:rFonts w:ascii="Arial" w:hAnsi="Arial" w:cs="Arial"/>
          <w:sz w:val="24"/>
          <w:szCs w:val="24"/>
        </w:rPr>
        <w:t xml:space="preserve"> would enhance accountability, align practices with emerging international standards, and help prevent regulatory or reputational risks (Bednarski, 2025). Ethical AI leadership would consolidate the company’s image as an innovative yet responsible biopharmaceutical firm.</w:t>
      </w:r>
    </w:p>
    <w:p w14:paraId="7B5DE701" w14:textId="77777777" w:rsidR="000D4FF7" w:rsidRPr="000D4FF7" w:rsidRDefault="000D4FF7" w:rsidP="0038612B">
      <w:pPr>
        <w:spacing w:line="276" w:lineRule="auto"/>
        <w:jc w:val="both"/>
        <w:rPr>
          <w:rFonts w:ascii="Arial" w:hAnsi="Arial" w:cs="Arial"/>
          <w:sz w:val="24"/>
          <w:szCs w:val="24"/>
        </w:rPr>
      </w:pPr>
      <w:r w:rsidRPr="000D4FF7">
        <w:rPr>
          <w:rStyle w:val="Heading2Char"/>
          <w:rFonts w:ascii="Arial" w:hAnsi="Arial" w:cs="Arial"/>
          <w:color w:val="auto"/>
        </w:rPr>
        <w:t>2. Build supply-chain resilience through localisation and digital intelligence.</w:t>
      </w:r>
      <w:r w:rsidRPr="000D4FF7">
        <w:rPr>
          <w:rFonts w:ascii="Arial" w:hAnsi="Arial" w:cs="Arial"/>
        </w:rPr>
        <w:br/>
      </w:r>
      <w:r w:rsidRPr="000D4FF7">
        <w:rPr>
          <w:rFonts w:ascii="Arial" w:hAnsi="Arial" w:cs="Arial"/>
          <w:sz w:val="24"/>
          <w:szCs w:val="24"/>
        </w:rPr>
        <w:t>AI-driven analytics could improve demand forecasting and early-warning systems for potential disruptions (World Economic Forum, 2024). AstraZeneca should invest in regionalised manufacturing hubs and deploy predictive supply-chain technologies to reduce exposure to geopolitical shocks and trade restrictions, thereby ensuring consistent product availability worldwide.</w:t>
      </w:r>
    </w:p>
    <w:p w14:paraId="5C73F8D6" w14:textId="2D2C4F94" w:rsidR="000D4FF7" w:rsidRPr="000D4FF7" w:rsidRDefault="000D4FF7" w:rsidP="0038612B">
      <w:pPr>
        <w:spacing w:line="276" w:lineRule="auto"/>
        <w:jc w:val="both"/>
        <w:rPr>
          <w:rFonts w:ascii="Arial" w:hAnsi="Arial" w:cs="Arial"/>
          <w:sz w:val="24"/>
          <w:szCs w:val="24"/>
        </w:rPr>
      </w:pPr>
      <w:r w:rsidRPr="000D4FF7">
        <w:rPr>
          <w:rStyle w:val="Heading2Char"/>
          <w:rFonts w:ascii="Arial" w:hAnsi="Arial" w:cs="Arial"/>
          <w:color w:val="auto"/>
        </w:rPr>
        <w:t>3. Integrate sustainability and compliance into performance metrics</w:t>
      </w:r>
      <w:r w:rsidRPr="000D4FF7">
        <w:rPr>
          <w:rFonts w:ascii="Arial" w:hAnsi="Arial" w:cs="Arial"/>
        </w:rPr>
        <w:br/>
      </w:r>
      <w:r w:rsidRPr="000D4FF7">
        <w:rPr>
          <w:rFonts w:ascii="Arial" w:hAnsi="Arial" w:cs="Arial"/>
          <w:sz w:val="24"/>
          <w:szCs w:val="24"/>
        </w:rPr>
        <w:t>To maintain its leadership under the EU Corporate Sustainability Reporting Directive, AstraZeneca should link sustainability outcomes</w:t>
      </w:r>
      <w:r w:rsidR="00DE33F4">
        <w:rPr>
          <w:rFonts w:ascii="Arial" w:hAnsi="Arial" w:cs="Arial"/>
          <w:sz w:val="24"/>
          <w:szCs w:val="24"/>
        </w:rPr>
        <w:t xml:space="preserve"> (</w:t>
      </w:r>
      <w:r w:rsidRPr="000D4FF7">
        <w:rPr>
          <w:rFonts w:ascii="Arial" w:hAnsi="Arial" w:cs="Arial"/>
          <w:sz w:val="24"/>
          <w:szCs w:val="24"/>
        </w:rPr>
        <w:t>such as emissions reduction and equitable access to medicines</w:t>
      </w:r>
      <w:r w:rsidR="00DE33F4">
        <w:rPr>
          <w:rFonts w:ascii="Arial" w:hAnsi="Arial" w:cs="Arial"/>
          <w:sz w:val="24"/>
          <w:szCs w:val="24"/>
        </w:rPr>
        <w:t xml:space="preserve">) </w:t>
      </w:r>
      <w:r w:rsidRPr="000D4FF7">
        <w:rPr>
          <w:rFonts w:ascii="Arial" w:hAnsi="Arial" w:cs="Arial"/>
          <w:sz w:val="24"/>
          <w:szCs w:val="24"/>
        </w:rPr>
        <w:t>to executive incentives and supplier performance criteria (European Commission, 2024). This alignment would embed accountability and support long-term competitiveness through responsible growth.</w:t>
      </w:r>
    </w:p>
    <w:p w14:paraId="681E2419" w14:textId="77777777" w:rsidR="000D4FF7" w:rsidRPr="000D4FF7" w:rsidRDefault="000D4FF7" w:rsidP="0038612B">
      <w:pPr>
        <w:spacing w:line="276" w:lineRule="auto"/>
        <w:jc w:val="both"/>
        <w:rPr>
          <w:rFonts w:ascii="Arial" w:hAnsi="Arial" w:cs="Arial"/>
          <w:sz w:val="24"/>
          <w:szCs w:val="24"/>
        </w:rPr>
      </w:pPr>
      <w:r w:rsidRPr="000D4FF7">
        <w:rPr>
          <w:rFonts w:ascii="Arial" w:hAnsi="Arial" w:cs="Arial"/>
          <w:sz w:val="24"/>
          <w:szCs w:val="24"/>
        </w:rPr>
        <w:t>Through these measures, AstraZeneca can transform global pressures surrounding AI, geopolitics and sustainability into sources of strategic advantage and sustained innovation.</w:t>
      </w:r>
    </w:p>
    <w:p w14:paraId="308CD0C2" w14:textId="77777777" w:rsidR="007D0838" w:rsidRDefault="007D0838" w:rsidP="008D51FA">
      <w:pPr>
        <w:spacing w:line="276" w:lineRule="auto"/>
        <w:jc w:val="both"/>
        <w:rPr>
          <w:rFonts w:ascii="Arial" w:hAnsi="Arial" w:cs="Arial"/>
          <w:b/>
          <w:bCs/>
          <w:sz w:val="24"/>
          <w:szCs w:val="24"/>
        </w:rPr>
      </w:pPr>
    </w:p>
    <w:p w14:paraId="73E5DED7" w14:textId="77777777" w:rsidR="007D0838" w:rsidRDefault="007D0838" w:rsidP="008D51FA">
      <w:pPr>
        <w:spacing w:line="276" w:lineRule="auto"/>
        <w:jc w:val="both"/>
        <w:rPr>
          <w:rFonts w:ascii="Arial" w:hAnsi="Arial" w:cs="Arial"/>
          <w:b/>
          <w:bCs/>
          <w:sz w:val="24"/>
          <w:szCs w:val="24"/>
        </w:rPr>
      </w:pPr>
    </w:p>
    <w:p w14:paraId="799D882D" w14:textId="25316B16" w:rsidR="008D51FA" w:rsidRPr="008D51FA" w:rsidRDefault="008D51FA" w:rsidP="008D51FA">
      <w:pPr>
        <w:spacing w:line="276" w:lineRule="auto"/>
        <w:jc w:val="both"/>
        <w:rPr>
          <w:rFonts w:ascii="Arial" w:hAnsi="Arial" w:cs="Arial"/>
          <w:b/>
          <w:bCs/>
          <w:sz w:val="24"/>
          <w:szCs w:val="24"/>
        </w:rPr>
      </w:pPr>
      <w:r w:rsidRPr="008D51FA">
        <w:rPr>
          <w:rFonts w:ascii="Arial" w:hAnsi="Arial" w:cs="Arial"/>
          <w:b/>
          <w:bCs/>
          <w:sz w:val="24"/>
          <w:szCs w:val="24"/>
        </w:rPr>
        <w:lastRenderedPageBreak/>
        <w:t>Conclusion</w:t>
      </w:r>
    </w:p>
    <w:p w14:paraId="2B7E170B" w14:textId="6DF34730" w:rsidR="008D51FA" w:rsidRPr="008D51FA" w:rsidRDefault="00DE33F4" w:rsidP="008D51FA">
      <w:pPr>
        <w:spacing w:line="276" w:lineRule="auto"/>
        <w:jc w:val="both"/>
        <w:rPr>
          <w:rFonts w:ascii="Arial" w:hAnsi="Arial" w:cs="Arial"/>
          <w:sz w:val="24"/>
          <w:szCs w:val="24"/>
        </w:rPr>
      </w:pPr>
      <w:r>
        <w:rPr>
          <w:rFonts w:ascii="Arial" w:hAnsi="Arial" w:cs="Arial"/>
          <w:sz w:val="24"/>
          <w:szCs w:val="24"/>
        </w:rPr>
        <w:t>In conclusion, the evaluation reveals that AstraZeneca functions in a worldwide landscape characterised by swift advancements in AI, geopolitical tensions, and increasing sustainability regulations</w:t>
      </w:r>
      <w:r w:rsidR="008D51FA" w:rsidRPr="008D51FA">
        <w:rPr>
          <w:rFonts w:ascii="Arial" w:hAnsi="Arial" w:cs="Arial"/>
          <w:sz w:val="24"/>
          <w:szCs w:val="24"/>
        </w:rPr>
        <w:t xml:space="preserve">. These forces simultaneously create opportunities for innovation, market resilience and ethical leadership, while also increasing operational complexity and regulatory pressure. AstraZeneca’s capacity to integrate AI responsibly, diversify its supply chains, and embed sustainability within </w:t>
      </w:r>
      <w:r>
        <w:rPr>
          <w:rFonts w:ascii="Arial" w:hAnsi="Arial" w:cs="Arial"/>
          <w:sz w:val="24"/>
          <w:szCs w:val="24"/>
        </w:rPr>
        <w:t xml:space="preserve">its </w:t>
      </w:r>
      <w:r w:rsidR="008D51FA" w:rsidRPr="008D51FA">
        <w:rPr>
          <w:rFonts w:ascii="Arial" w:hAnsi="Arial" w:cs="Arial"/>
          <w:sz w:val="24"/>
          <w:szCs w:val="24"/>
        </w:rPr>
        <w:t>core business strategy has strengthened its competitive position in the international pharmaceutical sector. However, sustaining this advantage requires continual investment in technology, governance and talent.</w:t>
      </w:r>
    </w:p>
    <w:p w14:paraId="1F46BBAB" w14:textId="77777777" w:rsidR="008D51FA" w:rsidRPr="008D51FA" w:rsidRDefault="008D51FA" w:rsidP="008D51FA">
      <w:pPr>
        <w:spacing w:line="276" w:lineRule="auto"/>
        <w:jc w:val="both"/>
        <w:rPr>
          <w:rFonts w:ascii="Arial" w:hAnsi="Arial" w:cs="Arial"/>
          <w:sz w:val="24"/>
          <w:szCs w:val="24"/>
        </w:rPr>
      </w:pPr>
      <w:r w:rsidRPr="008D51FA">
        <w:rPr>
          <w:rFonts w:ascii="Arial" w:hAnsi="Arial" w:cs="Arial"/>
          <w:sz w:val="24"/>
          <w:szCs w:val="24"/>
        </w:rPr>
        <w:t>Understanding such global dynamics is essential for effective international business strategy. Firms that anticipate technological, political and environmental shifts are better placed to manage risk, capture emerging opportunities and maintain legitimacy across diverse markets. For AstraZeneca, strategic agility and ethical leadership will remain central to achieving long-term global success.</w:t>
      </w:r>
    </w:p>
    <w:p w14:paraId="5432E85A" w14:textId="77777777" w:rsidR="003E5F83" w:rsidRDefault="003E5F83"/>
    <w:p w14:paraId="266057D0" w14:textId="77777777" w:rsidR="003E5F83" w:rsidRDefault="003E5F83"/>
    <w:p w14:paraId="2BB4D83E" w14:textId="77777777" w:rsidR="003E5F83" w:rsidRDefault="003E5F83"/>
    <w:p w14:paraId="3372C151" w14:textId="77777777" w:rsidR="003E5F83" w:rsidRDefault="003E5F83"/>
    <w:p w14:paraId="45AE501B" w14:textId="77777777" w:rsidR="003E5F83" w:rsidRDefault="003E5F83"/>
    <w:p w14:paraId="0BC035A0" w14:textId="77777777" w:rsidR="003E5F83" w:rsidRDefault="003E5F83"/>
    <w:p w14:paraId="12E7D5E0" w14:textId="77777777" w:rsidR="003E5F83" w:rsidRDefault="003E5F83"/>
    <w:p w14:paraId="5A86D540" w14:textId="77777777" w:rsidR="008D51FA" w:rsidRDefault="008D51FA" w:rsidP="003E5F83">
      <w:pPr>
        <w:pStyle w:val="Title"/>
      </w:pPr>
    </w:p>
    <w:p w14:paraId="54EA022F" w14:textId="77777777" w:rsidR="008D51FA" w:rsidRDefault="008D51FA" w:rsidP="003E5F83">
      <w:pPr>
        <w:pStyle w:val="Title"/>
      </w:pPr>
    </w:p>
    <w:p w14:paraId="55C199CA" w14:textId="77777777" w:rsidR="008D51FA" w:rsidRDefault="008D51FA" w:rsidP="003E5F83">
      <w:pPr>
        <w:pStyle w:val="Title"/>
      </w:pPr>
    </w:p>
    <w:p w14:paraId="4BE7EE04" w14:textId="77777777" w:rsidR="008D51FA" w:rsidRDefault="008D51FA" w:rsidP="003E5F83">
      <w:pPr>
        <w:pStyle w:val="Title"/>
      </w:pPr>
    </w:p>
    <w:p w14:paraId="5255C581" w14:textId="77777777" w:rsidR="008D51FA" w:rsidRDefault="008D51FA" w:rsidP="003E5F83">
      <w:pPr>
        <w:pStyle w:val="Title"/>
      </w:pPr>
    </w:p>
    <w:p w14:paraId="32E4C67D" w14:textId="77777777" w:rsidR="008D51FA" w:rsidRDefault="008D51FA" w:rsidP="003E5F83">
      <w:pPr>
        <w:pStyle w:val="Title"/>
      </w:pPr>
    </w:p>
    <w:p w14:paraId="3C27782A" w14:textId="77777777" w:rsidR="008D51FA" w:rsidRDefault="008D51FA" w:rsidP="003E5F83">
      <w:pPr>
        <w:pStyle w:val="Title"/>
      </w:pPr>
    </w:p>
    <w:p w14:paraId="2C779805" w14:textId="77777777" w:rsidR="008D51FA" w:rsidRDefault="008D51FA" w:rsidP="003E5F83">
      <w:pPr>
        <w:pStyle w:val="Title"/>
      </w:pPr>
    </w:p>
    <w:p w14:paraId="56E232C3" w14:textId="5139AB90" w:rsidR="003E5F83" w:rsidRDefault="003E5F83" w:rsidP="003E5F83">
      <w:pPr>
        <w:pStyle w:val="Title"/>
      </w:pPr>
      <w:r>
        <w:lastRenderedPageBreak/>
        <w:t>References</w:t>
      </w:r>
    </w:p>
    <w:p w14:paraId="3760F2E7"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AstraZeneca PLC (2024) </w:t>
      </w:r>
      <w:r w:rsidRPr="008D51FA">
        <w:rPr>
          <w:rFonts w:ascii="Arial" w:hAnsi="Arial" w:cs="Arial"/>
          <w:i/>
          <w:iCs/>
          <w:sz w:val="24"/>
          <w:szCs w:val="24"/>
        </w:rPr>
        <w:t>Annual Report and Form 20-F Information 2024.</w:t>
      </w:r>
      <w:r w:rsidRPr="008D51FA">
        <w:rPr>
          <w:rFonts w:ascii="Arial" w:hAnsi="Arial" w:cs="Arial"/>
          <w:sz w:val="24"/>
          <w:szCs w:val="24"/>
        </w:rPr>
        <w:t xml:space="preserve"> Available at: </w:t>
      </w:r>
      <w:hyperlink r:id="rId16" w:tgtFrame="_new" w:history="1">
        <w:r w:rsidRPr="008D51FA">
          <w:rPr>
            <w:rStyle w:val="Hyperlink"/>
            <w:rFonts w:ascii="Arial" w:hAnsi="Arial" w:cs="Arial"/>
            <w:sz w:val="24"/>
            <w:szCs w:val="24"/>
          </w:rPr>
          <w:t>https://www.astrazeneca.com/investor-relations/annual-reports.html</w:t>
        </w:r>
      </w:hyperlink>
      <w:r w:rsidRPr="008D51FA">
        <w:rPr>
          <w:rFonts w:ascii="Arial" w:hAnsi="Arial" w:cs="Arial"/>
          <w:sz w:val="24"/>
          <w:szCs w:val="24"/>
        </w:rPr>
        <w:t xml:space="preserve"> (Accessed: 12 November 2025).</w:t>
      </w:r>
    </w:p>
    <w:p w14:paraId="1D5349B5"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Bednarski, M. (2025) ‘Data governance in global pharmaceutical research’, </w:t>
      </w:r>
      <w:r w:rsidRPr="008D51FA">
        <w:rPr>
          <w:rFonts w:ascii="Arial" w:hAnsi="Arial" w:cs="Arial"/>
          <w:i/>
          <w:iCs/>
          <w:sz w:val="24"/>
          <w:szCs w:val="24"/>
        </w:rPr>
        <w:t>Journal of Business Research</w:t>
      </w:r>
      <w:r w:rsidRPr="008D51FA">
        <w:rPr>
          <w:rFonts w:ascii="Arial" w:hAnsi="Arial" w:cs="Arial"/>
          <w:sz w:val="24"/>
          <w:szCs w:val="24"/>
        </w:rPr>
        <w:t>, 188(3), pp. 122–134. doi: 10.1016/j.jbusres.2025.02.015.</w:t>
      </w:r>
    </w:p>
    <w:p w14:paraId="1F3F6AAA" w14:textId="77777777" w:rsid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BMJ (2025) ‘Global access to medicines and sustainability obligations’, </w:t>
      </w:r>
      <w:r w:rsidRPr="008D51FA">
        <w:rPr>
          <w:rFonts w:ascii="Arial" w:hAnsi="Arial" w:cs="Arial"/>
          <w:i/>
          <w:iCs/>
          <w:sz w:val="24"/>
          <w:szCs w:val="24"/>
        </w:rPr>
        <w:t>BMJ Global Health</w:t>
      </w:r>
      <w:r w:rsidRPr="008D51FA">
        <w:rPr>
          <w:rFonts w:ascii="Arial" w:hAnsi="Arial" w:cs="Arial"/>
          <w:sz w:val="24"/>
          <w:szCs w:val="24"/>
        </w:rPr>
        <w:t xml:space="preserve">, 10(2), pp. 211–219. Available at: </w:t>
      </w:r>
      <w:hyperlink r:id="rId17" w:tgtFrame="_new" w:history="1">
        <w:r w:rsidRPr="008D51FA">
          <w:rPr>
            <w:rStyle w:val="Hyperlink"/>
            <w:rFonts w:ascii="Arial" w:hAnsi="Arial" w:cs="Arial"/>
            <w:sz w:val="24"/>
            <w:szCs w:val="24"/>
          </w:rPr>
          <w:t>https://gh.bmj.com/</w:t>
        </w:r>
      </w:hyperlink>
      <w:r w:rsidRPr="008D51FA">
        <w:rPr>
          <w:rFonts w:ascii="Arial" w:hAnsi="Arial" w:cs="Arial"/>
          <w:sz w:val="24"/>
          <w:szCs w:val="24"/>
        </w:rPr>
        <w:t xml:space="preserve"> (Accessed: 12 November 2025).</w:t>
      </w:r>
    </w:p>
    <w:p w14:paraId="148537A3" w14:textId="1BBAE2BC" w:rsidR="00F1491C" w:rsidRDefault="00F1491C" w:rsidP="008D51FA">
      <w:pPr>
        <w:pStyle w:val="ListParagraph"/>
        <w:numPr>
          <w:ilvl w:val="0"/>
          <w:numId w:val="3"/>
        </w:numPr>
        <w:spacing w:line="276" w:lineRule="auto"/>
        <w:rPr>
          <w:rFonts w:ascii="Arial" w:hAnsi="Arial" w:cs="Arial"/>
          <w:sz w:val="24"/>
          <w:szCs w:val="24"/>
        </w:rPr>
      </w:pPr>
      <w:r w:rsidRPr="00F1491C">
        <w:rPr>
          <w:rFonts w:ascii="Arial" w:hAnsi="Arial" w:cs="Arial"/>
          <w:sz w:val="24"/>
          <w:szCs w:val="24"/>
        </w:rPr>
        <w:t xml:space="preserve">Brynjolfsson, E. and McAfee, A. (2017) </w:t>
      </w:r>
      <w:r w:rsidRPr="00F1491C">
        <w:rPr>
          <w:rFonts w:ascii="Arial" w:hAnsi="Arial" w:cs="Arial"/>
          <w:i/>
          <w:iCs/>
          <w:sz w:val="24"/>
          <w:szCs w:val="24"/>
        </w:rPr>
        <w:t>Machine, Platform, Crowd: Harnessing Our Digital Future.</w:t>
      </w:r>
      <w:r w:rsidRPr="00F1491C">
        <w:rPr>
          <w:rFonts w:ascii="Arial" w:hAnsi="Arial" w:cs="Arial"/>
          <w:sz w:val="24"/>
          <w:szCs w:val="24"/>
        </w:rPr>
        <w:t xml:space="preserve"> New York: W.W. Norton &amp; Company.</w:t>
      </w:r>
    </w:p>
    <w:p w14:paraId="2AA1EA2D" w14:textId="40959828" w:rsidR="00F1491C" w:rsidRPr="008D51FA" w:rsidRDefault="00F1491C" w:rsidP="008D51FA">
      <w:pPr>
        <w:pStyle w:val="ListParagraph"/>
        <w:numPr>
          <w:ilvl w:val="0"/>
          <w:numId w:val="3"/>
        </w:numPr>
        <w:spacing w:line="276" w:lineRule="auto"/>
        <w:rPr>
          <w:rFonts w:ascii="Arial" w:hAnsi="Arial" w:cs="Arial"/>
          <w:sz w:val="24"/>
          <w:szCs w:val="24"/>
        </w:rPr>
      </w:pPr>
      <w:r w:rsidRPr="00F1491C">
        <w:rPr>
          <w:rFonts w:ascii="Arial" w:hAnsi="Arial" w:cs="Arial"/>
          <w:sz w:val="24"/>
          <w:szCs w:val="24"/>
        </w:rPr>
        <w:t xml:space="preserve">Buckley, P.J. and Ghauri, P.N. (2015) </w:t>
      </w:r>
      <w:r w:rsidRPr="00F1491C">
        <w:rPr>
          <w:rFonts w:ascii="Arial" w:hAnsi="Arial" w:cs="Arial"/>
          <w:i/>
          <w:iCs/>
          <w:sz w:val="24"/>
          <w:szCs w:val="24"/>
        </w:rPr>
        <w:t>International Business Strategy: Theory and Practice.</w:t>
      </w:r>
      <w:r w:rsidRPr="00F1491C">
        <w:rPr>
          <w:rFonts w:ascii="Arial" w:hAnsi="Arial" w:cs="Arial"/>
          <w:sz w:val="24"/>
          <w:szCs w:val="24"/>
        </w:rPr>
        <w:t xml:space="preserve"> 2nd edn. London: Routledge.</w:t>
      </w:r>
    </w:p>
    <w:p w14:paraId="5EEBC14A"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De La Pava, R. (2025) ‘Predictive modelling and innovation performance in life sciences’, </w:t>
      </w:r>
      <w:r w:rsidRPr="008D51FA">
        <w:rPr>
          <w:rFonts w:ascii="Arial" w:hAnsi="Arial" w:cs="Arial"/>
          <w:i/>
          <w:iCs/>
          <w:sz w:val="24"/>
          <w:szCs w:val="24"/>
        </w:rPr>
        <w:t>Research Policy</w:t>
      </w:r>
      <w:r w:rsidRPr="008D51FA">
        <w:rPr>
          <w:rFonts w:ascii="Arial" w:hAnsi="Arial" w:cs="Arial"/>
          <w:sz w:val="24"/>
          <w:szCs w:val="24"/>
        </w:rPr>
        <w:t>, 54(2), pp. 301–316. doi: 10.1016/j.respol.2025.01.009.</w:t>
      </w:r>
    </w:p>
    <w:p w14:paraId="1563234E"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European Commission (2024) </w:t>
      </w:r>
      <w:r w:rsidRPr="008D51FA">
        <w:rPr>
          <w:rFonts w:ascii="Arial" w:hAnsi="Arial" w:cs="Arial"/>
          <w:i/>
          <w:iCs/>
          <w:sz w:val="24"/>
          <w:szCs w:val="24"/>
        </w:rPr>
        <w:t>Corporate Sustainability Reporting Directive.</w:t>
      </w:r>
      <w:r w:rsidRPr="008D51FA">
        <w:rPr>
          <w:rFonts w:ascii="Arial" w:hAnsi="Arial" w:cs="Arial"/>
          <w:sz w:val="24"/>
          <w:szCs w:val="24"/>
        </w:rPr>
        <w:t xml:space="preserve"> Available at: </w:t>
      </w:r>
      <w:hyperlink r:id="rId18" w:tgtFrame="_new" w:history="1">
        <w:r w:rsidRPr="008D51FA">
          <w:rPr>
            <w:rStyle w:val="Hyperlink"/>
            <w:rFonts w:ascii="Arial" w:hAnsi="Arial" w:cs="Arial"/>
            <w:sz w:val="24"/>
            <w:szCs w:val="24"/>
          </w:rPr>
          <w:t>https://finance.ec.europa.eu/capital-markets-union-and-financial-markets/company-reporting-and-auditing/company-reporting/corporate-sustainability-reporting_en</w:t>
        </w:r>
      </w:hyperlink>
      <w:r w:rsidRPr="008D51FA">
        <w:rPr>
          <w:rFonts w:ascii="Arial" w:hAnsi="Arial" w:cs="Arial"/>
          <w:sz w:val="24"/>
          <w:szCs w:val="24"/>
        </w:rPr>
        <w:t xml:space="preserve"> (Accessed: 12 November 2025).</w:t>
      </w:r>
    </w:p>
    <w:p w14:paraId="174E1EA3"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International Monetary Fund (IMF) (2024) ‘Back to basics: Globalization today’, </w:t>
      </w:r>
      <w:r w:rsidRPr="008D51FA">
        <w:rPr>
          <w:rFonts w:ascii="Arial" w:hAnsi="Arial" w:cs="Arial"/>
          <w:i/>
          <w:iCs/>
          <w:sz w:val="24"/>
          <w:szCs w:val="24"/>
        </w:rPr>
        <w:t>Finance &amp; Development</w:t>
      </w:r>
      <w:r w:rsidRPr="008D51FA">
        <w:rPr>
          <w:rFonts w:ascii="Arial" w:hAnsi="Arial" w:cs="Arial"/>
          <w:sz w:val="24"/>
          <w:szCs w:val="24"/>
        </w:rPr>
        <w:t xml:space="preserve">, June. Available at: </w:t>
      </w:r>
      <w:hyperlink r:id="rId19" w:tgtFrame="_new" w:history="1">
        <w:r w:rsidRPr="008D51FA">
          <w:rPr>
            <w:rStyle w:val="Hyperlink"/>
            <w:rFonts w:ascii="Arial" w:hAnsi="Arial" w:cs="Arial"/>
            <w:sz w:val="24"/>
            <w:szCs w:val="24"/>
          </w:rPr>
          <w:t>https://www.imf.org/en/Publications/fandd/issues/2024/06/B2B-Globalization-Today-Adam-Jakubik-and-Elizabeth-Van-Heuvelen</w:t>
        </w:r>
      </w:hyperlink>
      <w:r w:rsidRPr="008D51FA">
        <w:rPr>
          <w:rFonts w:ascii="Arial" w:hAnsi="Arial" w:cs="Arial"/>
          <w:sz w:val="24"/>
          <w:szCs w:val="24"/>
        </w:rPr>
        <w:t xml:space="preserve"> (Accessed: 12 November 2025).</w:t>
      </w:r>
    </w:p>
    <w:p w14:paraId="2AFA08A4"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SCW Magazine (2024) ‘Pharma supply chains adopt dual sourcing for resilience’, </w:t>
      </w:r>
      <w:r w:rsidRPr="008D51FA">
        <w:rPr>
          <w:rFonts w:ascii="Arial" w:hAnsi="Arial" w:cs="Arial"/>
          <w:i/>
          <w:iCs/>
          <w:sz w:val="24"/>
          <w:szCs w:val="24"/>
        </w:rPr>
        <w:t>Supply Chain World Magazine</w:t>
      </w:r>
      <w:r w:rsidRPr="008D51FA">
        <w:rPr>
          <w:rFonts w:ascii="Arial" w:hAnsi="Arial" w:cs="Arial"/>
          <w:sz w:val="24"/>
          <w:szCs w:val="24"/>
        </w:rPr>
        <w:t xml:space="preserve">, 12 June. Available at: </w:t>
      </w:r>
      <w:hyperlink r:id="rId20" w:tgtFrame="_new" w:history="1">
        <w:r w:rsidRPr="008D51FA">
          <w:rPr>
            <w:rStyle w:val="Hyperlink"/>
            <w:rFonts w:ascii="Arial" w:hAnsi="Arial" w:cs="Arial"/>
            <w:sz w:val="24"/>
            <w:szCs w:val="24"/>
          </w:rPr>
          <w:t>https://supplychainworld.com/</w:t>
        </w:r>
      </w:hyperlink>
      <w:r w:rsidRPr="008D51FA">
        <w:rPr>
          <w:rFonts w:ascii="Arial" w:hAnsi="Arial" w:cs="Arial"/>
          <w:sz w:val="24"/>
          <w:szCs w:val="24"/>
        </w:rPr>
        <w:t xml:space="preserve"> (Accessed: 12 November 2025).</w:t>
      </w:r>
    </w:p>
    <w:p w14:paraId="552A429C"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World Economic Forum (2024) </w:t>
      </w:r>
      <w:r w:rsidRPr="008D51FA">
        <w:rPr>
          <w:rFonts w:ascii="Arial" w:hAnsi="Arial" w:cs="Arial"/>
          <w:i/>
          <w:iCs/>
          <w:sz w:val="24"/>
          <w:szCs w:val="24"/>
        </w:rPr>
        <w:t>Global Risks Report 2024.</w:t>
      </w:r>
      <w:r w:rsidRPr="008D51FA">
        <w:rPr>
          <w:rFonts w:ascii="Arial" w:hAnsi="Arial" w:cs="Arial"/>
          <w:sz w:val="24"/>
          <w:szCs w:val="24"/>
        </w:rPr>
        <w:t xml:space="preserve"> Geneva: World Economic Forum. Available at: </w:t>
      </w:r>
      <w:hyperlink r:id="rId21" w:tgtFrame="_new" w:history="1">
        <w:r w:rsidRPr="008D51FA">
          <w:rPr>
            <w:rStyle w:val="Hyperlink"/>
            <w:rFonts w:ascii="Arial" w:hAnsi="Arial" w:cs="Arial"/>
            <w:sz w:val="24"/>
            <w:szCs w:val="24"/>
          </w:rPr>
          <w:t>https://www.weforum.org/publications/global-risks-report-2024</w:t>
        </w:r>
      </w:hyperlink>
      <w:r w:rsidRPr="008D51FA">
        <w:rPr>
          <w:rFonts w:ascii="Arial" w:hAnsi="Arial" w:cs="Arial"/>
          <w:sz w:val="24"/>
          <w:szCs w:val="24"/>
        </w:rPr>
        <w:t xml:space="preserve"> (Accessed: 12 November 2025).</w:t>
      </w:r>
    </w:p>
    <w:p w14:paraId="514A3C01" w14:textId="77777777" w:rsidR="008D51FA" w:rsidRPr="008D51FA" w:rsidRDefault="008D51FA" w:rsidP="008D51FA">
      <w:pPr>
        <w:pStyle w:val="ListParagraph"/>
        <w:numPr>
          <w:ilvl w:val="0"/>
          <w:numId w:val="3"/>
        </w:numPr>
        <w:spacing w:line="276" w:lineRule="auto"/>
        <w:rPr>
          <w:rFonts w:ascii="Arial" w:hAnsi="Arial" w:cs="Arial"/>
          <w:sz w:val="24"/>
          <w:szCs w:val="24"/>
        </w:rPr>
      </w:pPr>
      <w:r w:rsidRPr="008D51FA">
        <w:rPr>
          <w:rFonts w:ascii="Arial" w:hAnsi="Arial" w:cs="Arial"/>
          <w:sz w:val="24"/>
          <w:szCs w:val="24"/>
        </w:rPr>
        <w:t xml:space="preserve">Woods, N. (2024) ‘Stranded? The IMF in a world of rising economic nationalism’, </w:t>
      </w:r>
      <w:r w:rsidRPr="008D51FA">
        <w:rPr>
          <w:rFonts w:ascii="Arial" w:hAnsi="Arial" w:cs="Arial"/>
          <w:i/>
          <w:iCs/>
          <w:sz w:val="24"/>
          <w:szCs w:val="24"/>
        </w:rPr>
        <w:t>Oxford Review of Economic Policy</w:t>
      </w:r>
      <w:r w:rsidRPr="008D51FA">
        <w:rPr>
          <w:rFonts w:ascii="Arial" w:hAnsi="Arial" w:cs="Arial"/>
          <w:sz w:val="24"/>
          <w:szCs w:val="24"/>
        </w:rPr>
        <w:t>, 40(2), pp. 329–347. doi: 10.1093/oxrep/grad052.</w:t>
      </w:r>
    </w:p>
    <w:p w14:paraId="6BFD4058" w14:textId="77777777" w:rsidR="003E5F83" w:rsidRDefault="003E5F83" w:rsidP="008D51FA"/>
    <w:sectPr w:rsidR="003E5F83" w:rsidSect="00C11CD0">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51B7FE" w14:textId="77777777" w:rsidR="00DA4367" w:rsidRDefault="00DA4367" w:rsidP="00C9658C">
      <w:pPr>
        <w:spacing w:after="0" w:line="240" w:lineRule="auto"/>
      </w:pPr>
      <w:r>
        <w:separator/>
      </w:r>
    </w:p>
  </w:endnote>
  <w:endnote w:type="continuationSeparator" w:id="0">
    <w:p w14:paraId="5AAD1C71" w14:textId="77777777" w:rsidR="00DA4367" w:rsidRDefault="00DA4367" w:rsidP="00C96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8E6AF1" w14:textId="77777777" w:rsidR="00DA4367" w:rsidRDefault="00DA4367" w:rsidP="00C9658C">
      <w:pPr>
        <w:spacing w:after="0" w:line="240" w:lineRule="auto"/>
      </w:pPr>
      <w:r>
        <w:separator/>
      </w:r>
    </w:p>
  </w:footnote>
  <w:footnote w:type="continuationSeparator" w:id="0">
    <w:p w14:paraId="194AAC12" w14:textId="77777777" w:rsidR="00DA4367" w:rsidRDefault="00DA4367" w:rsidP="00C965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865925"/>
      <w:docPartObj>
        <w:docPartGallery w:val="Page Numbers (Top of Page)"/>
        <w:docPartUnique/>
      </w:docPartObj>
    </w:sdtPr>
    <w:sdtEndPr>
      <w:rPr>
        <w:color w:val="7F7F7F" w:themeColor="background1" w:themeShade="7F"/>
        <w:spacing w:val="60"/>
      </w:rPr>
    </w:sdtEndPr>
    <w:sdtContent>
      <w:p w14:paraId="5696AA4B" w14:textId="7A209D97" w:rsidR="00C9658C" w:rsidRDefault="00C9658C">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24A1080" w14:textId="77777777" w:rsidR="00C9658C" w:rsidRDefault="00C965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F7D10"/>
    <w:multiLevelType w:val="hybridMultilevel"/>
    <w:tmpl w:val="47A28A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913EF7"/>
    <w:multiLevelType w:val="hybridMultilevel"/>
    <w:tmpl w:val="AE4C2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3942AB"/>
    <w:multiLevelType w:val="hybridMultilevel"/>
    <w:tmpl w:val="B2865C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2813496">
    <w:abstractNumId w:val="2"/>
  </w:num>
  <w:num w:numId="2" w16cid:durableId="580604629">
    <w:abstractNumId w:val="0"/>
  </w:num>
  <w:num w:numId="3" w16cid:durableId="8148395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8"/>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B7004"/>
    <w:rsid w:val="0002069F"/>
    <w:rsid w:val="000213B9"/>
    <w:rsid w:val="0002509C"/>
    <w:rsid w:val="00042C8C"/>
    <w:rsid w:val="00042FAC"/>
    <w:rsid w:val="00043591"/>
    <w:rsid w:val="00050CF5"/>
    <w:rsid w:val="00052148"/>
    <w:rsid w:val="00061ECD"/>
    <w:rsid w:val="00070786"/>
    <w:rsid w:val="00070D45"/>
    <w:rsid w:val="0007449F"/>
    <w:rsid w:val="000747FD"/>
    <w:rsid w:val="00084C12"/>
    <w:rsid w:val="000916B5"/>
    <w:rsid w:val="000917E3"/>
    <w:rsid w:val="00093115"/>
    <w:rsid w:val="00094833"/>
    <w:rsid w:val="000953A4"/>
    <w:rsid w:val="000A6CED"/>
    <w:rsid w:val="000B1DD7"/>
    <w:rsid w:val="000D0BF7"/>
    <w:rsid w:val="000D2E63"/>
    <w:rsid w:val="000D4FF7"/>
    <w:rsid w:val="000D776F"/>
    <w:rsid w:val="000E5A62"/>
    <w:rsid w:val="001029A4"/>
    <w:rsid w:val="00103923"/>
    <w:rsid w:val="001243B5"/>
    <w:rsid w:val="00135F15"/>
    <w:rsid w:val="00137EFE"/>
    <w:rsid w:val="001471BE"/>
    <w:rsid w:val="00157F55"/>
    <w:rsid w:val="00165ECC"/>
    <w:rsid w:val="001820A0"/>
    <w:rsid w:val="00187C7D"/>
    <w:rsid w:val="001965B7"/>
    <w:rsid w:val="001A27A3"/>
    <w:rsid w:val="001B0885"/>
    <w:rsid w:val="001B2B7F"/>
    <w:rsid w:val="001C3464"/>
    <w:rsid w:val="001C34B6"/>
    <w:rsid w:val="001E6C97"/>
    <w:rsid w:val="001E6F7C"/>
    <w:rsid w:val="001E7CAB"/>
    <w:rsid w:val="001F0169"/>
    <w:rsid w:val="001F1EC8"/>
    <w:rsid w:val="002013D0"/>
    <w:rsid w:val="0020447A"/>
    <w:rsid w:val="002119FF"/>
    <w:rsid w:val="00212884"/>
    <w:rsid w:val="00220D3F"/>
    <w:rsid w:val="00222913"/>
    <w:rsid w:val="002251EE"/>
    <w:rsid w:val="0023394F"/>
    <w:rsid w:val="002368BB"/>
    <w:rsid w:val="00264FE6"/>
    <w:rsid w:val="00273B50"/>
    <w:rsid w:val="00283FAA"/>
    <w:rsid w:val="002B0409"/>
    <w:rsid w:val="002C29BC"/>
    <w:rsid w:val="002C6F27"/>
    <w:rsid w:val="002E0319"/>
    <w:rsid w:val="002E1B7F"/>
    <w:rsid w:val="002E632C"/>
    <w:rsid w:val="00303651"/>
    <w:rsid w:val="0030565E"/>
    <w:rsid w:val="00320900"/>
    <w:rsid w:val="003278DB"/>
    <w:rsid w:val="00335EB8"/>
    <w:rsid w:val="00336B3D"/>
    <w:rsid w:val="003405C7"/>
    <w:rsid w:val="00361229"/>
    <w:rsid w:val="00365E32"/>
    <w:rsid w:val="00382501"/>
    <w:rsid w:val="00385E69"/>
    <w:rsid w:val="0038612B"/>
    <w:rsid w:val="00387852"/>
    <w:rsid w:val="003A6F63"/>
    <w:rsid w:val="003B1E68"/>
    <w:rsid w:val="003D2774"/>
    <w:rsid w:val="003D438F"/>
    <w:rsid w:val="003D5039"/>
    <w:rsid w:val="003E1174"/>
    <w:rsid w:val="003E160A"/>
    <w:rsid w:val="003E5F83"/>
    <w:rsid w:val="003E69A8"/>
    <w:rsid w:val="00402714"/>
    <w:rsid w:val="00412D05"/>
    <w:rsid w:val="00432BE8"/>
    <w:rsid w:val="00435F34"/>
    <w:rsid w:val="0043624E"/>
    <w:rsid w:val="00437F7D"/>
    <w:rsid w:val="00445BD6"/>
    <w:rsid w:val="004505A0"/>
    <w:rsid w:val="00450EFE"/>
    <w:rsid w:val="004515C2"/>
    <w:rsid w:val="00451B0E"/>
    <w:rsid w:val="004556D2"/>
    <w:rsid w:val="00455D3C"/>
    <w:rsid w:val="00464072"/>
    <w:rsid w:val="0046698D"/>
    <w:rsid w:val="00470659"/>
    <w:rsid w:val="00480791"/>
    <w:rsid w:val="00480AB6"/>
    <w:rsid w:val="00491703"/>
    <w:rsid w:val="004A50B1"/>
    <w:rsid w:val="004A5B7A"/>
    <w:rsid w:val="004A5C46"/>
    <w:rsid w:val="004B0576"/>
    <w:rsid w:val="004B2E6C"/>
    <w:rsid w:val="004B3B44"/>
    <w:rsid w:val="004B43D2"/>
    <w:rsid w:val="004C0802"/>
    <w:rsid w:val="004C1F0D"/>
    <w:rsid w:val="004C372F"/>
    <w:rsid w:val="004C3CCE"/>
    <w:rsid w:val="004C6C62"/>
    <w:rsid w:val="004C7025"/>
    <w:rsid w:val="004D6225"/>
    <w:rsid w:val="004D62C4"/>
    <w:rsid w:val="004E677C"/>
    <w:rsid w:val="004F1B62"/>
    <w:rsid w:val="004F1DC2"/>
    <w:rsid w:val="004F4A86"/>
    <w:rsid w:val="004F55D2"/>
    <w:rsid w:val="00512F25"/>
    <w:rsid w:val="00513903"/>
    <w:rsid w:val="005212D9"/>
    <w:rsid w:val="00521B47"/>
    <w:rsid w:val="00524C91"/>
    <w:rsid w:val="00545022"/>
    <w:rsid w:val="00553B73"/>
    <w:rsid w:val="0055717A"/>
    <w:rsid w:val="0055786F"/>
    <w:rsid w:val="00563E9B"/>
    <w:rsid w:val="00566CD3"/>
    <w:rsid w:val="005861B7"/>
    <w:rsid w:val="00594523"/>
    <w:rsid w:val="00594693"/>
    <w:rsid w:val="005A24AB"/>
    <w:rsid w:val="005A3365"/>
    <w:rsid w:val="005B401D"/>
    <w:rsid w:val="005B7004"/>
    <w:rsid w:val="005C35A2"/>
    <w:rsid w:val="005C3DB4"/>
    <w:rsid w:val="005D243A"/>
    <w:rsid w:val="005E5136"/>
    <w:rsid w:val="00604959"/>
    <w:rsid w:val="00606752"/>
    <w:rsid w:val="00611DC6"/>
    <w:rsid w:val="0061221E"/>
    <w:rsid w:val="00617342"/>
    <w:rsid w:val="00617775"/>
    <w:rsid w:val="00617982"/>
    <w:rsid w:val="00620883"/>
    <w:rsid w:val="00620B49"/>
    <w:rsid w:val="00622D9B"/>
    <w:rsid w:val="00625C69"/>
    <w:rsid w:val="0063213E"/>
    <w:rsid w:val="0063792D"/>
    <w:rsid w:val="006541A7"/>
    <w:rsid w:val="006662E7"/>
    <w:rsid w:val="00670CC2"/>
    <w:rsid w:val="00683A21"/>
    <w:rsid w:val="00687096"/>
    <w:rsid w:val="00690015"/>
    <w:rsid w:val="006A64E2"/>
    <w:rsid w:val="006A701F"/>
    <w:rsid w:val="006B271E"/>
    <w:rsid w:val="006D1FB3"/>
    <w:rsid w:val="006D2FF0"/>
    <w:rsid w:val="006D75C2"/>
    <w:rsid w:val="006E2F83"/>
    <w:rsid w:val="0074408C"/>
    <w:rsid w:val="007565A2"/>
    <w:rsid w:val="00774548"/>
    <w:rsid w:val="00776653"/>
    <w:rsid w:val="007803FE"/>
    <w:rsid w:val="0078191E"/>
    <w:rsid w:val="007926AA"/>
    <w:rsid w:val="007A630F"/>
    <w:rsid w:val="007A77FA"/>
    <w:rsid w:val="007B1B23"/>
    <w:rsid w:val="007B2D11"/>
    <w:rsid w:val="007B68BE"/>
    <w:rsid w:val="007C0032"/>
    <w:rsid w:val="007D0838"/>
    <w:rsid w:val="007D4EC3"/>
    <w:rsid w:val="007E0054"/>
    <w:rsid w:val="007F0850"/>
    <w:rsid w:val="00812B13"/>
    <w:rsid w:val="00812DBE"/>
    <w:rsid w:val="00814C07"/>
    <w:rsid w:val="00820990"/>
    <w:rsid w:val="00833A57"/>
    <w:rsid w:val="008463BF"/>
    <w:rsid w:val="00856A5A"/>
    <w:rsid w:val="00863981"/>
    <w:rsid w:val="008702AC"/>
    <w:rsid w:val="00870866"/>
    <w:rsid w:val="00882752"/>
    <w:rsid w:val="008851EE"/>
    <w:rsid w:val="00886A4F"/>
    <w:rsid w:val="00893D14"/>
    <w:rsid w:val="0089698C"/>
    <w:rsid w:val="008C079A"/>
    <w:rsid w:val="008C22FD"/>
    <w:rsid w:val="008C7F33"/>
    <w:rsid w:val="008D0B77"/>
    <w:rsid w:val="008D2CBC"/>
    <w:rsid w:val="008D51FA"/>
    <w:rsid w:val="008E3B22"/>
    <w:rsid w:val="008F0B01"/>
    <w:rsid w:val="009013B6"/>
    <w:rsid w:val="009015A6"/>
    <w:rsid w:val="0090176B"/>
    <w:rsid w:val="00906FA7"/>
    <w:rsid w:val="0091533F"/>
    <w:rsid w:val="00923298"/>
    <w:rsid w:val="00926295"/>
    <w:rsid w:val="009324BD"/>
    <w:rsid w:val="00937C5A"/>
    <w:rsid w:val="00937C6C"/>
    <w:rsid w:val="009475F9"/>
    <w:rsid w:val="0095756E"/>
    <w:rsid w:val="00971D1D"/>
    <w:rsid w:val="00982D71"/>
    <w:rsid w:val="00995CF6"/>
    <w:rsid w:val="009B3370"/>
    <w:rsid w:val="009B4F9A"/>
    <w:rsid w:val="009D662F"/>
    <w:rsid w:val="009D6C67"/>
    <w:rsid w:val="009D7520"/>
    <w:rsid w:val="009E4492"/>
    <w:rsid w:val="009F05DD"/>
    <w:rsid w:val="009F4E85"/>
    <w:rsid w:val="00A31334"/>
    <w:rsid w:val="00A3489E"/>
    <w:rsid w:val="00A36F16"/>
    <w:rsid w:val="00A60F7B"/>
    <w:rsid w:val="00A64946"/>
    <w:rsid w:val="00A72998"/>
    <w:rsid w:val="00A74539"/>
    <w:rsid w:val="00A95E2B"/>
    <w:rsid w:val="00A976E0"/>
    <w:rsid w:val="00AA19F7"/>
    <w:rsid w:val="00AB6B53"/>
    <w:rsid w:val="00AC4727"/>
    <w:rsid w:val="00AC73D6"/>
    <w:rsid w:val="00AD7239"/>
    <w:rsid w:val="00AD7FBB"/>
    <w:rsid w:val="00AF4719"/>
    <w:rsid w:val="00B15B7B"/>
    <w:rsid w:val="00B24E0B"/>
    <w:rsid w:val="00B26CE9"/>
    <w:rsid w:val="00B315E5"/>
    <w:rsid w:val="00B320E9"/>
    <w:rsid w:val="00B456FA"/>
    <w:rsid w:val="00B457D8"/>
    <w:rsid w:val="00B465A3"/>
    <w:rsid w:val="00B47511"/>
    <w:rsid w:val="00B53F6F"/>
    <w:rsid w:val="00B60BCA"/>
    <w:rsid w:val="00B64318"/>
    <w:rsid w:val="00B64D82"/>
    <w:rsid w:val="00B71592"/>
    <w:rsid w:val="00B737E5"/>
    <w:rsid w:val="00B85D19"/>
    <w:rsid w:val="00BA0336"/>
    <w:rsid w:val="00BA10AF"/>
    <w:rsid w:val="00BA6C2A"/>
    <w:rsid w:val="00BA790A"/>
    <w:rsid w:val="00BC57C4"/>
    <w:rsid w:val="00BD044D"/>
    <w:rsid w:val="00BD6BBB"/>
    <w:rsid w:val="00BE089D"/>
    <w:rsid w:val="00BE2029"/>
    <w:rsid w:val="00BE3BD9"/>
    <w:rsid w:val="00BF7373"/>
    <w:rsid w:val="00BF79ED"/>
    <w:rsid w:val="00C03DCC"/>
    <w:rsid w:val="00C11CD0"/>
    <w:rsid w:val="00C16ECC"/>
    <w:rsid w:val="00C23541"/>
    <w:rsid w:val="00C62202"/>
    <w:rsid w:val="00C77BEA"/>
    <w:rsid w:val="00C81C83"/>
    <w:rsid w:val="00C83FDD"/>
    <w:rsid w:val="00C9658C"/>
    <w:rsid w:val="00CA18E7"/>
    <w:rsid w:val="00CA52DF"/>
    <w:rsid w:val="00CB1883"/>
    <w:rsid w:val="00CC6BBD"/>
    <w:rsid w:val="00D15B01"/>
    <w:rsid w:val="00D20F00"/>
    <w:rsid w:val="00D21C5C"/>
    <w:rsid w:val="00D3542A"/>
    <w:rsid w:val="00D46CB3"/>
    <w:rsid w:val="00D5273E"/>
    <w:rsid w:val="00D6177F"/>
    <w:rsid w:val="00D6236A"/>
    <w:rsid w:val="00D62E6D"/>
    <w:rsid w:val="00D80145"/>
    <w:rsid w:val="00D93FC6"/>
    <w:rsid w:val="00D95395"/>
    <w:rsid w:val="00DA4367"/>
    <w:rsid w:val="00DB04A4"/>
    <w:rsid w:val="00DB2517"/>
    <w:rsid w:val="00DB349C"/>
    <w:rsid w:val="00DB5E13"/>
    <w:rsid w:val="00DD2EA7"/>
    <w:rsid w:val="00DE33F4"/>
    <w:rsid w:val="00E0519E"/>
    <w:rsid w:val="00E06D4D"/>
    <w:rsid w:val="00E072B0"/>
    <w:rsid w:val="00E10CF6"/>
    <w:rsid w:val="00E16103"/>
    <w:rsid w:val="00E66011"/>
    <w:rsid w:val="00E85EF2"/>
    <w:rsid w:val="00E86790"/>
    <w:rsid w:val="00EA2632"/>
    <w:rsid w:val="00EA3052"/>
    <w:rsid w:val="00ED5CC2"/>
    <w:rsid w:val="00EE4246"/>
    <w:rsid w:val="00EF7540"/>
    <w:rsid w:val="00F050E0"/>
    <w:rsid w:val="00F1491C"/>
    <w:rsid w:val="00F21FB3"/>
    <w:rsid w:val="00F34EC7"/>
    <w:rsid w:val="00F37463"/>
    <w:rsid w:val="00F57416"/>
    <w:rsid w:val="00F66997"/>
    <w:rsid w:val="00F71EC4"/>
    <w:rsid w:val="00F76848"/>
    <w:rsid w:val="00F94A39"/>
    <w:rsid w:val="00F9744D"/>
    <w:rsid w:val="00FB0B8E"/>
    <w:rsid w:val="00FC5EB1"/>
    <w:rsid w:val="00FD5DFB"/>
    <w:rsid w:val="00FE0D41"/>
    <w:rsid w:val="00FE5D76"/>
    <w:rsid w:val="00FF5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8"/>
    <o:shapelayout v:ext="edit">
      <o:idmap v:ext="edit" data="2"/>
    </o:shapelayout>
  </w:shapeDefaults>
  <w:decimalSymbol w:val="."/>
  <w:listSeparator w:val=","/>
  <w14:docId w14:val="6B61D265"/>
  <w15:chartTrackingRefBased/>
  <w15:docId w15:val="{4D34C452-19E0-41DB-8878-71C85533A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0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70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0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0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0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0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0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0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0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0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70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70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70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0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0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0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0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004"/>
    <w:rPr>
      <w:rFonts w:eastAsiaTheme="majorEastAsia" w:cstheme="majorBidi"/>
      <w:color w:val="272727" w:themeColor="text1" w:themeTint="D8"/>
    </w:rPr>
  </w:style>
  <w:style w:type="paragraph" w:styleId="Title">
    <w:name w:val="Title"/>
    <w:basedOn w:val="Normal"/>
    <w:next w:val="Normal"/>
    <w:link w:val="TitleChar"/>
    <w:uiPriority w:val="10"/>
    <w:qFormat/>
    <w:rsid w:val="005B70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0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0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0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004"/>
    <w:pPr>
      <w:spacing w:before="160"/>
      <w:jc w:val="center"/>
    </w:pPr>
    <w:rPr>
      <w:i/>
      <w:iCs/>
      <w:color w:val="404040" w:themeColor="text1" w:themeTint="BF"/>
    </w:rPr>
  </w:style>
  <w:style w:type="character" w:customStyle="1" w:styleId="QuoteChar">
    <w:name w:val="Quote Char"/>
    <w:basedOn w:val="DefaultParagraphFont"/>
    <w:link w:val="Quote"/>
    <w:uiPriority w:val="29"/>
    <w:rsid w:val="005B7004"/>
    <w:rPr>
      <w:i/>
      <w:iCs/>
      <w:color w:val="404040" w:themeColor="text1" w:themeTint="BF"/>
    </w:rPr>
  </w:style>
  <w:style w:type="paragraph" w:styleId="ListParagraph">
    <w:name w:val="List Paragraph"/>
    <w:basedOn w:val="Normal"/>
    <w:uiPriority w:val="34"/>
    <w:qFormat/>
    <w:rsid w:val="005B7004"/>
    <w:pPr>
      <w:ind w:left="720"/>
      <w:contextualSpacing/>
    </w:pPr>
  </w:style>
  <w:style w:type="character" w:styleId="IntenseEmphasis">
    <w:name w:val="Intense Emphasis"/>
    <w:basedOn w:val="DefaultParagraphFont"/>
    <w:uiPriority w:val="21"/>
    <w:qFormat/>
    <w:rsid w:val="005B7004"/>
    <w:rPr>
      <w:i/>
      <w:iCs/>
      <w:color w:val="0F4761" w:themeColor="accent1" w:themeShade="BF"/>
    </w:rPr>
  </w:style>
  <w:style w:type="paragraph" w:styleId="IntenseQuote">
    <w:name w:val="Intense Quote"/>
    <w:basedOn w:val="Normal"/>
    <w:next w:val="Normal"/>
    <w:link w:val="IntenseQuoteChar"/>
    <w:uiPriority w:val="30"/>
    <w:qFormat/>
    <w:rsid w:val="005B70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004"/>
    <w:rPr>
      <w:i/>
      <w:iCs/>
      <w:color w:val="0F4761" w:themeColor="accent1" w:themeShade="BF"/>
    </w:rPr>
  </w:style>
  <w:style w:type="character" w:styleId="IntenseReference">
    <w:name w:val="Intense Reference"/>
    <w:basedOn w:val="DefaultParagraphFont"/>
    <w:uiPriority w:val="32"/>
    <w:qFormat/>
    <w:rsid w:val="005B7004"/>
    <w:rPr>
      <w:b/>
      <w:bCs/>
      <w:smallCaps/>
      <w:color w:val="0F4761" w:themeColor="accent1" w:themeShade="BF"/>
      <w:spacing w:val="5"/>
    </w:rPr>
  </w:style>
  <w:style w:type="character" w:styleId="Hyperlink">
    <w:name w:val="Hyperlink"/>
    <w:basedOn w:val="DefaultParagraphFont"/>
    <w:uiPriority w:val="99"/>
    <w:unhideWhenUsed/>
    <w:rsid w:val="003E5F83"/>
    <w:rPr>
      <w:color w:val="467886" w:themeColor="hyperlink"/>
      <w:u w:val="single"/>
    </w:rPr>
  </w:style>
  <w:style w:type="character" w:styleId="UnresolvedMention">
    <w:name w:val="Unresolved Mention"/>
    <w:basedOn w:val="DefaultParagraphFont"/>
    <w:uiPriority w:val="99"/>
    <w:semiHidden/>
    <w:unhideWhenUsed/>
    <w:rsid w:val="003E5F83"/>
    <w:rPr>
      <w:color w:val="605E5C"/>
      <w:shd w:val="clear" w:color="auto" w:fill="E1DFDD"/>
    </w:rPr>
  </w:style>
  <w:style w:type="paragraph" w:styleId="NoSpacing">
    <w:name w:val="No Spacing"/>
    <w:link w:val="NoSpacingChar"/>
    <w:uiPriority w:val="1"/>
    <w:qFormat/>
    <w:rsid w:val="00C11CD0"/>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C11CD0"/>
    <w:rPr>
      <w:rFonts w:eastAsiaTheme="minorEastAsia"/>
      <w:kern w:val="0"/>
      <w:lang w:eastAsia="en-GB"/>
    </w:rPr>
  </w:style>
  <w:style w:type="paragraph" w:styleId="Header">
    <w:name w:val="header"/>
    <w:basedOn w:val="Normal"/>
    <w:link w:val="HeaderChar"/>
    <w:uiPriority w:val="99"/>
    <w:unhideWhenUsed/>
    <w:rsid w:val="00C96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58C"/>
  </w:style>
  <w:style w:type="paragraph" w:styleId="Footer">
    <w:name w:val="footer"/>
    <w:basedOn w:val="Normal"/>
    <w:link w:val="FooterChar"/>
    <w:uiPriority w:val="99"/>
    <w:unhideWhenUsed/>
    <w:rsid w:val="00C96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5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jpeg"/><Relationship Id="rId18" Type="http://schemas.openxmlformats.org/officeDocument/2006/relationships/hyperlink" Target="https://finance.ec.europa.eu/capital-markets-union-and-financial-markets/company-reporting-and-auditing/company-reporting/corporate-sustainability-reporting_en?utm_source=chatgpt.com" TargetMode="External"/><Relationship Id="rId3" Type="http://schemas.openxmlformats.org/officeDocument/2006/relationships/styles" Target="styles.xml"/><Relationship Id="rId21" Type="http://schemas.openxmlformats.org/officeDocument/2006/relationships/hyperlink" Target="https://www.weforum.org/publications/global-risks-report-2024?utm_source=chatgpt.com"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gh.bmj.com/" TargetMode="External"/><Relationship Id="rId2" Type="http://schemas.openxmlformats.org/officeDocument/2006/relationships/numbering" Target="numbering.xml"/><Relationship Id="rId16" Type="http://schemas.openxmlformats.org/officeDocument/2006/relationships/hyperlink" Target="https://www.astrazeneca.com/investor-relations/annual-reports.html?utm_source=chatgpt.com" TargetMode="External"/><Relationship Id="rId20" Type="http://schemas.openxmlformats.org/officeDocument/2006/relationships/hyperlink" Target="https://supplychainworld.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imf.org/en/Publications/fandd/issues/2024/06/B2B-Globalization-Today-Adam-Jakubik-and-Elizabeth-Van-Heuvelen?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52377B-FB3D-45FC-9789-8F97EEF96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1106</TotalTime>
  <Pages>9</Pages>
  <Words>1653</Words>
  <Characters>12087</Characters>
  <Application>Microsoft Office Word</Application>
  <DocSecurity>0</DocSecurity>
  <Lines>246</Lines>
  <Paragraphs>49</Paragraphs>
  <ScaleCrop>false</ScaleCrop>
  <HeadingPairs>
    <vt:vector size="2" baseType="variant">
      <vt:variant>
        <vt:lpstr>Title</vt:lpstr>
      </vt:variant>
      <vt:variant>
        <vt:i4>1</vt:i4>
      </vt:variant>
    </vt:vector>
  </HeadingPairs>
  <TitlesOfParts>
    <vt:vector size="1" baseType="lpstr">
      <vt:lpstr/>
    </vt:vector>
  </TitlesOfParts>
  <Company>2312529</Company>
  <LinksUpToDate>false</LinksUpToDate>
  <CharactersWithSpaces>13691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
  <dc:creator>Adrian Mihai Neacsu</dc:creator>
  <cp:keywords/>
  <dc:description/>
  <cp:lastModifiedBy>adrian neacsu</cp:lastModifiedBy>
  <cp:revision>4</cp:revision>
  <dcterms:created xsi:type="dcterms:W3CDTF">2025-11-12T13:48:00Z</dcterms:created>
  <dcterms:modified xsi:type="dcterms:W3CDTF">2025-11-13T10:22:00Z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52d33ead-1b41-42dd-bda5-09d77723b095</vt:lpwstr>
  </property>
</Properties>
</file>