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0DA65D8" w14:textId="6446A141" w:rsidR="003E7535" w:rsidRPr="00CF1BB9" w:rsidRDefault="00D43101" w:rsidP="00D43101">
      <w:pPr>
        <w:jc w:val="center"/>
        <w:rPr>
          <w:rFonts w:asciiTheme="minorHAnsi" w:hAnsiTheme="minorHAnsi" w:cstheme="minorHAnsi"/>
          <w:u w:val="single"/>
        </w:rPr>
      </w:pPr>
      <w:r w:rsidRPr="00CF1BB9">
        <w:rPr>
          <w:rFonts w:asciiTheme="minorHAnsi" w:hAnsiTheme="minorHAnsi" w:cstheme="minorHAnsi"/>
          <w:u w:val="single"/>
        </w:rPr>
        <w:t>Critically Examine the Literary and Artistic Representations of Medusa in the Gr</w:t>
      </w:r>
      <w:r w:rsidR="00286DF5" w:rsidRPr="00CF1BB9">
        <w:rPr>
          <w:rFonts w:asciiTheme="minorHAnsi" w:hAnsiTheme="minorHAnsi" w:cstheme="minorHAnsi"/>
          <w:u w:val="single"/>
        </w:rPr>
        <w:t>ae</w:t>
      </w:r>
      <w:r w:rsidRPr="00CF1BB9">
        <w:rPr>
          <w:rFonts w:asciiTheme="minorHAnsi" w:hAnsiTheme="minorHAnsi" w:cstheme="minorHAnsi"/>
          <w:u w:val="single"/>
        </w:rPr>
        <w:t>co-Roman World</w:t>
      </w:r>
    </w:p>
    <w:p w14:paraId="2AA70DFF" w14:textId="5E5BBF2A" w:rsidR="008C303F" w:rsidRPr="00CF1BB9" w:rsidRDefault="008C303F" w:rsidP="008C303F">
      <w:pPr>
        <w:rPr>
          <w:rFonts w:asciiTheme="minorHAnsi" w:hAnsiTheme="minorHAnsi" w:cstheme="minorHAnsi"/>
        </w:rPr>
      </w:pPr>
      <w:r>
        <w:rPr>
          <w:rFonts w:asciiTheme="minorHAnsi" w:hAnsiTheme="minorHAnsi" w:cstheme="minorHAnsi"/>
        </w:rPr>
        <w:t xml:space="preserve">To understand representations of Medusa, a researcher must look at both literary and artistic resources. </w:t>
      </w:r>
      <w:r w:rsidRPr="00CF1BB9">
        <w:rPr>
          <w:rFonts w:asciiTheme="minorHAnsi" w:hAnsiTheme="minorHAnsi" w:cstheme="minorHAnsi"/>
        </w:rPr>
        <w:t>While the main plot of the myth has not changed, curiously, the way in which Medusa is depicted has shifted greatly. Early imagery depicts a monstrous and beastly figure but over time depictions have become more human and feminine. This change in representation of Medusa from monstrous to feminine needs to be examined</w:t>
      </w:r>
      <w:r w:rsidRPr="00CF1BB9">
        <w:rPr>
          <w:rStyle w:val="FootnoteReference"/>
          <w:rFonts w:asciiTheme="minorHAnsi" w:hAnsiTheme="minorHAnsi" w:cstheme="minorHAnsi"/>
        </w:rPr>
        <w:footnoteReference w:id="1"/>
      </w:r>
      <w:r w:rsidRPr="00CF1BB9">
        <w:rPr>
          <w:rFonts w:asciiTheme="minorHAnsi" w:hAnsiTheme="minorHAnsi" w:cstheme="minorHAnsi"/>
        </w:rPr>
        <w:t>. Furthermore, the retellings of the Medusa myth have emphasised different aspects of Medusa. There is much scholarly debate on the interpretation of these different depictions and how they may have influenced artistic representations. Multiple messages can be found within the myth and different interpretations show the many layers of meaning embedded in the story.</w:t>
      </w:r>
      <w:r>
        <w:rPr>
          <w:rFonts w:asciiTheme="minorHAnsi" w:hAnsiTheme="minorHAnsi" w:cstheme="minorHAnsi"/>
        </w:rPr>
        <w:t xml:space="preserve"> </w:t>
      </w:r>
      <w:r w:rsidRPr="00CF1BB9">
        <w:rPr>
          <w:rFonts w:asciiTheme="minorHAnsi" w:hAnsiTheme="minorHAnsi" w:cstheme="minorHAnsi"/>
        </w:rPr>
        <w:t xml:space="preserve">The changing literary representations of Medusa through the Archaic to the Classical period have blurred the line between monster and </w:t>
      </w:r>
      <w:proofErr w:type="gramStart"/>
      <w:r w:rsidRPr="00CF1BB9">
        <w:rPr>
          <w:rFonts w:asciiTheme="minorHAnsi" w:hAnsiTheme="minorHAnsi" w:cstheme="minorHAnsi"/>
        </w:rPr>
        <w:t>human, and</w:t>
      </w:r>
      <w:proofErr w:type="gramEnd"/>
      <w:r w:rsidRPr="00CF1BB9">
        <w:rPr>
          <w:rFonts w:asciiTheme="minorHAnsi" w:hAnsiTheme="minorHAnsi" w:cstheme="minorHAnsi"/>
        </w:rPr>
        <w:t xml:space="preserve"> have given rise to changes in imagery that reflect a more sympathetic view of Medusa’s lost humanity.</w:t>
      </w:r>
    </w:p>
    <w:p w14:paraId="244908C1" w14:textId="5CC91890" w:rsidR="00BE19D9" w:rsidRPr="00CF1BB9" w:rsidRDefault="00BE19D9" w:rsidP="00BE19D9">
      <w:pPr>
        <w:rPr>
          <w:rFonts w:asciiTheme="minorHAnsi" w:hAnsiTheme="minorHAnsi" w:cstheme="minorHAnsi"/>
        </w:rPr>
      </w:pPr>
      <w:r w:rsidRPr="00CF1BB9">
        <w:rPr>
          <w:rFonts w:asciiTheme="minorHAnsi" w:hAnsiTheme="minorHAnsi" w:cstheme="minorHAnsi"/>
        </w:rPr>
        <w:t>First presented in Hesiod’s Theogony, Medusa is said to be one of the three Gorgon sisters birthed to Phorcys and Ceto</w:t>
      </w:r>
      <w:r w:rsidRPr="00CF1BB9">
        <w:rPr>
          <w:rStyle w:val="FootnoteReference"/>
          <w:rFonts w:asciiTheme="minorHAnsi" w:hAnsiTheme="minorHAnsi" w:cstheme="minorHAnsi"/>
        </w:rPr>
        <w:footnoteReference w:id="2"/>
      </w:r>
      <w:r w:rsidRPr="00CF1BB9">
        <w:rPr>
          <w:rFonts w:asciiTheme="minorHAnsi" w:hAnsiTheme="minorHAnsi" w:cstheme="minorHAnsi"/>
        </w:rPr>
        <w:t xml:space="preserve">. </w:t>
      </w:r>
      <w:r w:rsidR="00F86E15" w:rsidRPr="00CF1BB9">
        <w:rPr>
          <w:rFonts w:asciiTheme="minorHAnsi" w:hAnsiTheme="minorHAnsi" w:cstheme="minorHAnsi"/>
        </w:rPr>
        <w:t>There is very little information given about the lives of the Gorgons</w:t>
      </w:r>
      <w:r w:rsidR="00F86E15" w:rsidRPr="00CF1BB9">
        <w:rPr>
          <w:rStyle w:val="FootnoteReference"/>
          <w:rFonts w:asciiTheme="minorHAnsi" w:hAnsiTheme="minorHAnsi" w:cstheme="minorHAnsi"/>
        </w:rPr>
        <w:footnoteReference w:id="3"/>
      </w:r>
      <w:r w:rsidR="00F86E15" w:rsidRPr="00CF1BB9">
        <w:rPr>
          <w:rFonts w:asciiTheme="minorHAnsi" w:hAnsiTheme="minorHAnsi" w:cstheme="minorHAnsi"/>
        </w:rPr>
        <w:t>. All that is known is that Medusa was the only mortal one of the three sisters</w:t>
      </w:r>
      <w:r w:rsidR="00F86E15" w:rsidRPr="00CF1BB9">
        <w:rPr>
          <w:rStyle w:val="FootnoteReference"/>
          <w:rFonts w:asciiTheme="minorHAnsi" w:hAnsiTheme="minorHAnsi" w:cstheme="minorHAnsi"/>
        </w:rPr>
        <w:footnoteReference w:id="4"/>
      </w:r>
      <w:r w:rsidR="00F86E15" w:rsidRPr="00CF1BB9">
        <w:rPr>
          <w:rFonts w:asciiTheme="minorHAnsi" w:hAnsiTheme="minorHAnsi" w:cstheme="minorHAnsi"/>
        </w:rPr>
        <w:t>.</w:t>
      </w:r>
      <w:r w:rsidR="00F57B45" w:rsidRPr="00CF1BB9">
        <w:rPr>
          <w:rFonts w:asciiTheme="minorHAnsi" w:hAnsiTheme="minorHAnsi" w:cstheme="minorHAnsi"/>
        </w:rPr>
        <w:t xml:space="preserve"> The Medusa myth appears in a number of ancient works, most notably in Ovid’s Metamorphoses</w:t>
      </w:r>
      <w:r w:rsidR="001A2F58" w:rsidRPr="00CF1BB9">
        <w:rPr>
          <w:rFonts w:asciiTheme="minorHAnsi" w:hAnsiTheme="minorHAnsi" w:cstheme="minorHAnsi"/>
        </w:rPr>
        <w:t xml:space="preserve"> but also in </w:t>
      </w:r>
      <w:proofErr w:type="spellStart"/>
      <w:r w:rsidR="001A2F58" w:rsidRPr="00CF1BB9">
        <w:rPr>
          <w:rFonts w:asciiTheme="minorHAnsi" w:hAnsiTheme="minorHAnsi" w:cstheme="minorHAnsi"/>
        </w:rPr>
        <w:t>Apollodorus</w:t>
      </w:r>
      <w:proofErr w:type="spellEnd"/>
      <w:r w:rsidR="001A2F58" w:rsidRPr="00CF1BB9">
        <w:rPr>
          <w:rFonts w:asciiTheme="minorHAnsi" w:hAnsiTheme="minorHAnsi" w:cstheme="minorHAnsi"/>
        </w:rPr>
        <w:t xml:space="preserve">’ Library and </w:t>
      </w:r>
      <w:r w:rsidR="00237A59" w:rsidRPr="00CF1BB9">
        <w:rPr>
          <w:rFonts w:asciiTheme="minorHAnsi" w:hAnsiTheme="minorHAnsi" w:cstheme="minorHAnsi"/>
        </w:rPr>
        <w:t>the twelfth Pythian ode</w:t>
      </w:r>
      <w:r w:rsidR="001A2F58" w:rsidRPr="00CF1BB9">
        <w:rPr>
          <w:rFonts w:asciiTheme="minorHAnsi" w:hAnsiTheme="minorHAnsi" w:cstheme="minorHAnsi"/>
        </w:rPr>
        <w:t xml:space="preserve"> by Pindar.</w:t>
      </w:r>
    </w:p>
    <w:p w14:paraId="7C3F230B" w14:textId="7E2F670C" w:rsidR="009E3356" w:rsidRPr="008C303F" w:rsidRDefault="009E3356" w:rsidP="002B06FA">
      <w:pPr>
        <w:rPr>
          <w:rFonts w:asciiTheme="minorHAnsi" w:hAnsiTheme="minorHAnsi" w:cstheme="minorHAnsi"/>
          <w:b/>
        </w:rPr>
      </w:pPr>
      <w:r w:rsidRPr="00CF1BB9">
        <w:rPr>
          <w:rFonts w:asciiTheme="minorHAnsi" w:hAnsiTheme="minorHAnsi" w:cstheme="minorHAnsi"/>
        </w:rPr>
        <w:t>The literary history of the Medusa myth can be traced from the Archaic to the Classical periods of the ancient world.</w:t>
      </w:r>
      <w:r w:rsidR="00564A5A" w:rsidRPr="00CF1BB9">
        <w:rPr>
          <w:rFonts w:asciiTheme="minorHAnsi" w:hAnsiTheme="minorHAnsi" w:cstheme="minorHAnsi"/>
          <w:b/>
        </w:rPr>
        <w:t xml:space="preserve"> </w:t>
      </w:r>
      <w:r w:rsidR="007C141B" w:rsidRPr="00CF1BB9">
        <w:rPr>
          <w:rFonts w:asciiTheme="minorHAnsi" w:hAnsiTheme="minorHAnsi" w:cstheme="minorHAnsi"/>
        </w:rPr>
        <w:t>Th</w:t>
      </w:r>
      <w:r w:rsidRPr="00CF1BB9">
        <w:rPr>
          <w:rFonts w:asciiTheme="minorHAnsi" w:hAnsiTheme="minorHAnsi" w:cstheme="minorHAnsi"/>
        </w:rPr>
        <w:t>e earliest version of the Medusa story</w:t>
      </w:r>
      <w:r w:rsidR="007C141B" w:rsidRPr="00CF1BB9">
        <w:rPr>
          <w:rFonts w:asciiTheme="minorHAnsi" w:hAnsiTheme="minorHAnsi" w:cstheme="minorHAnsi"/>
        </w:rPr>
        <w:t xml:space="preserve"> </w:t>
      </w:r>
      <w:r w:rsidRPr="00CF1BB9">
        <w:rPr>
          <w:rFonts w:asciiTheme="minorHAnsi" w:hAnsiTheme="minorHAnsi" w:cstheme="minorHAnsi"/>
        </w:rPr>
        <w:lastRenderedPageBreak/>
        <w:t>appears</w:t>
      </w:r>
      <w:r w:rsidR="007C141B" w:rsidRPr="00CF1BB9">
        <w:rPr>
          <w:rFonts w:asciiTheme="minorHAnsi" w:hAnsiTheme="minorHAnsi" w:cstheme="minorHAnsi"/>
        </w:rPr>
        <w:t xml:space="preserve"> briefly in </w:t>
      </w:r>
      <w:r w:rsidRPr="00CF1BB9">
        <w:rPr>
          <w:rFonts w:asciiTheme="minorHAnsi" w:hAnsiTheme="minorHAnsi" w:cstheme="minorHAnsi"/>
        </w:rPr>
        <w:t xml:space="preserve">Hesiod’s </w:t>
      </w:r>
      <w:r w:rsidR="007C141B" w:rsidRPr="00CF1BB9">
        <w:rPr>
          <w:rFonts w:asciiTheme="minorHAnsi" w:hAnsiTheme="minorHAnsi" w:cstheme="minorHAnsi"/>
        </w:rPr>
        <w:t xml:space="preserve">Theogony </w:t>
      </w:r>
      <w:r w:rsidR="00AC61F2" w:rsidRPr="00CF1BB9">
        <w:rPr>
          <w:rFonts w:asciiTheme="minorHAnsi" w:hAnsiTheme="minorHAnsi" w:cstheme="minorHAnsi"/>
        </w:rPr>
        <w:t xml:space="preserve">from the late </w:t>
      </w:r>
      <w:r w:rsidR="00A448DF" w:rsidRPr="00CF1BB9">
        <w:rPr>
          <w:rFonts w:asciiTheme="minorHAnsi" w:hAnsiTheme="minorHAnsi" w:cstheme="minorHAnsi"/>
        </w:rPr>
        <w:t>eighth</w:t>
      </w:r>
      <w:r w:rsidR="00AC61F2" w:rsidRPr="00CF1BB9">
        <w:rPr>
          <w:rFonts w:asciiTheme="minorHAnsi" w:hAnsiTheme="minorHAnsi" w:cstheme="minorHAnsi"/>
        </w:rPr>
        <w:t xml:space="preserve"> century BCE and has</w:t>
      </w:r>
      <w:r w:rsidR="007C141B" w:rsidRPr="00CF1BB9">
        <w:rPr>
          <w:rFonts w:asciiTheme="minorHAnsi" w:hAnsiTheme="minorHAnsi" w:cstheme="minorHAnsi"/>
        </w:rPr>
        <w:t xml:space="preserve"> little detail</w:t>
      </w:r>
      <w:r w:rsidR="007C141B" w:rsidRPr="00CF1BB9">
        <w:rPr>
          <w:rStyle w:val="FootnoteReference"/>
          <w:rFonts w:asciiTheme="minorHAnsi" w:hAnsiTheme="minorHAnsi" w:cstheme="minorHAnsi"/>
        </w:rPr>
        <w:footnoteReference w:id="5"/>
      </w:r>
      <w:r w:rsidR="007C141B" w:rsidRPr="00CF1BB9">
        <w:rPr>
          <w:rFonts w:asciiTheme="minorHAnsi" w:hAnsiTheme="minorHAnsi" w:cstheme="minorHAnsi"/>
        </w:rPr>
        <w:t>.</w:t>
      </w:r>
      <w:r w:rsidR="000E6059" w:rsidRPr="00CF1BB9">
        <w:rPr>
          <w:rFonts w:asciiTheme="minorHAnsi" w:hAnsiTheme="minorHAnsi" w:cstheme="minorHAnsi"/>
        </w:rPr>
        <w:t xml:space="preserve"> Hesiod writes</w:t>
      </w:r>
      <w:r w:rsidR="007C141B" w:rsidRPr="00CF1BB9">
        <w:rPr>
          <w:rFonts w:asciiTheme="minorHAnsi" w:hAnsiTheme="minorHAnsi" w:cstheme="minorHAnsi"/>
        </w:rPr>
        <w:t xml:space="preserve"> </w:t>
      </w:r>
      <w:r w:rsidR="00AC61F2" w:rsidRPr="00CF1BB9">
        <w:rPr>
          <w:rFonts w:asciiTheme="minorHAnsi" w:hAnsiTheme="minorHAnsi" w:cstheme="minorHAnsi"/>
        </w:rPr>
        <w:t xml:space="preserve">“Medusa who suffered a grim fate […] and when Perseus cut off her head from her neck, out sprang great </w:t>
      </w:r>
      <w:proofErr w:type="spellStart"/>
      <w:r w:rsidR="00AC61F2" w:rsidRPr="00CF1BB9">
        <w:rPr>
          <w:rFonts w:asciiTheme="minorHAnsi" w:hAnsiTheme="minorHAnsi" w:cstheme="minorHAnsi"/>
        </w:rPr>
        <w:t>Chrysaor</w:t>
      </w:r>
      <w:proofErr w:type="spellEnd"/>
      <w:r w:rsidR="00AC61F2" w:rsidRPr="00CF1BB9">
        <w:rPr>
          <w:rFonts w:asciiTheme="minorHAnsi" w:hAnsiTheme="minorHAnsi" w:cstheme="minorHAnsi"/>
        </w:rPr>
        <w:t xml:space="preserve"> and the horse Pegasus”</w:t>
      </w:r>
      <w:r w:rsidR="00AC61F2" w:rsidRPr="00CF1BB9">
        <w:rPr>
          <w:rStyle w:val="FootnoteReference"/>
          <w:rFonts w:asciiTheme="minorHAnsi" w:hAnsiTheme="minorHAnsi" w:cstheme="minorHAnsi"/>
        </w:rPr>
        <w:footnoteReference w:id="6"/>
      </w:r>
      <w:r w:rsidR="00AC61F2" w:rsidRPr="00CF1BB9">
        <w:rPr>
          <w:rFonts w:asciiTheme="minorHAnsi" w:hAnsiTheme="minorHAnsi" w:cstheme="minorHAnsi"/>
        </w:rPr>
        <w:t>.</w:t>
      </w:r>
      <w:r w:rsidR="000E6059" w:rsidRPr="00CF1BB9">
        <w:rPr>
          <w:rFonts w:asciiTheme="minorHAnsi" w:hAnsiTheme="minorHAnsi" w:cstheme="minorHAnsi"/>
        </w:rPr>
        <w:t xml:space="preserve"> Here he describes her encounter with Perseus which follows a brief introduction to her family relations and her sexual encounter with Poseidon</w:t>
      </w:r>
      <w:r w:rsidR="00D4612E" w:rsidRPr="00CF1BB9">
        <w:rPr>
          <w:rFonts w:asciiTheme="minorHAnsi" w:hAnsiTheme="minorHAnsi" w:cstheme="minorHAnsi"/>
        </w:rPr>
        <w:t xml:space="preserve"> who is referred to as </w:t>
      </w:r>
      <w:r w:rsidR="004A6C42" w:rsidRPr="00CF1BB9">
        <w:rPr>
          <w:rFonts w:asciiTheme="minorHAnsi" w:hAnsiTheme="minorHAnsi" w:cstheme="minorHAnsi"/>
        </w:rPr>
        <w:t>“the god of the Stable Locks</w:t>
      </w:r>
      <w:r w:rsidR="00D4612E" w:rsidRPr="00CF1BB9">
        <w:rPr>
          <w:rFonts w:asciiTheme="minorHAnsi" w:hAnsiTheme="minorHAnsi" w:cstheme="minorHAnsi"/>
        </w:rPr>
        <w:t>”</w:t>
      </w:r>
      <w:r w:rsidR="004A6C42" w:rsidRPr="00CF1BB9">
        <w:rPr>
          <w:rStyle w:val="FootnoteReference"/>
          <w:rFonts w:asciiTheme="minorHAnsi" w:hAnsiTheme="minorHAnsi" w:cstheme="minorHAnsi"/>
        </w:rPr>
        <w:footnoteReference w:id="7"/>
      </w:r>
      <w:r w:rsidR="00D4612E" w:rsidRPr="00CF1BB9">
        <w:rPr>
          <w:rFonts w:asciiTheme="minorHAnsi" w:hAnsiTheme="minorHAnsi" w:cstheme="minorHAnsi"/>
        </w:rPr>
        <w:t>.</w:t>
      </w:r>
      <w:r w:rsidR="008C303F">
        <w:rPr>
          <w:rFonts w:asciiTheme="minorHAnsi" w:hAnsiTheme="minorHAnsi" w:cstheme="minorHAnsi"/>
          <w:b/>
        </w:rPr>
        <w:t xml:space="preserve"> </w:t>
      </w:r>
      <w:r w:rsidR="00B64BA5" w:rsidRPr="00CF1BB9">
        <w:rPr>
          <w:rFonts w:asciiTheme="minorHAnsi" w:hAnsiTheme="minorHAnsi" w:cstheme="minorHAnsi"/>
        </w:rPr>
        <w:t>The story of Medusa is</w:t>
      </w:r>
      <w:r w:rsidR="00560A99" w:rsidRPr="00CF1BB9">
        <w:rPr>
          <w:rFonts w:asciiTheme="minorHAnsi" w:hAnsiTheme="minorHAnsi" w:cstheme="minorHAnsi"/>
        </w:rPr>
        <w:t xml:space="preserve"> also</w:t>
      </w:r>
      <w:r w:rsidR="00B64BA5" w:rsidRPr="00CF1BB9">
        <w:rPr>
          <w:rFonts w:asciiTheme="minorHAnsi" w:hAnsiTheme="minorHAnsi" w:cstheme="minorHAnsi"/>
        </w:rPr>
        <w:t xml:space="preserve"> the subject of Pindar’s Twelfth Pythian Ode which was written for Midas of </w:t>
      </w:r>
      <w:proofErr w:type="spellStart"/>
      <w:r w:rsidR="00B64BA5" w:rsidRPr="00CF1BB9">
        <w:rPr>
          <w:rFonts w:asciiTheme="minorHAnsi" w:hAnsiTheme="minorHAnsi" w:cstheme="minorHAnsi"/>
        </w:rPr>
        <w:t>Acragas</w:t>
      </w:r>
      <w:proofErr w:type="spellEnd"/>
      <w:r w:rsidR="00B64BA5" w:rsidRPr="00CF1BB9">
        <w:rPr>
          <w:rStyle w:val="FootnoteReference"/>
          <w:rFonts w:asciiTheme="minorHAnsi" w:hAnsiTheme="minorHAnsi" w:cstheme="minorHAnsi"/>
        </w:rPr>
        <w:footnoteReference w:id="8"/>
      </w:r>
      <w:r w:rsidR="00B64BA5" w:rsidRPr="00CF1BB9">
        <w:rPr>
          <w:rFonts w:asciiTheme="minorHAnsi" w:hAnsiTheme="minorHAnsi" w:cstheme="minorHAnsi"/>
        </w:rPr>
        <w:t xml:space="preserve">. The odes were written for </w:t>
      </w:r>
      <w:r w:rsidR="00560A99" w:rsidRPr="00CF1BB9">
        <w:rPr>
          <w:rFonts w:asciiTheme="minorHAnsi" w:hAnsiTheme="minorHAnsi" w:cstheme="minorHAnsi"/>
        </w:rPr>
        <w:t xml:space="preserve">victors in </w:t>
      </w:r>
      <w:r w:rsidR="00B64BA5" w:rsidRPr="00CF1BB9">
        <w:rPr>
          <w:rFonts w:asciiTheme="minorHAnsi" w:hAnsiTheme="minorHAnsi" w:cstheme="minorHAnsi"/>
        </w:rPr>
        <w:t>the Panhellenic festivals</w:t>
      </w:r>
      <w:r w:rsidR="00D4612E" w:rsidRPr="00CF1BB9">
        <w:rPr>
          <w:rFonts w:asciiTheme="minorHAnsi" w:hAnsiTheme="minorHAnsi" w:cstheme="minorHAnsi"/>
        </w:rPr>
        <w:t xml:space="preserve"> </w:t>
      </w:r>
      <w:r w:rsidR="00B64BA5" w:rsidRPr="00CF1BB9">
        <w:rPr>
          <w:rFonts w:asciiTheme="minorHAnsi" w:hAnsiTheme="minorHAnsi" w:cstheme="minorHAnsi"/>
        </w:rPr>
        <w:t>in the fifth century BCE</w:t>
      </w:r>
      <w:r w:rsidR="00B64BA5" w:rsidRPr="00CF1BB9">
        <w:rPr>
          <w:rStyle w:val="FootnoteReference"/>
          <w:rFonts w:asciiTheme="minorHAnsi" w:hAnsiTheme="minorHAnsi" w:cstheme="minorHAnsi"/>
        </w:rPr>
        <w:footnoteReference w:id="9"/>
      </w:r>
      <w:r w:rsidR="00A448DF" w:rsidRPr="00CF1BB9">
        <w:rPr>
          <w:rFonts w:asciiTheme="minorHAnsi" w:hAnsiTheme="minorHAnsi" w:cstheme="minorHAnsi"/>
        </w:rPr>
        <w:t>.</w:t>
      </w:r>
      <w:r w:rsidR="002A0441" w:rsidRPr="00CF1BB9">
        <w:rPr>
          <w:rFonts w:asciiTheme="minorHAnsi" w:hAnsiTheme="minorHAnsi" w:cstheme="minorHAnsi"/>
        </w:rPr>
        <w:t xml:space="preserve"> </w:t>
      </w:r>
      <w:r w:rsidR="00560A99" w:rsidRPr="00CF1BB9">
        <w:rPr>
          <w:rFonts w:asciiTheme="minorHAnsi" w:hAnsiTheme="minorHAnsi" w:cstheme="minorHAnsi"/>
        </w:rPr>
        <w:t xml:space="preserve">As the odes were written for winning in a competition, the myth used would reflect the area of competition. </w:t>
      </w:r>
      <w:r w:rsidR="00DD5A6E" w:rsidRPr="00CF1BB9">
        <w:rPr>
          <w:rFonts w:asciiTheme="minorHAnsi" w:hAnsiTheme="minorHAnsi" w:cstheme="minorHAnsi"/>
        </w:rPr>
        <w:t>While this ode includes the story of Perseus and Medusa, its main source would have been following a different myth about the creation of the flute. The reference to “melodies of the flute”</w:t>
      </w:r>
      <w:r w:rsidR="00DD5A6E" w:rsidRPr="00CF1BB9">
        <w:rPr>
          <w:rStyle w:val="FootnoteReference"/>
          <w:rFonts w:asciiTheme="minorHAnsi" w:hAnsiTheme="minorHAnsi" w:cstheme="minorHAnsi"/>
        </w:rPr>
        <w:footnoteReference w:id="10"/>
      </w:r>
      <w:r w:rsidR="00DD5A6E" w:rsidRPr="00CF1BB9">
        <w:rPr>
          <w:rFonts w:asciiTheme="minorHAnsi" w:hAnsiTheme="minorHAnsi" w:cstheme="minorHAnsi"/>
        </w:rPr>
        <w:t xml:space="preserve"> show the link between the competition and this myth. </w:t>
      </w:r>
      <w:r w:rsidR="002A0441" w:rsidRPr="00CF1BB9">
        <w:rPr>
          <w:rFonts w:asciiTheme="minorHAnsi" w:hAnsiTheme="minorHAnsi" w:cstheme="minorHAnsi"/>
        </w:rPr>
        <w:t xml:space="preserve">In this ode, </w:t>
      </w:r>
      <w:r w:rsidR="00DD5A6E" w:rsidRPr="00CF1BB9">
        <w:rPr>
          <w:rFonts w:asciiTheme="minorHAnsi" w:hAnsiTheme="minorHAnsi" w:cstheme="minorHAnsi"/>
        </w:rPr>
        <w:t xml:space="preserve">Pindar refers to </w:t>
      </w:r>
      <w:r w:rsidR="002A0441" w:rsidRPr="00CF1BB9">
        <w:rPr>
          <w:rFonts w:asciiTheme="minorHAnsi" w:hAnsiTheme="minorHAnsi" w:cstheme="minorHAnsi"/>
        </w:rPr>
        <w:t>Medusa</w:t>
      </w:r>
      <w:r w:rsidR="00560A99" w:rsidRPr="00CF1BB9">
        <w:rPr>
          <w:rFonts w:asciiTheme="minorHAnsi" w:hAnsiTheme="minorHAnsi" w:cstheme="minorHAnsi"/>
        </w:rPr>
        <w:t xml:space="preserve"> as</w:t>
      </w:r>
      <w:r w:rsidR="002A0441" w:rsidRPr="00CF1BB9">
        <w:rPr>
          <w:rFonts w:asciiTheme="minorHAnsi" w:hAnsiTheme="minorHAnsi" w:cstheme="minorHAnsi"/>
        </w:rPr>
        <w:t xml:space="preserve"> “fair-cheeked”</w:t>
      </w:r>
      <w:r w:rsidR="002A0441" w:rsidRPr="00CF1BB9">
        <w:rPr>
          <w:rStyle w:val="FootnoteReference"/>
          <w:rFonts w:asciiTheme="minorHAnsi" w:hAnsiTheme="minorHAnsi" w:cstheme="minorHAnsi"/>
        </w:rPr>
        <w:footnoteReference w:id="11"/>
      </w:r>
      <w:r w:rsidR="002A0441" w:rsidRPr="00CF1BB9">
        <w:rPr>
          <w:rFonts w:asciiTheme="minorHAnsi" w:hAnsiTheme="minorHAnsi" w:cstheme="minorHAnsi"/>
        </w:rPr>
        <w:t>. This shows that she was viewed as a more feminine figure.</w:t>
      </w:r>
      <w:r w:rsidR="008C303F">
        <w:rPr>
          <w:rFonts w:asciiTheme="minorHAnsi" w:hAnsiTheme="minorHAnsi" w:cstheme="minorHAnsi"/>
        </w:rPr>
        <w:t xml:space="preserve"> </w:t>
      </w:r>
      <w:r w:rsidR="007C141B" w:rsidRPr="00CF1BB9">
        <w:rPr>
          <w:rFonts w:asciiTheme="minorHAnsi" w:hAnsiTheme="minorHAnsi" w:cstheme="minorHAnsi"/>
        </w:rPr>
        <w:t xml:space="preserve">The </w:t>
      </w:r>
      <w:r w:rsidRPr="00CF1BB9">
        <w:rPr>
          <w:rFonts w:asciiTheme="minorHAnsi" w:hAnsiTheme="minorHAnsi" w:cstheme="minorHAnsi"/>
        </w:rPr>
        <w:t>next significant appear</w:t>
      </w:r>
      <w:r w:rsidR="00D4612E" w:rsidRPr="00CF1BB9">
        <w:rPr>
          <w:rFonts w:asciiTheme="minorHAnsi" w:hAnsiTheme="minorHAnsi" w:cstheme="minorHAnsi"/>
        </w:rPr>
        <w:t>ance</w:t>
      </w:r>
      <w:r w:rsidRPr="00CF1BB9">
        <w:rPr>
          <w:rFonts w:asciiTheme="minorHAnsi" w:hAnsiTheme="minorHAnsi" w:cstheme="minorHAnsi"/>
        </w:rPr>
        <w:t xml:space="preserve"> of the myth comes </w:t>
      </w:r>
      <w:r w:rsidR="007C141B" w:rsidRPr="00CF1BB9">
        <w:rPr>
          <w:rFonts w:asciiTheme="minorHAnsi" w:hAnsiTheme="minorHAnsi" w:cstheme="minorHAnsi"/>
        </w:rPr>
        <w:t xml:space="preserve">in </w:t>
      </w:r>
      <w:proofErr w:type="spellStart"/>
      <w:r w:rsidR="007C141B" w:rsidRPr="00CF1BB9">
        <w:rPr>
          <w:rFonts w:asciiTheme="minorHAnsi" w:hAnsiTheme="minorHAnsi" w:cstheme="minorHAnsi"/>
        </w:rPr>
        <w:t>Apollodorus</w:t>
      </w:r>
      <w:proofErr w:type="spellEnd"/>
      <w:r w:rsidR="007C141B" w:rsidRPr="00CF1BB9">
        <w:rPr>
          <w:rFonts w:asciiTheme="minorHAnsi" w:hAnsiTheme="minorHAnsi" w:cstheme="minorHAnsi"/>
        </w:rPr>
        <w:t xml:space="preserve">’ </w:t>
      </w:r>
      <w:r w:rsidR="007C141B" w:rsidRPr="00CF1BB9">
        <w:rPr>
          <w:rFonts w:asciiTheme="minorHAnsi" w:hAnsiTheme="minorHAnsi" w:cstheme="minorHAnsi"/>
          <w:i/>
        </w:rPr>
        <w:t>Library</w:t>
      </w:r>
      <w:r w:rsidR="007C141B" w:rsidRPr="00CF1BB9">
        <w:rPr>
          <w:rFonts w:asciiTheme="minorHAnsi" w:hAnsiTheme="minorHAnsi" w:cstheme="minorHAnsi"/>
        </w:rPr>
        <w:t xml:space="preserve"> </w:t>
      </w:r>
      <w:r w:rsidRPr="00CF1BB9">
        <w:rPr>
          <w:rFonts w:asciiTheme="minorHAnsi" w:hAnsiTheme="minorHAnsi" w:cstheme="minorHAnsi"/>
        </w:rPr>
        <w:t xml:space="preserve">and </w:t>
      </w:r>
      <w:r w:rsidR="007C141B" w:rsidRPr="00CF1BB9">
        <w:rPr>
          <w:rFonts w:asciiTheme="minorHAnsi" w:hAnsiTheme="minorHAnsi" w:cstheme="minorHAnsi"/>
        </w:rPr>
        <w:t xml:space="preserve">is presented in more detail. </w:t>
      </w:r>
      <w:r w:rsidR="00AC61F2" w:rsidRPr="00CF1BB9">
        <w:rPr>
          <w:rFonts w:asciiTheme="minorHAnsi" w:hAnsiTheme="minorHAnsi" w:cstheme="minorHAnsi"/>
        </w:rPr>
        <w:t xml:space="preserve">The </w:t>
      </w:r>
      <w:r w:rsidR="00AC61F2" w:rsidRPr="00CF1BB9">
        <w:rPr>
          <w:rFonts w:asciiTheme="minorHAnsi" w:hAnsiTheme="minorHAnsi" w:cstheme="minorHAnsi"/>
          <w:i/>
        </w:rPr>
        <w:t>Library</w:t>
      </w:r>
      <w:r w:rsidR="00AC61F2" w:rsidRPr="00CF1BB9">
        <w:rPr>
          <w:rFonts w:asciiTheme="minorHAnsi" w:hAnsiTheme="minorHAnsi" w:cstheme="minorHAnsi"/>
        </w:rPr>
        <w:t xml:space="preserve"> covers Greek myth from the creation of the universe up to the Trojan War</w:t>
      </w:r>
      <w:r w:rsidR="00237A59" w:rsidRPr="00CF1BB9">
        <w:rPr>
          <w:rFonts w:asciiTheme="minorHAnsi" w:hAnsiTheme="minorHAnsi" w:cstheme="minorHAnsi"/>
        </w:rPr>
        <w:t xml:space="preserve"> and was written in the </w:t>
      </w:r>
      <w:r w:rsidR="00A448DF" w:rsidRPr="00CF1BB9">
        <w:rPr>
          <w:rFonts w:asciiTheme="minorHAnsi" w:hAnsiTheme="minorHAnsi" w:cstheme="minorHAnsi"/>
        </w:rPr>
        <w:t xml:space="preserve">second </w:t>
      </w:r>
      <w:r w:rsidR="00237A59" w:rsidRPr="00CF1BB9">
        <w:rPr>
          <w:rFonts w:asciiTheme="minorHAnsi" w:hAnsiTheme="minorHAnsi" w:cstheme="minorHAnsi"/>
        </w:rPr>
        <w:t>century BCE</w:t>
      </w:r>
      <w:r w:rsidR="00237A59" w:rsidRPr="00CF1BB9">
        <w:rPr>
          <w:rStyle w:val="FootnoteReference"/>
          <w:rFonts w:asciiTheme="minorHAnsi" w:hAnsiTheme="minorHAnsi" w:cstheme="minorHAnsi"/>
        </w:rPr>
        <w:footnoteReference w:id="12"/>
      </w:r>
      <w:r w:rsidR="00237A59" w:rsidRPr="00CF1BB9">
        <w:rPr>
          <w:rFonts w:asciiTheme="minorHAnsi" w:hAnsiTheme="minorHAnsi" w:cstheme="minorHAnsi"/>
        </w:rPr>
        <w:t>.</w:t>
      </w:r>
      <w:r w:rsidRPr="00CF1BB9">
        <w:rPr>
          <w:rFonts w:asciiTheme="minorHAnsi" w:hAnsiTheme="minorHAnsi" w:cstheme="minorHAnsi"/>
        </w:rPr>
        <w:t xml:space="preserve"> </w:t>
      </w:r>
      <w:r w:rsidR="007C141B" w:rsidRPr="00CF1BB9">
        <w:rPr>
          <w:rFonts w:asciiTheme="minorHAnsi" w:hAnsiTheme="minorHAnsi" w:cstheme="minorHAnsi"/>
        </w:rPr>
        <w:t xml:space="preserve">Within this story is a </w:t>
      </w:r>
      <w:r w:rsidR="00D4612E" w:rsidRPr="00CF1BB9">
        <w:rPr>
          <w:rFonts w:asciiTheme="minorHAnsi" w:hAnsiTheme="minorHAnsi" w:cstheme="minorHAnsi"/>
        </w:rPr>
        <w:t>more detailed</w:t>
      </w:r>
      <w:r w:rsidR="007C141B" w:rsidRPr="00CF1BB9">
        <w:rPr>
          <w:rFonts w:asciiTheme="minorHAnsi" w:hAnsiTheme="minorHAnsi" w:cstheme="minorHAnsi"/>
        </w:rPr>
        <w:t xml:space="preserve"> description of the Gorgons, saying that they have </w:t>
      </w:r>
      <w:r w:rsidR="00237A59" w:rsidRPr="00CF1BB9">
        <w:rPr>
          <w:rFonts w:asciiTheme="minorHAnsi" w:hAnsiTheme="minorHAnsi" w:cstheme="minorHAnsi"/>
        </w:rPr>
        <w:t>“heads with scaly serpents coiled around them, and large tusks like those of swine, and hands of bronze, and wings of gold”</w:t>
      </w:r>
      <w:r w:rsidR="007C141B" w:rsidRPr="00CF1BB9">
        <w:rPr>
          <w:rStyle w:val="FootnoteReference"/>
          <w:rFonts w:asciiTheme="minorHAnsi" w:hAnsiTheme="minorHAnsi" w:cstheme="minorHAnsi"/>
        </w:rPr>
        <w:footnoteReference w:id="13"/>
      </w:r>
      <w:r w:rsidR="007C141B" w:rsidRPr="00CF1BB9">
        <w:rPr>
          <w:rFonts w:asciiTheme="minorHAnsi" w:hAnsiTheme="minorHAnsi" w:cstheme="minorHAnsi"/>
        </w:rPr>
        <w:t>. In this depiction, the Gorgons can be envisioned as more monstrous creatures.</w:t>
      </w:r>
      <w:r w:rsidR="008C303F">
        <w:rPr>
          <w:rFonts w:asciiTheme="minorHAnsi" w:hAnsiTheme="minorHAnsi" w:cstheme="minorHAnsi"/>
        </w:rPr>
        <w:t xml:space="preserve"> </w:t>
      </w:r>
      <w:r w:rsidR="007C141B" w:rsidRPr="00CF1BB9">
        <w:rPr>
          <w:rFonts w:asciiTheme="minorHAnsi" w:hAnsiTheme="minorHAnsi" w:cstheme="minorHAnsi"/>
        </w:rPr>
        <w:t>In his Metamorphoses,</w:t>
      </w:r>
      <w:r w:rsidR="00D4612E" w:rsidRPr="00CF1BB9">
        <w:rPr>
          <w:rFonts w:asciiTheme="minorHAnsi" w:hAnsiTheme="minorHAnsi" w:cstheme="minorHAnsi"/>
        </w:rPr>
        <w:t xml:space="preserve"> Ovid provides the </w:t>
      </w:r>
      <w:r w:rsidR="00B33B0E" w:rsidRPr="00CF1BB9">
        <w:rPr>
          <w:rFonts w:asciiTheme="minorHAnsi" w:hAnsiTheme="minorHAnsi" w:cstheme="minorHAnsi"/>
        </w:rPr>
        <w:t>lengthiest</w:t>
      </w:r>
      <w:r w:rsidR="00D4612E" w:rsidRPr="00CF1BB9">
        <w:rPr>
          <w:rFonts w:asciiTheme="minorHAnsi" w:hAnsiTheme="minorHAnsi" w:cstheme="minorHAnsi"/>
        </w:rPr>
        <w:t xml:space="preserve"> telling of the myth and it is this version that is most widely known </w:t>
      </w:r>
      <w:r w:rsidR="00D4612E" w:rsidRPr="00CF1BB9">
        <w:rPr>
          <w:rFonts w:asciiTheme="minorHAnsi" w:hAnsiTheme="minorHAnsi" w:cstheme="minorHAnsi"/>
        </w:rPr>
        <w:lastRenderedPageBreak/>
        <w:t>today.</w:t>
      </w:r>
      <w:r w:rsidR="0054388E" w:rsidRPr="00CF1BB9">
        <w:rPr>
          <w:rFonts w:asciiTheme="minorHAnsi" w:hAnsiTheme="minorHAnsi" w:cstheme="minorHAnsi"/>
        </w:rPr>
        <w:t xml:space="preserve"> This being one of the later versions of the myth, written in 8CE</w:t>
      </w:r>
      <w:r w:rsidR="0054388E" w:rsidRPr="00CF1BB9">
        <w:rPr>
          <w:rStyle w:val="FootnoteReference"/>
          <w:rFonts w:asciiTheme="minorHAnsi" w:hAnsiTheme="minorHAnsi" w:cstheme="minorHAnsi"/>
        </w:rPr>
        <w:footnoteReference w:id="14"/>
      </w:r>
      <w:r w:rsidR="0054388E" w:rsidRPr="00CF1BB9">
        <w:rPr>
          <w:rFonts w:asciiTheme="minorHAnsi" w:hAnsiTheme="minorHAnsi" w:cstheme="minorHAnsi"/>
        </w:rPr>
        <w:t>, the depiction of Medusa can be viewed as the most popular representation.</w:t>
      </w:r>
      <w:r w:rsidR="007C141B" w:rsidRPr="00CF1BB9">
        <w:rPr>
          <w:rFonts w:asciiTheme="minorHAnsi" w:hAnsiTheme="minorHAnsi" w:cstheme="minorHAnsi"/>
        </w:rPr>
        <w:t xml:space="preserve"> Ovid presents Medusa as being a maiden before she was a monster and making it so the reader will regard her with an air of sympathy</w:t>
      </w:r>
      <w:r w:rsidR="007C141B" w:rsidRPr="00CF1BB9">
        <w:rPr>
          <w:rStyle w:val="FootnoteReference"/>
          <w:rFonts w:asciiTheme="minorHAnsi" w:hAnsiTheme="minorHAnsi" w:cstheme="minorHAnsi"/>
        </w:rPr>
        <w:footnoteReference w:id="15"/>
      </w:r>
      <w:r w:rsidR="00601A61" w:rsidRPr="00CF1BB9">
        <w:rPr>
          <w:rFonts w:asciiTheme="minorHAnsi" w:hAnsiTheme="minorHAnsi" w:cstheme="minorHAnsi"/>
        </w:rPr>
        <w:t xml:space="preserve">. </w:t>
      </w:r>
    </w:p>
    <w:p w14:paraId="2AD7E810" w14:textId="318E4C0E" w:rsidR="008C303F" w:rsidRPr="00CF1BB9" w:rsidRDefault="008C303F" w:rsidP="002B06FA">
      <w:pPr>
        <w:rPr>
          <w:rFonts w:asciiTheme="minorHAnsi" w:hAnsiTheme="minorHAnsi" w:cstheme="minorHAnsi"/>
        </w:rPr>
      </w:pPr>
      <w:r w:rsidRPr="00CF1BB9">
        <w:rPr>
          <w:rFonts w:asciiTheme="minorHAnsi" w:hAnsiTheme="minorHAnsi" w:cstheme="minorHAnsi"/>
        </w:rPr>
        <w:t>Images of Medusa are recorded as early as the Archaic period</w:t>
      </w:r>
      <w:r>
        <w:rPr>
          <w:rFonts w:asciiTheme="minorHAnsi" w:hAnsiTheme="minorHAnsi" w:cstheme="minorHAnsi"/>
        </w:rPr>
        <w:t>.</w:t>
      </w:r>
      <w:r w:rsidRPr="00CF1BB9">
        <w:rPr>
          <w:rFonts w:asciiTheme="minorHAnsi" w:hAnsiTheme="minorHAnsi" w:cstheme="minorHAnsi"/>
        </w:rPr>
        <w:t xml:space="preserve"> </w:t>
      </w:r>
      <w:r>
        <w:rPr>
          <w:rFonts w:asciiTheme="minorHAnsi" w:hAnsiTheme="minorHAnsi" w:cstheme="minorHAnsi"/>
        </w:rPr>
        <w:t>These e</w:t>
      </w:r>
      <w:r w:rsidRPr="00CF1BB9">
        <w:rPr>
          <w:rFonts w:asciiTheme="minorHAnsi" w:hAnsiTheme="minorHAnsi" w:cstheme="minorHAnsi"/>
        </w:rPr>
        <w:t>arly examples include pottery and antefixes that would have decorated buildings within the Graeco-Roman world.</w:t>
      </w:r>
      <w:r>
        <w:rPr>
          <w:rFonts w:asciiTheme="minorHAnsi" w:hAnsiTheme="minorHAnsi" w:cstheme="minorHAnsi"/>
        </w:rPr>
        <w:t xml:space="preserve"> </w:t>
      </w:r>
      <w:r w:rsidRPr="00CF1BB9">
        <w:rPr>
          <w:rFonts w:asciiTheme="minorHAnsi" w:hAnsiTheme="minorHAnsi" w:cstheme="minorHAnsi"/>
        </w:rPr>
        <w:t>Depictions of Medusa have continued to appear throughout the classical period. These depictions differ greatly from those of the Archaic period</w:t>
      </w:r>
      <w:r>
        <w:rPr>
          <w:rFonts w:asciiTheme="minorHAnsi" w:hAnsiTheme="minorHAnsi" w:cstheme="minorHAnsi"/>
        </w:rPr>
        <w:t>,</w:t>
      </w:r>
      <w:r w:rsidRPr="00CF1BB9">
        <w:rPr>
          <w:rFonts w:asciiTheme="minorHAnsi" w:hAnsiTheme="minorHAnsi" w:cstheme="minorHAnsi"/>
        </w:rPr>
        <w:t xml:space="preserve"> as they show a more feminine side to her. The fascinating and monstrous imagery of Medusa has inspired artist for generations. Her image is still as popular in modern times as it was throughout Greek and Roman history. </w:t>
      </w:r>
    </w:p>
    <w:p w14:paraId="6E93D101" w14:textId="7F8EFAA7" w:rsidR="0054388E" w:rsidRPr="00CF1BB9" w:rsidRDefault="008C303F" w:rsidP="003C510B">
      <w:pPr>
        <w:rPr>
          <w:rFonts w:asciiTheme="minorHAnsi" w:hAnsiTheme="minorHAnsi" w:cstheme="minorHAnsi"/>
        </w:rPr>
      </w:pPr>
      <w:r w:rsidRPr="00CF1BB9">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19390323" wp14:editId="60178878">
                <wp:simplePos x="0" y="0"/>
                <wp:positionH relativeFrom="margin">
                  <wp:posOffset>9525</wp:posOffset>
                </wp:positionH>
                <wp:positionV relativeFrom="paragraph">
                  <wp:posOffset>3559175</wp:posOffset>
                </wp:positionV>
                <wp:extent cx="200215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002155" cy="635"/>
                        </a:xfrm>
                        <a:prstGeom prst="rect">
                          <a:avLst/>
                        </a:prstGeom>
                        <a:solidFill>
                          <a:prstClr val="white"/>
                        </a:solidFill>
                        <a:ln>
                          <a:noFill/>
                        </a:ln>
                      </wps:spPr>
                      <wps:txbx>
                        <w:txbxContent>
                          <w:p w14:paraId="636E2DC0" w14:textId="4355F01D" w:rsidR="00B001DA" w:rsidRPr="004B52B6" w:rsidRDefault="00B001DA" w:rsidP="00B001DA">
                            <w:pPr>
                              <w:pStyle w:val="Caption"/>
                              <w:rPr>
                                <w:noProof/>
                                <w:color w:val="222222"/>
                                <w:sz w:val="21"/>
                                <w:szCs w:val="21"/>
                              </w:rPr>
                            </w:pPr>
                            <w:r>
                              <w:t xml:space="preserve">Figure </w:t>
                            </w:r>
                            <w:fldSimple w:instr=" SEQ Figure \* ARABIC ">
                              <w:r w:rsidR="0086284B">
                                <w:rPr>
                                  <w:noProof/>
                                </w:rPr>
                                <w:t>1</w:t>
                              </w:r>
                            </w:fldSimple>
                            <w:r>
                              <w:t xml:space="preserve"> Terracotta Stand, 570BCE, MET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390323" id="_x0000_t202" coordsize="21600,21600" o:spt="202" path="m,l,21600r21600,l21600,xe">
                <v:stroke joinstyle="miter"/>
                <v:path gradientshapeok="t" o:connecttype="rect"/>
              </v:shapetype>
              <v:shape id="Text Box 5" o:spid="_x0000_s1026" type="#_x0000_t202" style="position:absolute;margin-left:.75pt;margin-top:280.25pt;width:157.65pt;height:.0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9vKwIAAF0EAAAOAAAAZHJzL2Uyb0RvYy54bWysVMFu2zAMvQ/YPwi6L04ypBiMOEWWIsOA&#10;oC2QDD0rshwLkEWNUmJnXz9KttOt22nYRaZIitR7j/LyvmsMuyj0GmzBZ5MpZ8pKKLU9FfzbYfvh&#10;E2c+CFsKA1YV/Ko8v1+9f7dsXa7mUIMpFTIqYn3euoLXIbg8y7ysVSP8BJyyFKwAGxFoi6esRNFS&#10;9cZk8+n0LmsBS4cglffkfeiDfJXqV5WS4amqvArMFJzuFtKKaT3GNVstRX5C4Woth2uIf7hFI7Sl&#10;prdSDyIIdkb9R6lGSwQPVZhIaDKoKi1VwkBoZtM3aPa1cCphIXK8u9Hk/19Z+Xh5RqbLgi84s6Ih&#10;iQ6qC+wzdGwR2Wmdzylp7ygtdOQmlUe/J2cE3VXYxC/BYRQnnq83bmMxSU4Saz5bUBNJsbuPqXb2&#10;etShD18UNCwaBUcSLvEpLjsf6BqUOqbETh6MLrfamLiJgY1BdhEkclvroOIF6cRvWcbGXAvxVB+O&#10;nizi63FEK3THbgB9hPJKmBH6mfFObjU12gkfngXSkBBMGvzwREtloC04DBZnNeCPv/ljPmlHUc5a&#10;GrqC++9ngYoz89WSqnFCRwNH4zga9txsgCDO6Ek5mUw6gMGMZoXQvNB7WMcuFBJWUq+Ch9HchH70&#10;6T1JtV6nJJpDJ8LO7p2MpUdCD92LQDfIEUjFRxjHUeRvVOlzky5ufQ5EcZIsEtqzOPBMM5x0Gd5b&#10;fCS/7lPW619h9RMAAP//AwBQSwMEFAAGAAgAAAAhAEX+yRHdAAAACQEAAA8AAABkcnMvZG93bnJl&#10;di54bWxMTz1PwzAQ3ZH4D9YhsSDqlLYWCnGqqoIBlorQhc2Nr3EgPkex04Z/z8EC2717T++jWE++&#10;EyccYhtIw3yWgUCqg22p0bB/e7q9BxGTIWu6QKjhCyOsy8uLwuQ2nOkVT1VqBJtQzI0Gl1KfSxlr&#10;h97EWeiRmDuGwZvEcGikHcyZzX0n77JMSW9a4gRnetw6rD+r0WvYLd937mY8Pr5slovheT9u1UdT&#10;aX19NW0eQCSc0p8YfupzdSi50yGMZKPoGK9YqGGlMj6YX8wVTzn8fhTIspD/F5TfAAAA//8DAFBL&#10;AQItABQABgAIAAAAIQC2gziS/gAAAOEBAAATAAAAAAAAAAAAAAAAAAAAAABbQ29udGVudF9UeXBl&#10;c10ueG1sUEsBAi0AFAAGAAgAAAAhADj9If/WAAAAlAEAAAsAAAAAAAAAAAAAAAAALwEAAF9yZWxz&#10;Ly5yZWxzUEsBAi0AFAAGAAgAAAAhAD62T28rAgAAXQQAAA4AAAAAAAAAAAAAAAAALgIAAGRycy9l&#10;Mm9Eb2MueG1sUEsBAi0AFAAGAAgAAAAhAEX+yRHdAAAACQEAAA8AAAAAAAAAAAAAAAAAhQQAAGRy&#10;cy9kb3ducmV2LnhtbFBLBQYAAAAABAAEAPMAAACPBQAAAAA=&#10;" stroked="f">
                <v:textbox style="mso-fit-shape-to-text:t" inset="0,0,0,0">
                  <w:txbxContent>
                    <w:p w14:paraId="636E2DC0" w14:textId="4355F01D" w:rsidR="00B001DA" w:rsidRPr="004B52B6" w:rsidRDefault="00B001DA" w:rsidP="00B001DA">
                      <w:pPr>
                        <w:pStyle w:val="Caption"/>
                        <w:rPr>
                          <w:noProof/>
                          <w:color w:val="222222"/>
                          <w:sz w:val="21"/>
                          <w:szCs w:val="21"/>
                        </w:rPr>
                      </w:pPr>
                      <w:r>
                        <w:t xml:space="preserve">Figure </w:t>
                      </w:r>
                      <w:fldSimple w:instr=" SEQ Figure \* ARABIC ">
                        <w:r w:rsidR="0086284B">
                          <w:rPr>
                            <w:noProof/>
                          </w:rPr>
                          <w:t>1</w:t>
                        </w:r>
                      </w:fldSimple>
                      <w:r>
                        <w:t xml:space="preserve"> Terracotta Stand, 570BCE, MET museum</w:t>
                      </w:r>
                    </w:p>
                  </w:txbxContent>
                </v:textbox>
                <w10:wrap type="square" anchorx="margin"/>
              </v:shape>
            </w:pict>
          </mc:Fallback>
        </mc:AlternateContent>
      </w:r>
      <w:r w:rsidR="00763220" w:rsidRPr="00CF1BB9">
        <w:rPr>
          <w:rFonts w:asciiTheme="minorHAnsi" w:hAnsiTheme="minorHAnsi" w:cstheme="minorHAnsi"/>
          <w:noProof/>
        </w:rPr>
        <w:drawing>
          <wp:anchor distT="0" distB="0" distL="114300" distR="114300" simplePos="0" relativeHeight="251659264" behindDoc="0" locked="0" layoutInCell="1" allowOverlap="1" wp14:anchorId="0AD4788F" wp14:editId="79818605">
            <wp:simplePos x="0" y="0"/>
            <wp:positionH relativeFrom="margin">
              <wp:align>left</wp:align>
            </wp:positionH>
            <wp:positionV relativeFrom="paragraph">
              <wp:posOffset>1488440</wp:posOffset>
            </wp:positionV>
            <wp:extent cx="2002155" cy="2081530"/>
            <wp:effectExtent l="0" t="0" r="0" b="0"/>
            <wp:wrapSquare wrapText="bothSides"/>
            <wp:docPr id="1" name="Picture 1"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aic terracotta sta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2155" cy="2081530"/>
                    </a:xfrm>
                    <a:prstGeom prst="rect">
                      <a:avLst/>
                    </a:prstGeom>
                  </pic:spPr>
                </pic:pic>
              </a:graphicData>
            </a:graphic>
          </wp:anchor>
        </w:drawing>
      </w:r>
      <w:r w:rsidR="003C510B" w:rsidRPr="00CF1BB9">
        <w:rPr>
          <w:rFonts w:asciiTheme="minorHAnsi" w:hAnsiTheme="minorHAnsi" w:cstheme="minorHAnsi"/>
        </w:rPr>
        <w:t>During the Archaic period, Medusa is depicted</w:t>
      </w:r>
      <w:r w:rsidR="00F100AA" w:rsidRPr="00CF1BB9">
        <w:rPr>
          <w:rFonts w:asciiTheme="minorHAnsi" w:hAnsiTheme="minorHAnsi" w:cstheme="minorHAnsi"/>
        </w:rPr>
        <w:t xml:space="preserve"> artistically</w:t>
      </w:r>
      <w:r w:rsidR="003C510B" w:rsidRPr="00CF1BB9">
        <w:rPr>
          <w:rFonts w:asciiTheme="minorHAnsi" w:hAnsiTheme="minorHAnsi" w:cstheme="minorHAnsi"/>
        </w:rPr>
        <w:t xml:space="preserve"> as a monstrous head, with large eyes and a bearded face</w:t>
      </w:r>
      <w:r w:rsidR="003C510B" w:rsidRPr="00CF1BB9">
        <w:rPr>
          <w:rStyle w:val="FootnoteReference"/>
          <w:rFonts w:asciiTheme="minorHAnsi" w:hAnsiTheme="minorHAnsi" w:cstheme="minorHAnsi"/>
        </w:rPr>
        <w:footnoteReference w:id="16"/>
      </w:r>
      <w:r w:rsidR="003C510B" w:rsidRPr="00CF1BB9">
        <w:rPr>
          <w:rFonts w:asciiTheme="minorHAnsi" w:hAnsiTheme="minorHAnsi" w:cstheme="minorHAnsi"/>
        </w:rPr>
        <w:t>. This depiction is seen commonly in temple decoration from the period</w:t>
      </w:r>
      <w:r w:rsidR="003C510B" w:rsidRPr="00CF1BB9">
        <w:rPr>
          <w:rStyle w:val="FootnoteReference"/>
          <w:rFonts w:asciiTheme="minorHAnsi" w:hAnsiTheme="minorHAnsi" w:cstheme="minorHAnsi"/>
        </w:rPr>
        <w:footnoteReference w:id="17"/>
      </w:r>
      <w:r w:rsidR="003C510B" w:rsidRPr="00CF1BB9">
        <w:rPr>
          <w:rFonts w:asciiTheme="minorHAnsi" w:hAnsiTheme="minorHAnsi" w:cstheme="minorHAnsi"/>
        </w:rPr>
        <w:t xml:space="preserve">. </w:t>
      </w:r>
      <w:r w:rsidR="0054388E" w:rsidRPr="00CF1BB9">
        <w:rPr>
          <w:rFonts w:asciiTheme="minorHAnsi" w:hAnsiTheme="minorHAnsi" w:cstheme="minorHAnsi"/>
        </w:rPr>
        <w:t>For scholars focusing on the archaic representations, the removal of Medusa’s head is seen as an attempt by men to remove female power</w:t>
      </w:r>
      <w:r w:rsidR="0054388E" w:rsidRPr="00CF1BB9">
        <w:rPr>
          <w:rStyle w:val="FootnoteReference"/>
          <w:rFonts w:asciiTheme="minorHAnsi" w:hAnsiTheme="minorHAnsi" w:cstheme="minorHAnsi"/>
        </w:rPr>
        <w:footnoteReference w:id="18"/>
      </w:r>
      <w:r w:rsidR="0054388E" w:rsidRPr="00CF1BB9">
        <w:rPr>
          <w:rFonts w:asciiTheme="minorHAnsi" w:hAnsiTheme="minorHAnsi" w:cstheme="minorHAnsi"/>
        </w:rPr>
        <w:t>. By doing this, the myth of Medusa could be viewed as a way of legitimising the positions of men and women within Greek society, with the idea of a woman with power being seen as monstrous and unfeminine, something separate from humanity. The myth</w:t>
      </w:r>
      <w:r w:rsidR="001F341E">
        <w:rPr>
          <w:rFonts w:asciiTheme="minorHAnsi" w:hAnsiTheme="minorHAnsi" w:cstheme="minorHAnsi"/>
        </w:rPr>
        <w:t>,</w:t>
      </w:r>
      <w:r w:rsidR="0054388E" w:rsidRPr="00CF1BB9">
        <w:rPr>
          <w:rFonts w:asciiTheme="minorHAnsi" w:hAnsiTheme="minorHAnsi" w:cstheme="minorHAnsi"/>
        </w:rPr>
        <w:t xml:space="preserve"> therefore, at one level, shows that in the eyes of society, women in Greece should not hold power.</w:t>
      </w:r>
    </w:p>
    <w:p w14:paraId="1EF024F8" w14:textId="2E16B0AF" w:rsidR="009248F7" w:rsidRPr="00CF1BB9" w:rsidRDefault="00B001DA" w:rsidP="003C510B">
      <w:pPr>
        <w:rPr>
          <w:rFonts w:asciiTheme="minorHAnsi" w:hAnsiTheme="minorHAnsi" w:cstheme="minorHAnsi"/>
        </w:rPr>
      </w:pPr>
      <w:r w:rsidRPr="00CF1BB9">
        <w:rPr>
          <w:rFonts w:asciiTheme="minorHAnsi" w:hAnsiTheme="minorHAnsi" w:cstheme="minorHAnsi"/>
        </w:rPr>
        <w:lastRenderedPageBreak/>
        <w:t xml:space="preserve">The archaic terracotta stand (fig.1) depicts a grotesque Medusa face on. She has large tusks, wide eyes, </w:t>
      </w:r>
      <w:r w:rsidR="00A0405F" w:rsidRPr="00CF1BB9">
        <w:rPr>
          <w:rFonts w:asciiTheme="minorHAnsi" w:hAnsiTheme="minorHAnsi" w:cstheme="minorHAnsi"/>
        </w:rPr>
        <w:t xml:space="preserve">protruding tongue and a beard. Her hair is not represented as snakes but rather as tight curls on the top of her head. </w:t>
      </w:r>
      <w:r w:rsidR="000C4592" w:rsidRPr="00CF1BB9">
        <w:rPr>
          <w:rFonts w:asciiTheme="minorHAnsi" w:hAnsiTheme="minorHAnsi" w:cstheme="minorHAnsi"/>
        </w:rPr>
        <w:t>Her f</w:t>
      </w:r>
      <w:r w:rsidR="00A0405F" w:rsidRPr="00CF1BB9">
        <w:rPr>
          <w:rFonts w:asciiTheme="minorHAnsi" w:hAnsiTheme="minorHAnsi" w:cstheme="minorHAnsi"/>
        </w:rPr>
        <w:t xml:space="preserve">eatures are enlarged and emphasised, making her appearance </w:t>
      </w:r>
      <w:r w:rsidR="00D41463" w:rsidRPr="00CF1BB9">
        <w:rPr>
          <w:rFonts w:asciiTheme="minorHAnsi" w:hAnsiTheme="minorHAnsi" w:cstheme="minorHAnsi"/>
        </w:rPr>
        <w:t>uglier</w:t>
      </w:r>
      <w:r w:rsidR="00A0405F" w:rsidRPr="00CF1BB9">
        <w:rPr>
          <w:rFonts w:asciiTheme="minorHAnsi" w:hAnsiTheme="minorHAnsi" w:cstheme="minorHAnsi"/>
        </w:rPr>
        <w:t>.</w:t>
      </w:r>
      <w:r w:rsidR="00D41463" w:rsidRPr="00CF1BB9">
        <w:rPr>
          <w:rFonts w:asciiTheme="minorHAnsi" w:hAnsiTheme="minorHAnsi" w:cstheme="minorHAnsi"/>
        </w:rPr>
        <w:t xml:space="preserve"> The addition of the earrings may be a way of showing that she was a woman before she was a monster. This idea that she was once a woman makes her more monstrous as her appearance is opposite to the view of the ideal woman.</w:t>
      </w:r>
      <w:r w:rsidR="008C303F">
        <w:rPr>
          <w:rFonts w:asciiTheme="minorHAnsi" w:hAnsiTheme="minorHAnsi" w:cstheme="minorHAnsi"/>
        </w:rPr>
        <w:t xml:space="preserve"> </w:t>
      </w:r>
      <w:r w:rsidR="009248F7" w:rsidRPr="00CF1BB9">
        <w:rPr>
          <w:rFonts w:asciiTheme="minorHAnsi" w:hAnsiTheme="minorHAnsi" w:cstheme="minorHAnsi"/>
        </w:rPr>
        <w:t>T</w:t>
      </w:r>
      <w:r w:rsidR="00731289" w:rsidRPr="00CF1BB9">
        <w:rPr>
          <w:rFonts w:asciiTheme="minorHAnsi" w:hAnsiTheme="minorHAnsi" w:cstheme="minorHAnsi"/>
        </w:rPr>
        <w:t>h</w:t>
      </w:r>
      <w:r w:rsidR="009248F7" w:rsidRPr="00CF1BB9">
        <w:rPr>
          <w:rFonts w:asciiTheme="minorHAnsi" w:hAnsiTheme="minorHAnsi" w:cstheme="minorHAnsi"/>
        </w:rPr>
        <w:t xml:space="preserve">is depiction is unlike that of the literary </w:t>
      </w:r>
      <w:r w:rsidR="00564947" w:rsidRPr="00CF1BB9">
        <w:rPr>
          <w:rFonts w:asciiTheme="minorHAnsi" w:hAnsiTheme="minorHAnsi" w:cstheme="minorHAnsi"/>
        </w:rPr>
        <w:t>representations. The written sources from the archaic period do not give much of a description of M</w:t>
      </w:r>
      <w:r w:rsidR="00731289" w:rsidRPr="00CF1BB9">
        <w:rPr>
          <w:rFonts w:asciiTheme="minorHAnsi" w:hAnsiTheme="minorHAnsi" w:cstheme="minorHAnsi"/>
        </w:rPr>
        <w:t>ed</w:t>
      </w:r>
      <w:r w:rsidR="00564947" w:rsidRPr="00CF1BB9">
        <w:rPr>
          <w:rFonts w:asciiTheme="minorHAnsi" w:hAnsiTheme="minorHAnsi" w:cstheme="minorHAnsi"/>
        </w:rPr>
        <w:t>usa</w:t>
      </w:r>
      <w:r w:rsidR="00896DBF" w:rsidRPr="00CF1BB9">
        <w:rPr>
          <w:rFonts w:asciiTheme="minorHAnsi" w:hAnsiTheme="minorHAnsi" w:cstheme="minorHAnsi"/>
        </w:rPr>
        <w:t xml:space="preserve">, meaning the artistic depictions have, most likely, come from unwritten </w:t>
      </w:r>
      <w:r w:rsidR="00607EF5">
        <w:rPr>
          <w:rFonts w:asciiTheme="minorHAnsi" w:hAnsiTheme="minorHAnsi" w:cstheme="minorHAnsi"/>
        </w:rPr>
        <w:t>oral narratives</w:t>
      </w:r>
      <w:r w:rsidR="00896DBF" w:rsidRPr="00CF1BB9">
        <w:rPr>
          <w:rFonts w:asciiTheme="minorHAnsi" w:hAnsiTheme="minorHAnsi" w:cstheme="minorHAnsi"/>
        </w:rPr>
        <w:t xml:space="preserve"> of the myth. These accounts may have been written down at a later period as this depiction is close to the one given by </w:t>
      </w:r>
      <w:proofErr w:type="spellStart"/>
      <w:r w:rsidR="00896DBF" w:rsidRPr="00CF1BB9">
        <w:rPr>
          <w:rFonts w:asciiTheme="minorHAnsi" w:hAnsiTheme="minorHAnsi" w:cstheme="minorHAnsi"/>
        </w:rPr>
        <w:t>Apollodorus</w:t>
      </w:r>
      <w:proofErr w:type="spellEnd"/>
      <w:r w:rsidR="00896DBF" w:rsidRPr="00CF1BB9">
        <w:rPr>
          <w:rFonts w:asciiTheme="minorHAnsi" w:hAnsiTheme="minorHAnsi" w:cstheme="minorHAnsi"/>
        </w:rPr>
        <w:t xml:space="preserve"> in his </w:t>
      </w:r>
      <w:r w:rsidR="00896DBF" w:rsidRPr="00CF1BB9">
        <w:rPr>
          <w:rFonts w:asciiTheme="minorHAnsi" w:hAnsiTheme="minorHAnsi" w:cstheme="minorHAnsi"/>
          <w:i/>
        </w:rPr>
        <w:t>Library</w:t>
      </w:r>
      <w:r w:rsidR="00896DBF" w:rsidRPr="00CF1BB9">
        <w:rPr>
          <w:rStyle w:val="FootnoteReference"/>
          <w:rFonts w:asciiTheme="minorHAnsi" w:hAnsiTheme="minorHAnsi" w:cstheme="minorHAnsi"/>
          <w:i/>
        </w:rPr>
        <w:footnoteReference w:id="19"/>
      </w:r>
      <w:r w:rsidR="00896DBF" w:rsidRPr="00CF1BB9">
        <w:rPr>
          <w:rFonts w:asciiTheme="minorHAnsi" w:hAnsiTheme="minorHAnsi" w:cstheme="minorHAnsi"/>
          <w:i/>
        </w:rPr>
        <w:t>.</w:t>
      </w:r>
      <w:r w:rsidR="00896DBF" w:rsidRPr="00CF1BB9">
        <w:rPr>
          <w:rFonts w:asciiTheme="minorHAnsi" w:hAnsiTheme="minorHAnsi" w:cstheme="minorHAnsi"/>
        </w:rPr>
        <w:t xml:space="preserve"> </w:t>
      </w:r>
      <w:r w:rsidR="00763220" w:rsidRPr="00CF1BB9">
        <w:rPr>
          <w:rFonts w:asciiTheme="minorHAnsi" w:hAnsiTheme="minorHAnsi" w:cstheme="minorHAnsi"/>
        </w:rPr>
        <w:t xml:space="preserve">This may mean that the story of Perseus and Medusa was not popular throughout the Greek world in the archaic period, with a focus on chronology and epic rather than on heroic sagas. </w:t>
      </w:r>
    </w:p>
    <w:p w14:paraId="2846A6F1" w14:textId="2AFE6CAA" w:rsidR="00370D06" w:rsidRPr="00CF1BB9" w:rsidRDefault="00791999" w:rsidP="00791999">
      <w:pPr>
        <w:rPr>
          <w:rFonts w:asciiTheme="minorHAnsi" w:hAnsiTheme="minorHAnsi" w:cstheme="minorHAnsi"/>
        </w:rPr>
      </w:pPr>
      <w:r w:rsidRPr="00CF1BB9">
        <w:rPr>
          <w:rFonts w:asciiTheme="minorHAnsi" w:hAnsiTheme="minorHAnsi" w:cstheme="minorHAnsi"/>
        </w:rPr>
        <w:t>In th</w:t>
      </w:r>
      <w:r w:rsidR="00F100AA" w:rsidRPr="00CF1BB9">
        <w:rPr>
          <w:rFonts w:asciiTheme="minorHAnsi" w:hAnsiTheme="minorHAnsi" w:cstheme="minorHAnsi"/>
        </w:rPr>
        <w:t>e Classical and Hellenistic periods</w:t>
      </w:r>
      <w:r w:rsidRPr="00CF1BB9">
        <w:rPr>
          <w:rFonts w:asciiTheme="minorHAnsi" w:hAnsiTheme="minorHAnsi" w:cstheme="minorHAnsi"/>
        </w:rPr>
        <w:t xml:space="preserve"> representations of Medusa change from the monstrous face to one of a more feminine nature</w:t>
      </w:r>
      <w:r w:rsidRPr="00CF1BB9">
        <w:rPr>
          <w:rStyle w:val="FootnoteReference"/>
          <w:rFonts w:asciiTheme="minorHAnsi" w:hAnsiTheme="minorHAnsi" w:cstheme="minorHAnsi"/>
        </w:rPr>
        <w:footnoteReference w:id="20"/>
      </w:r>
      <w:r w:rsidRPr="00CF1BB9">
        <w:rPr>
          <w:rFonts w:asciiTheme="minorHAnsi" w:hAnsiTheme="minorHAnsi" w:cstheme="minorHAnsi"/>
        </w:rPr>
        <w:t>. She was still recognisable as she maintained her confrontational appearance</w:t>
      </w:r>
      <w:r w:rsidR="00F100AA" w:rsidRPr="00CF1BB9">
        <w:rPr>
          <w:rFonts w:asciiTheme="minorHAnsi" w:hAnsiTheme="minorHAnsi" w:cstheme="minorHAnsi"/>
        </w:rPr>
        <w:t xml:space="preserve"> always being depicted face on</w:t>
      </w:r>
      <w:r w:rsidRPr="00CF1BB9">
        <w:rPr>
          <w:rStyle w:val="FootnoteReference"/>
          <w:rFonts w:asciiTheme="minorHAnsi" w:hAnsiTheme="minorHAnsi" w:cstheme="minorHAnsi"/>
        </w:rPr>
        <w:footnoteReference w:id="21"/>
      </w:r>
      <w:r w:rsidRPr="00CF1BB9">
        <w:rPr>
          <w:rFonts w:asciiTheme="minorHAnsi" w:hAnsiTheme="minorHAnsi" w:cstheme="minorHAnsi"/>
        </w:rPr>
        <w:t>.</w:t>
      </w:r>
      <w:r w:rsidR="00F100AA" w:rsidRPr="00CF1BB9">
        <w:rPr>
          <w:rFonts w:asciiTheme="minorHAnsi" w:hAnsiTheme="minorHAnsi" w:cstheme="minorHAnsi"/>
        </w:rPr>
        <w:t xml:space="preserve"> This aspect of her depiction is extremely unusual in artistic representations of people. Rarely is anyone depicted face on, with artists favouring the profile view in almost all cases.</w:t>
      </w:r>
      <w:r w:rsidR="00286DF5" w:rsidRPr="00CF1BB9">
        <w:rPr>
          <w:rFonts w:asciiTheme="minorHAnsi" w:hAnsiTheme="minorHAnsi" w:cstheme="minorHAnsi"/>
        </w:rPr>
        <w:t xml:space="preserve"> This face on depiction is</w:t>
      </w:r>
      <w:r w:rsidR="00763220" w:rsidRPr="00CF1BB9">
        <w:rPr>
          <w:rFonts w:asciiTheme="minorHAnsi" w:hAnsiTheme="minorHAnsi" w:cstheme="minorHAnsi"/>
        </w:rPr>
        <w:t xml:space="preserve"> most commonly</w:t>
      </w:r>
      <w:r w:rsidR="00286DF5" w:rsidRPr="00CF1BB9">
        <w:rPr>
          <w:rFonts w:asciiTheme="minorHAnsi" w:hAnsiTheme="minorHAnsi" w:cstheme="minorHAnsi"/>
        </w:rPr>
        <w:t xml:space="preserve"> used when only her head is being depicted. This could suggest that depictions of Medusa’s head had </w:t>
      </w:r>
      <w:r w:rsidR="005A4F00" w:rsidRPr="00CF1BB9">
        <w:rPr>
          <w:rFonts w:asciiTheme="minorHAnsi" w:hAnsiTheme="minorHAnsi" w:cstheme="minorHAnsi"/>
        </w:rPr>
        <w:t>apotropaic functions</w:t>
      </w:r>
      <w:r w:rsidR="005A4F00" w:rsidRPr="00CF1BB9">
        <w:rPr>
          <w:rStyle w:val="FootnoteReference"/>
          <w:rFonts w:asciiTheme="minorHAnsi" w:hAnsiTheme="minorHAnsi" w:cstheme="minorHAnsi"/>
        </w:rPr>
        <w:footnoteReference w:id="22"/>
      </w:r>
      <w:r w:rsidR="005A4F00" w:rsidRPr="00CF1BB9">
        <w:rPr>
          <w:rFonts w:asciiTheme="minorHAnsi" w:hAnsiTheme="minorHAnsi" w:cstheme="minorHAnsi"/>
        </w:rPr>
        <w:t>. An example of this might be</w:t>
      </w:r>
      <w:r w:rsidR="00BD5AD3" w:rsidRPr="00CF1BB9">
        <w:rPr>
          <w:rFonts w:asciiTheme="minorHAnsi" w:hAnsiTheme="minorHAnsi" w:cstheme="minorHAnsi"/>
        </w:rPr>
        <w:t xml:space="preserve"> that the head was sometimes depicted on the helmets and shields of Greek soldiers</w:t>
      </w:r>
      <w:r w:rsidR="00BD5AD3" w:rsidRPr="00CF1BB9">
        <w:rPr>
          <w:rStyle w:val="FootnoteReference"/>
          <w:rFonts w:asciiTheme="minorHAnsi" w:hAnsiTheme="minorHAnsi" w:cstheme="minorHAnsi"/>
        </w:rPr>
        <w:footnoteReference w:id="23"/>
      </w:r>
      <w:r w:rsidR="00BD5AD3" w:rsidRPr="00CF1BB9">
        <w:rPr>
          <w:rFonts w:asciiTheme="minorHAnsi" w:hAnsiTheme="minorHAnsi" w:cstheme="minorHAnsi"/>
        </w:rPr>
        <w:t xml:space="preserve">. </w:t>
      </w:r>
      <w:r w:rsidR="00C8362B" w:rsidRPr="00CF1BB9">
        <w:rPr>
          <w:rFonts w:asciiTheme="minorHAnsi" w:hAnsiTheme="minorHAnsi" w:cstheme="minorHAnsi"/>
        </w:rPr>
        <w:t xml:space="preserve">The image of her head </w:t>
      </w:r>
      <w:proofErr w:type="gramStart"/>
      <w:r w:rsidR="00C8362B" w:rsidRPr="00CF1BB9">
        <w:rPr>
          <w:rFonts w:asciiTheme="minorHAnsi" w:hAnsiTheme="minorHAnsi" w:cstheme="minorHAnsi"/>
        </w:rPr>
        <w:t xml:space="preserve">was </w:t>
      </w:r>
      <w:r w:rsidR="00763220" w:rsidRPr="00CF1BB9">
        <w:rPr>
          <w:rFonts w:asciiTheme="minorHAnsi" w:hAnsiTheme="minorHAnsi" w:cstheme="minorHAnsi"/>
        </w:rPr>
        <w:t>seen</w:t>
      </w:r>
      <w:r w:rsidR="00C8362B" w:rsidRPr="00CF1BB9">
        <w:rPr>
          <w:rFonts w:asciiTheme="minorHAnsi" w:hAnsiTheme="minorHAnsi" w:cstheme="minorHAnsi"/>
        </w:rPr>
        <w:t xml:space="preserve"> as</w:t>
      </w:r>
      <w:proofErr w:type="gramEnd"/>
      <w:r w:rsidR="00C8362B" w:rsidRPr="00CF1BB9">
        <w:rPr>
          <w:rFonts w:asciiTheme="minorHAnsi" w:hAnsiTheme="minorHAnsi" w:cstheme="minorHAnsi"/>
        </w:rPr>
        <w:t xml:space="preserve"> a way </w:t>
      </w:r>
      <w:r w:rsidR="00C8362B" w:rsidRPr="00CF1BB9">
        <w:rPr>
          <w:rFonts w:asciiTheme="minorHAnsi" w:hAnsiTheme="minorHAnsi" w:cstheme="minorHAnsi"/>
        </w:rPr>
        <w:lastRenderedPageBreak/>
        <w:t>for the Greeks to ward off a greater threat or as a form of protection against evil.</w:t>
      </w:r>
      <w:r w:rsidR="008C303F">
        <w:rPr>
          <w:rFonts w:asciiTheme="minorHAnsi" w:hAnsiTheme="minorHAnsi" w:cstheme="minorHAnsi"/>
        </w:rPr>
        <w:t xml:space="preserve"> </w:t>
      </w:r>
      <w:r w:rsidR="00BD6CD9" w:rsidRPr="00CF1BB9">
        <w:rPr>
          <w:rFonts w:asciiTheme="minorHAnsi" w:hAnsiTheme="minorHAnsi" w:cstheme="minorHAnsi"/>
          <w:noProof/>
        </w:rPr>
        <w:drawing>
          <wp:anchor distT="0" distB="0" distL="114300" distR="114300" simplePos="0" relativeHeight="251668480" behindDoc="0" locked="0" layoutInCell="1" allowOverlap="1" wp14:anchorId="67FF742B" wp14:editId="5A3E7D06">
            <wp:simplePos x="0" y="0"/>
            <wp:positionH relativeFrom="column">
              <wp:posOffset>-400050</wp:posOffset>
            </wp:positionH>
            <wp:positionV relativeFrom="paragraph">
              <wp:posOffset>1945640</wp:posOffset>
            </wp:positionV>
            <wp:extent cx="2749550" cy="2134870"/>
            <wp:effectExtent l="0" t="0" r="0" b="0"/>
            <wp:wrapSquare wrapText="bothSides"/>
            <wp:docPr id="4" name="Picture 4"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racotta gorgoneion antefix.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9550" cy="2134870"/>
                    </a:xfrm>
                    <a:prstGeom prst="rect">
                      <a:avLst/>
                    </a:prstGeom>
                  </pic:spPr>
                </pic:pic>
              </a:graphicData>
            </a:graphic>
            <wp14:sizeRelH relativeFrom="margin">
              <wp14:pctWidth>0</wp14:pctWidth>
            </wp14:sizeRelH>
            <wp14:sizeRelV relativeFrom="margin">
              <wp14:pctHeight>0</wp14:pctHeight>
            </wp14:sizeRelV>
          </wp:anchor>
        </w:drawing>
      </w:r>
      <w:r w:rsidR="00DD0D29" w:rsidRPr="00CF1BB9">
        <w:rPr>
          <w:rFonts w:asciiTheme="minorHAnsi" w:hAnsiTheme="minorHAnsi" w:cstheme="minorHAnsi"/>
        </w:rPr>
        <w:t>The terracotta antefix (fig.2) depicts a</w:t>
      </w:r>
      <w:r w:rsidR="000C4592" w:rsidRPr="00CF1BB9">
        <w:rPr>
          <w:rFonts w:asciiTheme="minorHAnsi" w:hAnsiTheme="minorHAnsi" w:cstheme="minorHAnsi"/>
        </w:rPr>
        <w:t xml:space="preserve"> more feminine Medusa. The instantly recognisable feature is the pair of snakes, one hanging either side of her head. As well as t</w:t>
      </w:r>
      <w:r w:rsidR="00564947" w:rsidRPr="00CF1BB9">
        <w:rPr>
          <w:rFonts w:asciiTheme="minorHAnsi" w:hAnsiTheme="minorHAnsi" w:cstheme="minorHAnsi"/>
        </w:rPr>
        <w:t>h</w:t>
      </w:r>
      <w:r w:rsidR="000C4592" w:rsidRPr="00CF1BB9">
        <w:rPr>
          <w:rFonts w:asciiTheme="minorHAnsi" w:hAnsiTheme="minorHAnsi" w:cstheme="minorHAnsi"/>
        </w:rPr>
        <w:t xml:space="preserve">is, she has the confrontational look that is depicted in earlier artistic representations. Her mouth is still </w:t>
      </w:r>
      <w:proofErr w:type="gramStart"/>
      <w:r w:rsidR="000C4592" w:rsidRPr="00CF1BB9">
        <w:rPr>
          <w:rFonts w:asciiTheme="minorHAnsi" w:hAnsiTheme="minorHAnsi" w:cstheme="minorHAnsi"/>
        </w:rPr>
        <w:t>large</w:t>
      </w:r>
      <w:proofErr w:type="gramEnd"/>
      <w:r w:rsidR="000C4592" w:rsidRPr="00CF1BB9">
        <w:rPr>
          <w:rFonts w:asciiTheme="minorHAnsi" w:hAnsiTheme="minorHAnsi" w:cstheme="minorHAnsi"/>
        </w:rPr>
        <w:t xml:space="preserve"> and her eyes are wide. This depiction shows that she is still the monstrous being she is presented as in earlier depictions. However, the more feminine nature of her appearance in comparison to the archaic representation shows that she is being viewed as more female by artists. This antefix </w:t>
      </w:r>
      <w:r w:rsidR="00763220" w:rsidRPr="00CF1BB9">
        <w:rPr>
          <w:rFonts w:asciiTheme="minorHAnsi" w:hAnsiTheme="minorHAnsi" w:cstheme="minorHAnsi"/>
        </w:rPr>
        <w:t>is from a transitional phase between the Archaic and the Classical periods</w:t>
      </w:r>
      <w:r w:rsidR="00763220" w:rsidRPr="00CF1BB9">
        <w:rPr>
          <w:rStyle w:val="FootnoteReference"/>
          <w:rFonts w:asciiTheme="minorHAnsi" w:hAnsiTheme="minorHAnsi" w:cstheme="minorHAnsi"/>
        </w:rPr>
        <w:footnoteReference w:id="24"/>
      </w:r>
      <w:r w:rsidR="00763220" w:rsidRPr="00CF1BB9">
        <w:rPr>
          <w:rFonts w:asciiTheme="minorHAnsi" w:hAnsiTheme="minorHAnsi" w:cstheme="minorHAnsi"/>
        </w:rPr>
        <w:t xml:space="preserve">. This could explain why she </w:t>
      </w:r>
      <w:r w:rsidR="00BD6CD9" w:rsidRPr="00CF1BB9">
        <w:rPr>
          <w:rFonts w:asciiTheme="minorHAnsi" w:hAnsiTheme="minorHAnsi" w:cstheme="minorHAnsi"/>
          <w:noProof/>
        </w:rPr>
        <mc:AlternateContent>
          <mc:Choice Requires="wps">
            <w:drawing>
              <wp:anchor distT="0" distB="0" distL="114300" distR="114300" simplePos="0" relativeHeight="251672576" behindDoc="0" locked="0" layoutInCell="1" allowOverlap="1" wp14:anchorId="10801506" wp14:editId="46984AD8">
                <wp:simplePos x="0" y="0"/>
                <wp:positionH relativeFrom="column">
                  <wp:posOffset>-342900</wp:posOffset>
                </wp:positionH>
                <wp:positionV relativeFrom="paragraph">
                  <wp:posOffset>4094480</wp:posOffset>
                </wp:positionV>
                <wp:extent cx="264795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06033189" w14:textId="25892262" w:rsidR="0086284B" w:rsidRPr="00B31FDA" w:rsidRDefault="0086284B" w:rsidP="0086284B">
                            <w:pPr>
                              <w:pStyle w:val="Caption"/>
                              <w:rPr>
                                <w:noProof/>
                                <w:color w:val="222222"/>
                                <w:sz w:val="21"/>
                                <w:szCs w:val="21"/>
                              </w:rPr>
                            </w:pPr>
                            <w:r>
                              <w:t xml:space="preserve">Figure </w:t>
                            </w:r>
                            <w:fldSimple w:instr=" SEQ Figure \* ARABIC ">
                              <w:r>
                                <w:rPr>
                                  <w:noProof/>
                                </w:rPr>
                                <w:t>2</w:t>
                              </w:r>
                            </w:fldSimple>
                            <w:r>
                              <w:t xml:space="preserve"> Terracotta </w:t>
                            </w:r>
                            <w:r w:rsidR="00DD0D29">
                              <w:t>Antefix</w:t>
                            </w:r>
                            <w:r>
                              <w:t>,</w:t>
                            </w:r>
                            <w:r w:rsidR="00CD6D55">
                              <w:t xml:space="preserve"> 5</w:t>
                            </w:r>
                            <w:r w:rsidR="00CD6D55" w:rsidRPr="00CD6D55">
                              <w:rPr>
                                <w:vertAlign w:val="superscript"/>
                              </w:rPr>
                              <w:t>th</w:t>
                            </w:r>
                            <w:r w:rsidR="00CD6D55">
                              <w:t xml:space="preserve"> century BCE,</w:t>
                            </w:r>
                            <w:r>
                              <w:t xml:space="preserve"> MET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801506" id="Text Box 7" o:spid="_x0000_s1027" type="#_x0000_t202" style="position:absolute;margin-left:-27pt;margin-top:322.4pt;width:208.5pt;height:.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vzILQIAAGQEAAAOAAAAZHJzL2Uyb0RvYy54bWysVMFu2zAMvQ/YPwi6L06yNd2COEWWIsOA&#10;oC2QDD0rshwbkESNUmJnXz9KttOt22nYRaZIitJ7j/TirjWanRX6GmzOJ6MxZ8pKKGp7zPm3/ebd&#10;R858ELYQGqzK+UV5frd8+2bRuLmaQgW6UMioiPXzxuW8CsHNs8zLShnhR+CUpWAJaESgLR6zAkVD&#10;1Y3OpuPxLGsAC4cglffkve+CfJnql6WS4bEsvQpM55zeFtKKaT3ENVsuxPyIwlW17J8h/uEVRtSW&#10;Lr2WuhdBsBPWf5QytUTwUIaRBJNBWdZSJQyEZjJ+hWZXCacSFiLHuytN/v+VlQ/nJ2R1kfNbzqww&#10;JNFetYF9hpbdRnYa5+eUtHOUFlpyk8qD35Mzgm5LNPFLcBjFiefLldtYTJJzOvtw++mGQpJis/c3&#10;sUb2ctShD18UGBaNnCMJl/gU560PXeqQEm/yoOtiU2sdNzGw1sjOgkRuqjqovvhvWdrGXAvxVFcw&#10;erKIr8MRrdAe2sTGFeMBigtBR+haxzu5qem+rfDhSSD1CkGi/g+PtJQampxDb3FWAf74mz/mk4QU&#10;5ayh3su5/34SqDjTXy2JGxt1MHAwDoNhT2YNhHRCk+VkMukABj2YJYJ5prFYxVsoJKyku3IeBnMd&#10;ugmgsZJqtUpJ1I5OhK3dORlLD7zu22eBrlclkJgPMHSlmL8Sp8tN8rjVKRDTSbnIa8diTze1ctK+&#10;H7s4K7/uU9bLz2H5EwAA//8DAFBLAwQUAAYACAAAACEAEq5BHuAAAAALAQAADwAAAGRycy9kb3du&#10;cmV2LnhtbEyPwU7DMBBE70j8g7VIXFDrQEwEIU5VVXCAS0XohZsbu3EgXke204a/Z+ECx50dzcyr&#10;VrMb2NGE2HuUcL3MgBlsve6xk7B7e1rcAYtJoVaDRyPhy0RY1ednlSq1P+GrOTapYxSCsVQSbEpj&#10;yXlsrXEqLv1okH4HH5xKdIaO66BOFO4GfpNlBXeqR2qwajQba9rPZnIStuJ9a6+mw+PLWuTheTdt&#10;io+ukfLyYl4/AEtmTn9m+JlP06GmTXs/oY5skLC4FcSSJBRCEAM58iInZf+r3AOvK/6fof4GAAD/&#10;/wMAUEsBAi0AFAAGAAgAAAAhALaDOJL+AAAA4QEAABMAAAAAAAAAAAAAAAAAAAAAAFtDb250ZW50&#10;X1R5cGVzXS54bWxQSwECLQAUAAYACAAAACEAOP0h/9YAAACUAQAACwAAAAAAAAAAAAAAAAAvAQAA&#10;X3JlbHMvLnJlbHNQSwECLQAUAAYACAAAACEANDb8yC0CAABkBAAADgAAAAAAAAAAAAAAAAAuAgAA&#10;ZHJzL2Uyb0RvYy54bWxQSwECLQAUAAYACAAAACEAEq5BHuAAAAALAQAADwAAAAAAAAAAAAAAAACH&#10;BAAAZHJzL2Rvd25yZXYueG1sUEsFBgAAAAAEAAQA8wAAAJQFAAAAAA==&#10;" stroked="f">
                <v:textbox style="mso-fit-shape-to-text:t" inset="0,0,0,0">
                  <w:txbxContent>
                    <w:p w14:paraId="06033189" w14:textId="25892262" w:rsidR="0086284B" w:rsidRPr="00B31FDA" w:rsidRDefault="0086284B" w:rsidP="0086284B">
                      <w:pPr>
                        <w:pStyle w:val="Caption"/>
                        <w:rPr>
                          <w:noProof/>
                          <w:color w:val="222222"/>
                          <w:sz w:val="21"/>
                          <w:szCs w:val="21"/>
                        </w:rPr>
                      </w:pPr>
                      <w:r>
                        <w:t xml:space="preserve">Figure </w:t>
                      </w:r>
                      <w:fldSimple w:instr=" SEQ Figure \* ARABIC ">
                        <w:r>
                          <w:rPr>
                            <w:noProof/>
                          </w:rPr>
                          <w:t>2</w:t>
                        </w:r>
                      </w:fldSimple>
                      <w:r>
                        <w:t xml:space="preserve"> Terracotta </w:t>
                      </w:r>
                      <w:r w:rsidR="00DD0D29">
                        <w:t>Antefix</w:t>
                      </w:r>
                      <w:r>
                        <w:t>,</w:t>
                      </w:r>
                      <w:r w:rsidR="00CD6D55">
                        <w:t xml:space="preserve"> 5</w:t>
                      </w:r>
                      <w:r w:rsidR="00CD6D55" w:rsidRPr="00CD6D55">
                        <w:rPr>
                          <w:vertAlign w:val="superscript"/>
                        </w:rPr>
                        <w:t>th</w:t>
                      </w:r>
                      <w:r w:rsidR="00CD6D55">
                        <w:t xml:space="preserve"> century BCE,</w:t>
                      </w:r>
                      <w:r>
                        <w:t xml:space="preserve"> MET museum</w:t>
                      </w:r>
                    </w:p>
                  </w:txbxContent>
                </v:textbox>
                <w10:wrap type="square"/>
              </v:shape>
            </w:pict>
          </mc:Fallback>
        </mc:AlternateContent>
      </w:r>
      <w:r w:rsidR="00763220" w:rsidRPr="00CF1BB9">
        <w:rPr>
          <w:rFonts w:asciiTheme="minorHAnsi" w:hAnsiTheme="minorHAnsi" w:cstheme="minorHAnsi"/>
        </w:rPr>
        <w:t xml:space="preserve">still possesses some of the same features, such as the large mouth and eyes. </w:t>
      </w:r>
      <w:r w:rsidR="00370D06" w:rsidRPr="00CF1BB9">
        <w:rPr>
          <w:rFonts w:asciiTheme="minorHAnsi" w:hAnsiTheme="minorHAnsi" w:cstheme="minorHAnsi"/>
        </w:rPr>
        <w:t>The snakes could be a way of shifting the representation of her as a monster, meaning the artist is also able to present her as feminine. This more feminine representation does not follow the literary sources. Within the classical literature, Medusa is depicted as monstrous and in no way feminine when Perseus confronts her. This depiction is closer to the Archaic artistic depictions than it is of the classical. Therefore, it may be seen that the literary representations follow that of the artistic ones, rather than the other way.</w:t>
      </w:r>
    </w:p>
    <w:p w14:paraId="63B29E13" w14:textId="47DC2221" w:rsidR="00370D06" w:rsidRPr="00CF1BB9" w:rsidRDefault="00787C26" w:rsidP="00BC14A4">
      <w:pPr>
        <w:rPr>
          <w:rFonts w:asciiTheme="minorHAnsi" w:hAnsiTheme="minorHAnsi" w:cstheme="minorHAnsi"/>
        </w:rPr>
      </w:pPr>
      <w:r w:rsidRPr="00CF1BB9">
        <w:rPr>
          <w:rFonts w:asciiTheme="minorHAnsi" w:hAnsiTheme="minorHAnsi" w:cstheme="minorHAnsi"/>
        </w:rPr>
        <w:t>The confrontational imagery of the Medusa demands a response from the viewer that creates a link between the art and the viewer of the art.</w:t>
      </w:r>
      <w:r w:rsidR="00370D06" w:rsidRPr="00CF1BB9">
        <w:rPr>
          <w:rFonts w:asciiTheme="minorHAnsi" w:hAnsiTheme="minorHAnsi" w:cstheme="minorHAnsi"/>
        </w:rPr>
        <w:t xml:space="preserve"> </w:t>
      </w:r>
      <w:r w:rsidR="007C141B" w:rsidRPr="00CF1BB9">
        <w:rPr>
          <w:rFonts w:asciiTheme="minorHAnsi" w:hAnsiTheme="minorHAnsi" w:cstheme="minorHAnsi"/>
        </w:rPr>
        <w:t>Medusa was used by Roman poets as a way of exploring the link between art and viewership, with her face being seen as a way to display female power over male viewers</w:t>
      </w:r>
      <w:r w:rsidR="007C141B" w:rsidRPr="00CF1BB9">
        <w:rPr>
          <w:rStyle w:val="FootnoteReference"/>
          <w:rFonts w:asciiTheme="minorHAnsi" w:hAnsiTheme="minorHAnsi" w:cstheme="minorHAnsi"/>
        </w:rPr>
        <w:footnoteReference w:id="25"/>
      </w:r>
      <w:r w:rsidR="007C141B" w:rsidRPr="00CF1BB9">
        <w:rPr>
          <w:rFonts w:asciiTheme="minorHAnsi" w:hAnsiTheme="minorHAnsi" w:cstheme="minorHAnsi"/>
        </w:rPr>
        <w:t>.</w:t>
      </w:r>
      <w:r w:rsidR="00370D06" w:rsidRPr="00CF1BB9">
        <w:rPr>
          <w:rFonts w:asciiTheme="minorHAnsi" w:hAnsiTheme="minorHAnsi" w:cstheme="minorHAnsi"/>
        </w:rPr>
        <w:t xml:space="preserve"> The power that Medusa </w:t>
      </w:r>
      <w:r w:rsidR="00370D06" w:rsidRPr="00CF1BB9">
        <w:rPr>
          <w:rFonts w:asciiTheme="minorHAnsi" w:hAnsiTheme="minorHAnsi" w:cstheme="minorHAnsi"/>
        </w:rPr>
        <w:lastRenderedPageBreak/>
        <w:t>possesses can be interpreted as a passive, feminine power</w:t>
      </w:r>
      <w:r w:rsidR="00370D06" w:rsidRPr="00CF1BB9">
        <w:rPr>
          <w:rStyle w:val="FootnoteReference"/>
          <w:rFonts w:asciiTheme="minorHAnsi" w:hAnsiTheme="minorHAnsi" w:cstheme="minorHAnsi"/>
        </w:rPr>
        <w:footnoteReference w:id="26"/>
      </w:r>
      <w:r w:rsidR="00370D06" w:rsidRPr="00CF1BB9">
        <w:rPr>
          <w:rFonts w:asciiTheme="minorHAnsi" w:hAnsiTheme="minorHAnsi" w:cstheme="minorHAnsi"/>
        </w:rPr>
        <w:t xml:space="preserve">. Her ability to </w:t>
      </w:r>
      <w:r w:rsidR="009F2CF9" w:rsidRPr="00CF1BB9">
        <w:rPr>
          <w:rFonts w:asciiTheme="minorHAnsi" w:hAnsiTheme="minorHAnsi" w:cstheme="minorHAnsi"/>
        </w:rPr>
        <w:t>turn onlookers to stone does not require her to physically do anything. Instead, it is the viewer that must look at her for her power to work. She captures onlookers by their choice to look upon her. This is reflected in the way a viewer would be captured by looking at her image in art. In the same way as the myth, the viewer is metaphorically turned into a statue by looking upon a depiction of her face.</w:t>
      </w:r>
    </w:p>
    <w:p w14:paraId="0ADA0D25" w14:textId="4B778228" w:rsidR="000375B9" w:rsidRDefault="003C510B" w:rsidP="008F1AA3">
      <w:pPr>
        <w:rPr>
          <w:rFonts w:asciiTheme="minorHAnsi" w:hAnsiTheme="minorHAnsi" w:cstheme="minorHAnsi"/>
        </w:rPr>
      </w:pPr>
      <w:r w:rsidRPr="00CF1BB9">
        <w:rPr>
          <w:rFonts w:asciiTheme="minorHAnsi" w:hAnsiTheme="minorHAnsi" w:cstheme="minorHAnsi"/>
        </w:rPr>
        <w:t>A Structuralist interpretation of the Medusa myth can be used to explain the change in the artistic depictions of Medusa.</w:t>
      </w:r>
      <w:r w:rsidR="009F2CF9" w:rsidRPr="00CF1BB9">
        <w:rPr>
          <w:rFonts w:asciiTheme="minorHAnsi" w:hAnsiTheme="minorHAnsi" w:cstheme="minorHAnsi"/>
        </w:rPr>
        <w:t xml:space="preserve"> </w:t>
      </w:r>
      <w:r w:rsidR="007C141B" w:rsidRPr="00CF1BB9">
        <w:rPr>
          <w:rFonts w:asciiTheme="minorHAnsi" w:hAnsiTheme="minorHAnsi" w:cstheme="minorHAnsi"/>
        </w:rPr>
        <w:t xml:space="preserve">Structuralist theory </w:t>
      </w:r>
      <w:r w:rsidR="008B228D" w:rsidRPr="00CF1BB9">
        <w:rPr>
          <w:rFonts w:asciiTheme="minorHAnsi" w:hAnsiTheme="minorHAnsi" w:cstheme="minorHAnsi"/>
        </w:rPr>
        <w:t xml:space="preserve">often </w:t>
      </w:r>
      <w:r w:rsidR="007C141B" w:rsidRPr="00CF1BB9">
        <w:rPr>
          <w:rFonts w:asciiTheme="minorHAnsi" w:hAnsiTheme="minorHAnsi" w:cstheme="minorHAnsi"/>
        </w:rPr>
        <w:t>works in binaries</w:t>
      </w:r>
      <w:r w:rsidR="00492592">
        <w:rPr>
          <w:rFonts w:asciiTheme="minorHAnsi" w:hAnsiTheme="minorHAnsi" w:cstheme="minorHAnsi"/>
        </w:rPr>
        <w:t>;</w:t>
      </w:r>
      <w:r w:rsidR="008B228D" w:rsidRPr="00CF1BB9">
        <w:rPr>
          <w:rFonts w:asciiTheme="minorHAnsi" w:hAnsiTheme="minorHAnsi" w:cstheme="minorHAnsi"/>
        </w:rPr>
        <w:t xml:space="preserve"> as such</w:t>
      </w:r>
      <w:r w:rsidR="00B1352B">
        <w:rPr>
          <w:rFonts w:asciiTheme="minorHAnsi" w:hAnsiTheme="minorHAnsi" w:cstheme="minorHAnsi"/>
        </w:rPr>
        <w:t>,</w:t>
      </w:r>
      <w:r w:rsidR="007C141B" w:rsidRPr="00CF1BB9">
        <w:rPr>
          <w:rFonts w:asciiTheme="minorHAnsi" w:hAnsiTheme="minorHAnsi" w:cstheme="minorHAnsi"/>
        </w:rPr>
        <w:t xml:space="preserve"> each myth</w:t>
      </w:r>
      <w:r w:rsidR="008B228D" w:rsidRPr="00CF1BB9">
        <w:rPr>
          <w:rFonts w:asciiTheme="minorHAnsi" w:hAnsiTheme="minorHAnsi" w:cstheme="minorHAnsi"/>
        </w:rPr>
        <w:t xml:space="preserve"> can be seen</w:t>
      </w:r>
      <w:r w:rsidR="007C141B" w:rsidRPr="00CF1BB9">
        <w:rPr>
          <w:rFonts w:asciiTheme="minorHAnsi" w:hAnsiTheme="minorHAnsi" w:cstheme="minorHAnsi"/>
        </w:rPr>
        <w:t xml:space="preserve"> as a division between two concepts. The story of Perseus can be </w:t>
      </w:r>
      <w:r w:rsidR="002B66AD" w:rsidRPr="00CF1BB9">
        <w:rPr>
          <w:rFonts w:asciiTheme="minorHAnsi" w:hAnsiTheme="minorHAnsi" w:cstheme="minorHAnsi"/>
        </w:rPr>
        <w:t>interpreted</w:t>
      </w:r>
      <w:r w:rsidR="007C141B" w:rsidRPr="00CF1BB9">
        <w:rPr>
          <w:rFonts w:asciiTheme="minorHAnsi" w:hAnsiTheme="minorHAnsi" w:cstheme="minorHAnsi"/>
        </w:rPr>
        <w:t xml:space="preserve"> as a story of good against evil in its most basic form. However, there are more conflicts at play as it is also the story of human against monster as well as man against woman. </w:t>
      </w:r>
      <w:r w:rsidR="00952FE9" w:rsidRPr="00CF1BB9">
        <w:rPr>
          <w:rFonts w:asciiTheme="minorHAnsi" w:hAnsiTheme="minorHAnsi" w:cstheme="minorHAnsi"/>
        </w:rPr>
        <w:t>Structuralist theory views women as “the other”</w:t>
      </w:r>
      <w:r w:rsidR="00952FE9" w:rsidRPr="00CF1BB9">
        <w:rPr>
          <w:rStyle w:val="FootnoteReference"/>
          <w:rFonts w:asciiTheme="minorHAnsi" w:hAnsiTheme="minorHAnsi" w:cstheme="minorHAnsi"/>
        </w:rPr>
        <w:footnoteReference w:id="27"/>
      </w:r>
      <w:r w:rsidR="00101272" w:rsidRPr="00CF1BB9">
        <w:rPr>
          <w:rFonts w:asciiTheme="minorHAnsi" w:hAnsiTheme="minorHAnsi" w:cstheme="minorHAnsi"/>
        </w:rPr>
        <w:t>. This is reflected in the way that monsters are often perceived. The idea of the other makes the subject appear non-human and different. This belief means that the subject is viewed as from outside of society and is therefore bad. Depictions of Medusa show her as both a monster and a maiden</w:t>
      </w:r>
      <w:r w:rsidR="00101272" w:rsidRPr="00CF1BB9">
        <w:rPr>
          <w:rStyle w:val="FootnoteReference"/>
          <w:rFonts w:asciiTheme="minorHAnsi" w:hAnsiTheme="minorHAnsi" w:cstheme="minorHAnsi"/>
        </w:rPr>
        <w:footnoteReference w:id="28"/>
      </w:r>
      <w:r w:rsidR="00101272" w:rsidRPr="00CF1BB9">
        <w:rPr>
          <w:rFonts w:asciiTheme="minorHAnsi" w:hAnsiTheme="minorHAnsi" w:cstheme="minorHAnsi"/>
        </w:rPr>
        <w:t>. This duality of two negative aspects shows her to be a villain i</w:t>
      </w:r>
      <w:r w:rsidR="00B1352B">
        <w:rPr>
          <w:rFonts w:asciiTheme="minorHAnsi" w:hAnsiTheme="minorHAnsi" w:cstheme="minorHAnsi"/>
        </w:rPr>
        <w:t>n</w:t>
      </w:r>
      <w:r w:rsidR="00101272" w:rsidRPr="00CF1BB9">
        <w:rPr>
          <w:rFonts w:asciiTheme="minorHAnsi" w:hAnsiTheme="minorHAnsi" w:cstheme="minorHAnsi"/>
        </w:rPr>
        <w:t xml:space="preserve"> two regards. </w:t>
      </w:r>
    </w:p>
    <w:p w14:paraId="67B6B0F9" w14:textId="7669C927" w:rsidR="00DF1997" w:rsidRPr="00CF1BB9" w:rsidRDefault="00136319" w:rsidP="008F1AA3">
      <w:pPr>
        <w:rPr>
          <w:rFonts w:asciiTheme="minorHAnsi" w:hAnsiTheme="minorHAnsi" w:cstheme="minorHAnsi"/>
        </w:rPr>
      </w:pPr>
      <w:r w:rsidRPr="00CF1BB9">
        <w:rPr>
          <w:rFonts w:asciiTheme="minorHAnsi" w:hAnsiTheme="minorHAnsi" w:cstheme="minorHAnsi"/>
        </w:rPr>
        <w:t>The format of the myth can be interpreted in differing ways</w:t>
      </w:r>
      <w:r w:rsidR="008B228D" w:rsidRPr="00CF1BB9">
        <w:rPr>
          <w:rFonts w:asciiTheme="minorHAnsi" w:hAnsiTheme="minorHAnsi" w:cstheme="minorHAnsi"/>
        </w:rPr>
        <w:t>.</w:t>
      </w:r>
      <w:r w:rsidR="008B228D" w:rsidRPr="00CF1BB9">
        <w:rPr>
          <w:rFonts w:asciiTheme="minorHAnsi" w:hAnsiTheme="minorHAnsi" w:cstheme="minorHAnsi"/>
          <w:b/>
        </w:rPr>
        <w:t xml:space="preserve"> </w:t>
      </w:r>
      <w:r w:rsidR="008B228D" w:rsidRPr="00CF1BB9">
        <w:rPr>
          <w:rFonts w:asciiTheme="minorHAnsi" w:hAnsiTheme="minorHAnsi" w:cstheme="minorHAnsi"/>
        </w:rPr>
        <w:t>One obvious way is the heroic story</w:t>
      </w:r>
      <w:r w:rsidRPr="00CF1BB9">
        <w:rPr>
          <w:rFonts w:asciiTheme="minorHAnsi" w:hAnsiTheme="minorHAnsi" w:cstheme="minorHAnsi"/>
        </w:rPr>
        <w:t xml:space="preserve"> of Perseus killing a monster. </w:t>
      </w:r>
      <w:r w:rsidR="009F2CF9" w:rsidRPr="00CF1BB9">
        <w:rPr>
          <w:rFonts w:asciiTheme="minorHAnsi" w:hAnsiTheme="minorHAnsi" w:cstheme="minorHAnsi"/>
        </w:rPr>
        <w:t>In this regard, the myth follows the same basic formula that other</w:t>
      </w:r>
      <w:r w:rsidR="005B52F8" w:rsidRPr="00CF1BB9">
        <w:rPr>
          <w:rFonts w:asciiTheme="minorHAnsi" w:hAnsiTheme="minorHAnsi" w:cstheme="minorHAnsi"/>
        </w:rPr>
        <w:t xml:space="preserve"> heroic myths typically follow. In </w:t>
      </w:r>
      <w:proofErr w:type="gramStart"/>
      <w:r w:rsidR="005B52F8" w:rsidRPr="00CF1BB9">
        <w:rPr>
          <w:rFonts w:asciiTheme="minorHAnsi" w:hAnsiTheme="minorHAnsi" w:cstheme="minorHAnsi"/>
        </w:rPr>
        <w:t>the majority of</w:t>
      </w:r>
      <w:proofErr w:type="gramEnd"/>
      <w:r w:rsidR="005B52F8" w:rsidRPr="00CF1BB9">
        <w:rPr>
          <w:rFonts w:asciiTheme="minorHAnsi" w:hAnsiTheme="minorHAnsi" w:cstheme="minorHAnsi"/>
        </w:rPr>
        <w:t xml:space="preserve"> cases, a heroic saga will follow a nine-part structure consisting of: origins, malicious destiny, enters the service of a king, suicide mission, help with the task (be that divine or </w:t>
      </w:r>
      <w:r w:rsidR="00E37D38" w:rsidRPr="00CF1BB9">
        <w:rPr>
          <w:rFonts w:asciiTheme="minorHAnsi" w:hAnsiTheme="minorHAnsi" w:cstheme="minorHAnsi"/>
          <w:noProof/>
        </w:rPr>
        <w:lastRenderedPageBreak/>
        <w:drawing>
          <wp:anchor distT="0" distB="0" distL="114300" distR="114300" simplePos="0" relativeHeight="251665408" behindDoc="0" locked="0" layoutInCell="1" allowOverlap="1" wp14:anchorId="046A3CBA" wp14:editId="3C6C875B">
            <wp:simplePos x="0" y="0"/>
            <wp:positionH relativeFrom="margin">
              <wp:posOffset>-304800</wp:posOffset>
            </wp:positionH>
            <wp:positionV relativeFrom="paragraph">
              <wp:posOffset>0</wp:posOffset>
            </wp:positionV>
            <wp:extent cx="2076450" cy="2597785"/>
            <wp:effectExtent l="0" t="0" r="0" b="0"/>
            <wp:wrapSquare wrapText="bothSides"/>
            <wp:docPr id="2" name="Picture 2" descr="A picture containing vessel, wall,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ical terracotta pelik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6450" cy="2597785"/>
                    </a:xfrm>
                    <a:prstGeom prst="rect">
                      <a:avLst/>
                    </a:prstGeom>
                  </pic:spPr>
                </pic:pic>
              </a:graphicData>
            </a:graphic>
            <wp14:sizeRelH relativeFrom="margin">
              <wp14:pctWidth>0</wp14:pctWidth>
            </wp14:sizeRelH>
            <wp14:sizeRelV relativeFrom="margin">
              <wp14:pctHeight>0</wp14:pctHeight>
            </wp14:sizeRelV>
          </wp:anchor>
        </w:drawing>
      </w:r>
      <w:r w:rsidR="005B52F8" w:rsidRPr="00CF1BB9">
        <w:rPr>
          <w:rFonts w:asciiTheme="minorHAnsi" w:hAnsiTheme="minorHAnsi" w:cstheme="minorHAnsi"/>
        </w:rPr>
        <w:t>other), journey, completing task, journey home, aftermath</w:t>
      </w:r>
      <w:r w:rsidR="005B52F8" w:rsidRPr="00CF1BB9">
        <w:rPr>
          <w:rStyle w:val="FootnoteReference"/>
          <w:rFonts w:asciiTheme="minorHAnsi" w:hAnsiTheme="minorHAnsi" w:cstheme="minorHAnsi"/>
        </w:rPr>
        <w:footnoteReference w:id="29"/>
      </w:r>
      <w:r w:rsidR="005B52F8" w:rsidRPr="00CF1BB9">
        <w:rPr>
          <w:rFonts w:asciiTheme="minorHAnsi" w:hAnsiTheme="minorHAnsi" w:cstheme="minorHAnsi"/>
        </w:rPr>
        <w:t xml:space="preserve">. </w:t>
      </w:r>
      <w:r w:rsidRPr="00CF1BB9">
        <w:rPr>
          <w:rFonts w:asciiTheme="minorHAnsi" w:hAnsiTheme="minorHAnsi" w:cstheme="minorHAnsi"/>
        </w:rPr>
        <w:t xml:space="preserve">The story can </w:t>
      </w:r>
      <w:r w:rsidR="008B228D" w:rsidRPr="00CF1BB9">
        <w:rPr>
          <w:rFonts w:asciiTheme="minorHAnsi" w:hAnsiTheme="minorHAnsi" w:cstheme="minorHAnsi"/>
        </w:rPr>
        <w:t xml:space="preserve">also </w:t>
      </w:r>
      <w:proofErr w:type="gramStart"/>
      <w:r w:rsidRPr="00CF1BB9">
        <w:rPr>
          <w:rFonts w:asciiTheme="minorHAnsi" w:hAnsiTheme="minorHAnsi" w:cstheme="minorHAnsi"/>
        </w:rPr>
        <w:t>be seen as</w:t>
      </w:r>
      <w:proofErr w:type="gramEnd"/>
      <w:r w:rsidRPr="00CF1BB9">
        <w:rPr>
          <w:rFonts w:asciiTheme="minorHAnsi" w:hAnsiTheme="minorHAnsi" w:cstheme="minorHAnsi"/>
        </w:rPr>
        <w:t xml:space="preserve"> a perversion of an abduction myth</w:t>
      </w:r>
      <w:r w:rsidRPr="00CF1BB9">
        <w:rPr>
          <w:rStyle w:val="FootnoteReference"/>
          <w:rFonts w:asciiTheme="minorHAnsi" w:hAnsiTheme="minorHAnsi" w:cstheme="minorHAnsi"/>
        </w:rPr>
        <w:footnoteReference w:id="30"/>
      </w:r>
      <w:r w:rsidRPr="00CF1BB9">
        <w:rPr>
          <w:rFonts w:asciiTheme="minorHAnsi" w:hAnsiTheme="minorHAnsi" w:cstheme="minorHAnsi"/>
        </w:rPr>
        <w:t>.</w:t>
      </w:r>
      <w:r w:rsidR="002B66AD" w:rsidRPr="00CF1BB9">
        <w:rPr>
          <w:rFonts w:asciiTheme="minorHAnsi" w:hAnsiTheme="minorHAnsi" w:cstheme="minorHAnsi"/>
        </w:rPr>
        <w:t xml:space="preserve"> The </w:t>
      </w:r>
      <w:r w:rsidR="00E37D38" w:rsidRPr="00CF1BB9">
        <w:rPr>
          <w:rFonts w:asciiTheme="minorHAnsi" w:hAnsiTheme="minorHAnsi" w:cstheme="minorHAnsi"/>
          <w:noProof/>
        </w:rPr>
        <mc:AlternateContent>
          <mc:Choice Requires="wps">
            <w:drawing>
              <wp:anchor distT="0" distB="0" distL="114300" distR="114300" simplePos="0" relativeHeight="251674624" behindDoc="0" locked="0" layoutInCell="1" allowOverlap="1" wp14:anchorId="59D9ED05" wp14:editId="4F161C53">
                <wp:simplePos x="0" y="0"/>
                <wp:positionH relativeFrom="column">
                  <wp:posOffset>-304800</wp:posOffset>
                </wp:positionH>
                <wp:positionV relativeFrom="paragraph">
                  <wp:posOffset>2602230</wp:posOffset>
                </wp:positionV>
                <wp:extent cx="20764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076450" cy="635"/>
                        </a:xfrm>
                        <a:prstGeom prst="rect">
                          <a:avLst/>
                        </a:prstGeom>
                        <a:solidFill>
                          <a:prstClr val="white"/>
                        </a:solidFill>
                        <a:ln>
                          <a:noFill/>
                        </a:ln>
                      </wps:spPr>
                      <wps:txbx>
                        <w:txbxContent>
                          <w:p w14:paraId="1DF5879A" w14:textId="011F6B9F" w:rsidR="0086284B" w:rsidRPr="00E22A4E" w:rsidRDefault="0086284B" w:rsidP="0086284B">
                            <w:pPr>
                              <w:pStyle w:val="Caption"/>
                              <w:rPr>
                                <w:noProof/>
                                <w:color w:val="222222"/>
                                <w:sz w:val="21"/>
                                <w:szCs w:val="21"/>
                              </w:rPr>
                            </w:pPr>
                            <w:r>
                              <w:t xml:space="preserve">Figure </w:t>
                            </w:r>
                            <w:fldSimple w:instr=" SEQ Figure \* ARABIC ">
                              <w:r>
                                <w:rPr>
                                  <w:noProof/>
                                </w:rPr>
                                <w:t>3</w:t>
                              </w:r>
                            </w:fldSimple>
                            <w:r>
                              <w:t xml:space="preserve"> </w:t>
                            </w:r>
                            <w:proofErr w:type="spellStart"/>
                            <w:r>
                              <w:t>Pelike</w:t>
                            </w:r>
                            <w:proofErr w:type="spellEnd"/>
                            <w:r>
                              <w:t xml:space="preserve"> Vase,</w:t>
                            </w:r>
                            <w:r w:rsidR="00CD6D55">
                              <w:t xml:space="preserve"> 450-440BCE,</w:t>
                            </w:r>
                            <w:r>
                              <w:t xml:space="preserve"> MET mus</w:t>
                            </w:r>
                            <w:r w:rsidR="00CD6D55">
                              <w:t>eu</w:t>
                            </w:r>
                            <w:r>
                              <w:t>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D9ED05" id="Text Box 8" o:spid="_x0000_s1028" type="#_x0000_t202" style="position:absolute;margin-left:-24pt;margin-top:204.9pt;width:163.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1u8LQIAAGQEAAAOAAAAZHJzL2Uyb0RvYy54bWysVMFu2zAMvQ/YPwi6L06yNSuMOEWWIsOA&#10;oC2QDD0rshwLkEWNUmJnXz9KjtOu22nYRaZIitJ7j/T8rmsMOyn0GmzBJ6MxZ8pKKLU9FPz7bv3h&#10;ljMfhC2FAasKflae3y3ev5u3LldTqMGUChkVsT5vXcHrEFyeZV7WqhF+BE5ZClaAjQi0xUNWomip&#10;emOy6Xg8y1rA0iFI5T157/sgX6T6VaVkeKwqrwIzBae3hbRiWvdxzRZzkR9QuFrLyzPEP7yiEdrS&#10;pddS9yIIdkT9R6lGSwQPVRhJaDKoKi1VwkBoJuM3aLa1cCphIXK8u9Lk/19Z+XB6QqbLgpNQVjQk&#10;0U51gX2Bjt1Gdlrnc0raOkoLHblJ5cHvyRlBdxU28UtwGMWJ5/OV21hMknM6/jz7dEMhSbHZx5tY&#10;I3s56tCHrwoaFo2CIwmX+BSnjQ996pASb/JgdLnWxsRNDKwMspMgkdtaB3Up/luWsTHXQjzVF4ye&#10;LOLrcUQrdPsusTEdMO6hPBN0hL51vJNrTfdthA9PAqlXCBL1f3ikpTLQFhwuFmc14M+/+WM+SUhR&#10;zlrqvYL7H0eBijPzzZK4sVEHAwdjPxj22KyAkE5ospxMJh3AYAazQmieaSyW8RYKCSvproKHwVyF&#10;fgJorKRaLlMStaMTYWO3TsbSA6+77lmgu6gSSMwHGLpS5G/E6XOTPG55DMR0Ui7y2rN4oZtaOWl/&#10;Gbs4K6/3Kevl57D4BQAA//8DAFBLAwQUAAYACAAAACEAAXkXdeEAAAALAQAADwAAAGRycy9kb3du&#10;cmV2LnhtbEyPwU7DMBBE70j8g7VIXFDrUKLShDhVVcEBLhWhF25uvI0D8TqKnTb8PQsXOO7saGZe&#10;sZ5cJ044hNaTgtt5AgKp9qalRsH+7Wm2AhGiJqM7T6jgCwOsy8uLQufGn+kVT1VsBIdQyLUCG2Of&#10;Sxlqi06Hue+R+Hf0g9ORz6GRZtBnDnedXCTJUjrdEjdY3ePWYv1ZjU7BLn3f2Zvx+PiySe+G5/24&#10;XX40lVLXV9PmAUTEKf6Z4Wc+T4eSNx38SCaITsEsXTFLVJAmGTOwY3GfsXL4VTKQZSH/M5TfAAAA&#10;//8DAFBLAQItABQABgAIAAAAIQC2gziS/gAAAOEBAAATAAAAAAAAAAAAAAAAAAAAAABbQ29udGVu&#10;dF9UeXBlc10ueG1sUEsBAi0AFAAGAAgAAAAhADj9If/WAAAAlAEAAAsAAAAAAAAAAAAAAAAALwEA&#10;AF9yZWxzLy5yZWxzUEsBAi0AFAAGAAgAAAAhAJzDW7wtAgAAZAQAAA4AAAAAAAAAAAAAAAAALgIA&#10;AGRycy9lMm9Eb2MueG1sUEsBAi0AFAAGAAgAAAAhAAF5F3XhAAAACwEAAA8AAAAAAAAAAAAAAAAA&#10;hwQAAGRycy9kb3ducmV2LnhtbFBLBQYAAAAABAAEAPMAAACVBQAAAAA=&#10;" stroked="f">
                <v:textbox style="mso-fit-shape-to-text:t" inset="0,0,0,0">
                  <w:txbxContent>
                    <w:p w14:paraId="1DF5879A" w14:textId="011F6B9F" w:rsidR="0086284B" w:rsidRPr="00E22A4E" w:rsidRDefault="0086284B" w:rsidP="0086284B">
                      <w:pPr>
                        <w:pStyle w:val="Caption"/>
                        <w:rPr>
                          <w:noProof/>
                          <w:color w:val="222222"/>
                          <w:sz w:val="21"/>
                          <w:szCs w:val="21"/>
                        </w:rPr>
                      </w:pPr>
                      <w:r>
                        <w:t xml:space="preserve">Figure </w:t>
                      </w:r>
                      <w:fldSimple w:instr=" SEQ Figure \* ARABIC ">
                        <w:r>
                          <w:rPr>
                            <w:noProof/>
                          </w:rPr>
                          <w:t>3</w:t>
                        </w:r>
                      </w:fldSimple>
                      <w:r>
                        <w:t xml:space="preserve"> </w:t>
                      </w:r>
                      <w:proofErr w:type="spellStart"/>
                      <w:r>
                        <w:t>Pelike</w:t>
                      </w:r>
                      <w:proofErr w:type="spellEnd"/>
                      <w:r>
                        <w:t xml:space="preserve"> Vase,</w:t>
                      </w:r>
                      <w:r w:rsidR="00CD6D55">
                        <w:t xml:space="preserve"> 450-440BCE,</w:t>
                      </w:r>
                      <w:r>
                        <w:t xml:space="preserve"> MET mus</w:t>
                      </w:r>
                      <w:r w:rsidR="00CD6D55">
                        <w:t>eu</w:t>
                      </w:r>
                      <w:r>
                        <w:t>m</w:t>
                      </w:r>
                    </w:p>
                  </w:txbxContent>
                </v:textbox>
                <w10:wrap type="square"/>
              </v:shape>
            </w:pict>
          </mc:Fallback>
        </mc:AlternateContent>
      </w:r>
      <w:r w:rsidR="002B66AD" w:rsidRPr="00CF1BB9">
        <w:rPr>
          <w:rFonts w:asciiTheme="minorHAnsi" w:hAnsiTheme="minorHAnsi" w:cstheme="minorHAnsi"/>
        </w:rPr>
        <w:t>myth follows the same basic idea as that of abduction myths, with a maiden being pursued by a man</w:t>
      </w:r>
      <w:r w:rsidR="002B66AD" w:rsidRPr="00CF1BB9">
        <w:rPr>
          <w:rStyle w:val="FootnoteReference"/>
          <w:rFonts w:asciiTheme="minorHAnsi" w:hAnsiTheme="minorHAnsi" w:cstheme="minorHAnsi"/>
        </w:rPr>
        <w:footnoteReference w:id="31"/>
      </w:r>
      <w:r w:rsidR="002B66AD" w:rsidRPr="00CF1BB9">
        <w:rPr>
          <w:rFonts w:asciiTheme="minorHAnsi" w:hAnsiTheme="minorHAnsi" w:cstheme="minorHAnsi"/>
        </w:rPr>
        <w:t>.</w:t>
      </w:r>
      <w:r w:rsidR="005B52F8" w:rsidRPr="00CF1BB9">
        <w:rPr>
          <w:rFonts w:asciiTheme="minorHAnsi" w:hAnsiTheme="minorHAnsi" w:cstheme="minorHAnsi"/>
        </w:rPr>
        <w:t xml:space="preserve"> </w:t>
      </w:r>
      <w:r w:rsidR="00677864" w:rsidRPr="00CF1BB9">
        <w:rPr>
          <w:rFonts w:asciiTheme="minorHAnsi" w:hAnsiTheme="minorHAnsi" w:cstheme="minorHAnsi"/>
        </w:rPr>
        <w:t xml:space="preserve">The </w:t>
      </w:r>
      <w:proofErr w:type="spellStart"/>
      <w:r w:rsidR="00677864" w:rsidRPr="00CF1BB9">
        <w:rPr>
          <w:rFonts w:asciiTheme="minorHAnsi" w:hAnsiTheme="minorHAnsi" w:cstheme="minorHAnsi"/>
        </w:rPr>
        <w:t>Pelike</w:t>
      </w:r>
      <w:proofErr w:type="spellEnd"/>
      <w:r w:rsidR="00677864" w:rsidRPr="00CF1BB9">
        <w:rPr>
          <w:rFonts w:asciiTheme="minorHAnsi" w:hAnsiTheme="minorHAnsi" w:cstheme="minorHAnsi"/>
        </w:rPr>
        <w:t xml:space="preserve"> vase (fig.3) shows Medusa as a beautiful woman with the only non-human aspect being her wings. This kind of outstanding beauty would have made her the pursued female figure of a traditional abduction myth with her sisters representing the chorus. However, in some ways</w:t>
      </w:r>
      <w:r w:rsidR="00B1352B">
        <w:rPr>
          <w:rFonts w:asciiTheme="minorHAnsi" w:hAnsiTheme="minorHAnsi" w:cstheme="minorHAnsi"/>
        </w:rPr>
        <w:t>,</w:t>
      </w:r>
      <w:r w:rsidR="00677864" w:rsidRPr="00CF1BB9">
        <w:rPr>
          <w:rFonts w:asciiTheme="minorHAnsi" w:hAnsiTheme="minorHAnsi" w:cstheme="minorHAnsi"/>
        </w:rPr>
        <w:t xml:space="preserve"> the myth of Medusa reverses the typical abduction myth. One way being that her </w:t>
      </w:r>
      <w:r w:rsidR="00B1352B">
        <w:rPr>
          <w:rFonts w:asciiTheme="minorHAnsi" w:hAnsiTheme="minorHAnsi" w:cstheme="minorHAnsi"/>
        </w:rPr>
        <w:t>G</w:t>
      </w:r>
      <w:r w:rsidR="00677864" w:rsidRPr="00CF1BB9">
        <w:rPr>
          <w:rFonts w:asciiTheme="minorHAnsi" w:hAnsiTheme="minorHAnsi" w:cstheme="minorHAnsi"/>
        </w:rPr>
        <w:t>orgon sisters chase Perseus rather than flee from him</w:t>
      </w:r>
      <w:r w:rsidR="00677864" w:rsidRPr="00CF1BB9">
        <w:rPr>
          <w:rStyle w:val="FootnoteReference"/>
          <w:rFonts w:asciiTheme="minorHAnsi" w:hAnsiTheme="minorHAnsi" w:cstheme="minorHAnsi"/>
        </w:rPr>
        <w:footnoteReference w:id="32"/>
      </w:r>
      <w:r w:rsidR="00677864" w:rsidRPr="00CF1BB9">
        <w:rPr>
          <w:rFonts w:asciiTheme="minorHAnsi" w:hAnsiTheme="minorHAnsi" w:cstheme="minorHAnsi"/>
        </w:rPr>
        <w:t xml:space="preserve">. Another is that </w:t>
      </w:r>
      <w:r w:rsidR="00E37D38" w:rsidRPr="00CF1BB9">
        <w:rPr>
          <w:rFonts w:asciiTheme="minorHAnsi" w:hAnsiTheme="minorHAnsi" w:cstheme="minorHAnsi"/>
          <w:noProof/>
        </w:rPr>
        <w:drawing>
          <wp:anchor distT="0" distB="0" distL="114300" distR="114300" simplePos="0" relativeHeight="251666432" behindDoc="0" locked="0" layoutInCell="1" allowOverlap="1" wp14:anchorId="1E619F26" wp14:editId="5AE29162">
            <wp:simplePos x="0" y="0"/>
            <wp:positionH relativeFrom="margin">
              <wp:posOffset>2857500</wp:posOffset>
            </wp:positionH>
            <wp:positionV relativeFrom="paragraph">
              <wp:posOffset>4164965</wp:posOffset>
            </wp:positionV>
            <wp:extent cx="3227070" cy="22739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7070" cy="2273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7864" w:rsidRPr="00CF1BB9">
        <w:rPr>
          <w:rFonts w:asciiTheme="minorHAnsi" w:hAnsiTheme="minorHAnsi" w:cstheme="minorHAnsi"/>
        </w:rPr>
        <w:t xml:space="preserve">rather than kidnap and rape her, Perseus kills her instead. </w:t>
      </w:r>
      <w:r w:rsidR="00564A5A" w:rsidRPr="00CF1BB9">
        <w:rPr>
          <w:rFonts w:asciiTheme="minorHAnsi" w:hAnsiTheme="minorHAnsi" w:cstheme="minorHAnsi"/>
        </w:rPr>
        <w:t>These changes mean that the myth does not fully fit into the category of abduction myth.</w:t>
      </w:r>
      <w:r w:rsidR="008C303F">
        <w:rPr>
          <w:rFonts w:asciiTheme="minorHAnsi" w:hAnsiTheme="minorHAnsi" w:cstheme="minorHAnsi"/>
        </w:rPr>
        <w:t xml:space="preserve"> </w:t>
      </w:r>
      <w:r w:rsidR="00BC14A4" w:rsidRPr="00CF1BB9">
        <w:rPr>
          <w:rFonts w:asciiTheme="minorHAnsi" w:hAnsiTheme="minorHAnsi" w:cstheme="minorHAnsi"/>
        </w:rPr>
        <w:t>In an alternative view, the death of Medusa can be interpreted as a form of sacrifice</w:t>
      </w:r>
      <w:r w:rsidR="00BC14A4" w:rsidRPr="00CF1BB9">
        <w:rPr>
          <w:rStyle w:val="FootnoteReference"/>
          <w:rFonts w:asciiTheme="minorHAnsi" w:hAnsiTheme="minorHAnsi" w:cstheme="minorHAnsi"/>
        </w:rPr>
        <w:footnoteReference w:id="33"/>
      </w:r>
      <w:r w:rsidR="00BC14A4" w:rsidRPr="00CF1BB9">
        <w:rPr>
          <w:rFonts w:asciiTheme="minorHAnsi" w:hAnsiTheme="minorHAnsi" w:cstheme="minorHAnsi"/>
        </w:rPr>
        <w:t>.</w:t>
      </w:r>
      <w:r w:rsidR="00952FE9" w:rsidRPr="00CF1BB9">
        <w:rPr>
          <w:rFonts w:asciiTheme="minorHAnsi" w:hAnsiTheme="minorHAnsi" w:cstheme="minorHAnsi"/>
        </w:rPr>
        <w:t xml:space="preserve"> </w:t>
      </w:r>
      <w:r w:rsidR="00E16A82" w:rsidRPr="00CF1BB9">
        <w:rPr>
          <w:rFonts w:asciiTheme="minorHAnsi" w:hAnsiTheme="minorHAnsi" w:cstheme="minorHAnsi"/>
        </w:rPr>
        <w:t xml:space="preserve">On </w:t>
      </w:r>
      <w:r w:rsidR="00DF1997" w:rsidRPr="00CF1BB9">
        <w:rPr>
          <w:rFonts w:asciiTheme="minorHAnsi" w:hAnsiTheme="minorHAnsi" w:cstheme="minorHAnsi"/>
        </w:rPr>
        <w:t>the pithos</w:t>
      </w:r>
      <w:r w:rsidR="005B52F8" w:rsidRPr="00CF1BB9">
        <w:rPr>
          <w:rFonts w:asciiTheme="minorHAnsi" w:hAnsiTheme="minorHAnsi" w:cstheme="minorHAnsi"/>
        </w:rPr>
        <w:t xml:space="preserve"> (fig.4)</w:t>
      </w:r>
      <w:r w:rsidR="00DF1997" w:rsidRPr="00CF1BB9">
        <w:rPr>
          <w:rFonts w:asciiTheme="minorHAnsi" w:hAnsiTheme="minorHAnsi" w:cstheme="minorHAnsi"/>
        </w:rPr>
        <w:t xml:space="preserve">, Medusa is represented as part gorgon, part horse. In Topper’s view, this representation could be a link to the </w:t>
      </w:r>
      <w:r w:rsidR="00E37D38" w:rsidRPr="00CF1BB9">
        <w:rPr>
          <w:rFonts w:asciiTheme="minorHAnsi" w:hAnsiTheme="minorHAnsi" w:cstheme="minorHAnsi"/>
          <w:noProof/>
        </w:rPr>
        <mc:AlternateContent>
          <mc:Choice Requires="wps">
            <w:drawing>
              <wp:anchor distT="0" distB="0" distL="114300" distR="114300" simplePos="0" relativeHeight="251676672" behindDoc="0" locked="0" layoutInCell="1" allowOverlap="1" wp14:anchorId="1B6A05C2" wp14:editId="2BC2B643">
                <wp:simplePos x="0" y="0"/>
                <wp:positionH relativeFrom="column">
                  <wp:posOffset>2847975</wp:posOffset>
                </wp:positionH>
                <wp:positionV relativeFrom="paragraph">
                  <wp:posOffset>6438900</wp:posOffset>
                </wp:positionV>
                <wp:extent cx="322707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227070" cy="635"/>
                        </a:xfrm>
                        <a:prstGeom prst="rect">
                          <a:avLst/>
                        </a:prstGeom>
                        <a:solidFill>
                          <a:prstClr val="white"/>
                        </a:solidFill>
                        <a:ln>
                          <a:noFill/>
                        </a:ln>
                      </wps:spPr>
                      <wps:txbx>
                        <w:txbxContent>
                          <w:p w14:paraId="393807AA" w14:textId="2018D5E1" w:rsidR="0086284B" w:rsidRPr="00C867A6" w:rsidRDefault="0086284B" w:rsidP="0086284B">
                            <w:pPr>
                              <w:pStyle w:val="Caption"/>
                              <w:rPr>
                                <w:noProof/>
                                <w:color w:val="222222"/>
                                <w:sz w:val="21"/>
                                <w:szCs w:val="21"/>
                              </w:rPr>
                            </w:pPr>
                            <w:r>
                              <w:t xml:space="preserve">Figure </w:t>
                            </w:r>
                            <w:fldSimple w:instr=" SEQ Figure \* ARABIC ">
                              <w:r>
                                <w:rPr>
                                  <w:noProof/>
                                </w:rPr>
                                <w:t>4</w:t>
                              </w:r>
                            </w:fldSimple>
                            <w:r>
                              <w:t xml:space="preserve"> Pithos</w:t>
                            </w:r>
                            <w:r w:rsidR="00677864">
                              <w:t>, Topper, 2010, p.111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6A05C2" id="Text Box 9" o:spid="_x0000_s1029" type="#_x0000_t202" style="position:absolute;margin-left:224.25pt;margin-top:507pt;width:254.1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apLgIAAGQEAAAOAAAAZHJzL2Uyb0RvYy54bWysVE1v2zAMvQ/YfxB0X5wPrF2NOEWWIsOA&#10;oC2QDD0rshwbkESNUmJnv36UHKdbt9Owi0yRFKX3Hun5fWc0Oyn0DdiCT0ZjzpSVUDb2UPBvu/WH&#10;T5z5IGwpNFhV8LPy/H7x/t28dbmaQg26VMioiPV56wpeh+DyLPOyVkb4EThlKVgBGhFoi4esRNFS&#10;daOz6Xh8k7WApUOQynvyPvRBvkj1q0rJ8FRVXgWmC05vC2nFtO7jmi3mIj+gcHUjL88Q//AKIxpL&#10;l15LPYgg2BGbP0qZRiJ4qMJIgsmgqhqpEgZCMxm/QbOthVMJC5Hj3ZUm///KysfTM7KmLPgdZ1YY&#10;kminusA+Q8fuIjut8zklbR2lhY7cpPLg9+SMoLsKTfwSHEZx4vl85TYWk+ScTae341sKSYrdzD7G&#10;GtnrUYc+fFFgWDQKjiRc4lOcNj70qUNKvMmDbsp1o3XcxMBKIzsJErmtm6AuxX/L0jbmWoin+oLR&#10;k0V8PY5ohW7fJTZmA8Y9lGeCjtC3jndy3dB9G+HDs0DqFYJE/R+eaKk0tAWHi8VZDfjjb/6YTxJS&#10;lLOWeq/g/vtRoOJMf7UkbmzUwcDB2A+GPZoVENIJTZaTyaQDGPRgVgjmhcZiGW+hkLCS7ip4GMxV&#10;6CeAxkqq5TIlUTs6ETZ262QsPfC6614EuosqgcR8hKErRf5GnD43yeOWx0BMJ+Uirz2LF7qplZP2&#10;l7GLs/LrPmW9/hwWPwEAAP//AwBQSwMEFAAGAAgAAAAhADgAWfHiAAAADQEAAA8AAABkcnMvZG93&#10;bnJldi54bWxMj8FOwzAQRO9I/IO1SFwQdQJuWkKcqqrgAJeKtBdubryNA7EdxU4b/p5FHOC4M0+z&#10;M8Vqsh074RBa7ySkswQYutrr1jUS9rvn2yWwEJXTqvMOJXxhgFV5eVGoXPuze8NTFRtGIS7kSoKJ&#10;sc85D7VBq8LM9+jIO/rBqkjn0HA9qDOF247fJUnGrWodfTCqx43B+rMarYSteN+am/H49LoW98PL&#10;ftxkH00l5fXVtH4EFnGKfzD81KfqUFKngx+dDqyTIMRyTigZSSpoFSEP82wB7PArpcDLgv9fUX4D&#10;AAD//wMAUEsBAi0AFAAGAAgAAAAhALaDOJL+AAAA4QEAABMAAAAAAAAAAAAAAAAAAAAAAFtDb250&#10;ZW50X1R5cGVzXS54bWxQSwECLQAUAAYACAAAACEAOP0h/9YAAACUAQAACwAAAAAAAAAAAAAAAAAv&#10;AQAAX3JlbHMvLnJlbHNQSwECLQAUAAYACAAAACEAV+VGqS4CAABkBAAADgAAAAAAAAAAAAAAAAAu&#10;AgAAZHJzL2Uyb0RvYy54bWxQSwECLQAUAAYACAAAACEAOABZ8eIAAAANAQAADwAAAAAAAAAAAAAA&#10;AACIBAAAZHJzL2Rvd25yZXYueG1sUEsFBgAAAAAEAAQA8wAAAJcFAAAAAA==&#10;" stroked="f">
                <v:textbox style="mso-fit-shape-to-text:t" inset="0,0,0,0">
                  <w:txbxContent>
                    <w:p w14:paraId="393807AA" w14:textId="2018D5E1" w:rsidR="0086284B" w:rsidRPr="00C867A6" w:rsidRDefault="0086284B" w:rsidP="0086284B">
                      <w:pPr>
                        <w:pStyle w:val="Caption"/>
                        <w:rPr>
                          <w:noProof/>
                          <w:color w:val="222222"/>
                          <w:sz w:val="21"/>
                          <w:szCs w:val="21"/>
                        </w:rPr>
                      </w:pPr>
                      <w:r>
                        <w:t xml:space="preserve">Figure </w:t>
                      </w:r>
                      <w:fldSimple w:instr=" SEQ Figure \* ARABIC ">
                        <w:r>
                          <w:rPr>
                            <w:noProof/>
                          </w:rPr>
                          <w:t>4</w:t>
                        </w:r>
                      </w:fldSimple>
                      <w:r>
                        <w:t xml:space="preserve"> Pithos</w:t>
                      </w:r>
                      <w:r w:rsidR="00677864">
                        <w:t>, Topper, 2010, p.111</w:t>
                      </w:r>
                    </w:p>
                  </w:txbxContent>
                </v:textbox>
                <w10:wrap type="square"/>
              </v:shape>
            </w:pict>
          </mc:Fallback>
        </mc:AlternateContent>
      </w:r>
      <w:r w:rsidR="00DF1997" w:rsidRPr="00CF1BB9">
        <w:rPr>
          <w:rFonts w:asciiTheme="minorHAnsi" w:hAnsiTheme="minorHAnsi" w:cstheme="minorHAnsi"/>
        </w:rPr>
        <w:t>idea of the sacrificial maiden that is depicted in later tragedies</w:t>
      </w:r>
      <w:r w:rsidR="00DF1997" w:rsidRPr="00CF1BB9">
        <w:rPr>
          <w:rStyle w:val="FootnoteReference"/>
          <w:rFonts w:asciiTheme="minorHAnsi" w:hAnsiTheme="minorHAnsi" w:cstheme="minorHAnsi"/>
        </w:rPr>
        <w:footnoteReference w:id="34"/>
      </w:r>
      <w:r w:rsidR="00DF1997" w:rsidRPr="00CF1BB9">
        <w:rPr>
          <w:rFonts w:asciiTheme="minorHAnsi" w:hAnsiTheme="minorHAnsi" w:cstheme="minorHAnsi"/>
        </w:rPr>
        <w:t>.</w:t>
      </w:r>
      <w:r w:rsidR="00677864" w:rsidRPr="00CF1BB9">
        <w:rPr>
          <w:rFonts w:asciiTheme="minorHAnsi" w:hAnsiTheme="minorHAnsi" w:cstheme="minorHAnsi"/>
        </w:rPr>
        <w:t xml:space="preserve"> Her depiction on the pithos shows her as passive and accepting of her fate rather than </w:t>
      </w:r>
      <w:r w:rsidR="00677864" w:rsidRPr="00CF1BB9">
        <w:rPr>
          <w:rFonts w:asciiTheme="minorHAnsi" w:hAnsiTheme="minorHAnsi" w:cstheme="minorHAnsi"/>
        </w:rPr>
        <w:lastRenderedPageBreak/>
        <w:t>fighting, as may be expected. This more accepting nature could have her interpreted as more of a victim than a vicious monster.</w:t>
      </w:r>
    </w:p>
    <w:p w14:paraId="74201E50" w14:textId="1EA9159D" w:rsidR="00564A5A" w:rsidRPr="00CF1BB9" w:rsidRDefault="00564A5A" w:rsidP="00564A5A">
      <w:pPr>
        <w:rPr>
          <w:rFonts w:asciiTheme="minorHAnsi" w:hAnsiTheme="minorHAnsi" w:cstheme="minorHAnsi"/>
        </w:rPr>
      </w:pPr>
      <w:r w:rsidRPr="00CF1BB9">
        <w:rPr>
          <w:rFonts w:asciiTheme="minorHAnsi" w:hAnsiTheme="minorHAnsi" w:cstheme="minorHAnsi"/>
        </w:rPr>
        <w:t>As it has been seen, the depictions of Medusa show her as both monstrous and feminine. She is neither</w:t>
      </w:r>
      <w:r w:rsidR="00B1352B">
        <w:rPr>
          <w:rFonts w:asciiTheme="minorHAnsi" w:hAnsiTheme="minorHAnsi" w:cstheme="minorHAnsi"/>
        </w:rPr>
        <w:t xml:space="preserve"> a</w:t>
      </w:r>
      <w:r w:rsidRPr="00CF1BB9">
        <w:rPr>
          <w:rFonts w:asciiTheme="minorHAnsi" w:hAnsiTheme="minorHAnsi" w:cstheme="minorHAnsi"/>
        </w:rPr>
        <w:t xml:space="preserve"> monster or </w:t>
      </w:r>
      <w:r w:rsidR="00B1352B">
        <w:rPr>
          <w:rFonts w:asciiTheme="minorHAnsi" w:hAnsiTheme="minorHAnsi" w:cstheme="minorHAnsi"/>
        </w:rPr>
        <w:t xml:space="preserve">a </w:t>
      </w:r>
      <w:r w:rsidRPr="00CF1BB9">
        <w:rPr>
          <w:rFonts w:asciiTheme="minorHAnsi" w:hAnsiTheme="minorHAnsi" w:cstheme="minorHAnsi"/>
        </w:rPr>
        <w:t>woman and is yet both at the same time. This mix in representation shows that in some circumstances the line between what is human and what is</w:t>
      </w:r>
      <w:r w:rsidR="00B1352B">
        <w:rPr>
          <w:rFonts w:asciiTheme="minorHAnsi" w:hAnsiTheme="minorHAnsi" w:cstheme="minorHAnsi"/>
        </w:rPr>
        <w:t xml:space="preserve"> a</w:t>
      </w:r>
      <w:r w:rsidRPr="00CF1BB9">
        <w:rPr>
          <w:rFonts w:asciiTheme="minorHAnsi" w:hAnsiTheme="minorHAnsi" w:cstheme="minorHAnsi"/>
        </w:rPr>
        <w:t xml:space="preserve"> monster is blurred.</w:t>
      </w:r>
      <w:r w:rsidR="00D43370" w:rsidRPr="00CF1BB9">
        <w:rPr>
          <w:rFonts w:asciiTheme="minorHAnsi" w:hAnsiTheme="minorHAnsi" w:cstheme="minorHAnsi"/>
        </w:rPr>
        <w:t xml:space="preserve"> How she is depicted is dependent upon how she is perceived by the artist. In the Archaic period, although nothing much is said in literary sources, artists viewed her as a monster. This changed in the Classical period where she became more feminine. What is most interesting about her depictions is how her monstrous side is shown. In Archaic imagery where she is represented as a monster</w:t>
      </w:r>
      <w:r w:rsidR="00B1352B">
        <w:rPr>
          <w:rFonts w:asciiTheme="minorHAnsi" w:hAnsiTheme="minorHAnsi" w:cstheme="minorHAnsi"/>
        </w:rPr>
        <w:t>,</w:t>
      </w:r>
      <w:r w:rsidR="00D43370" w:rsidRPr="00CF1BB9">
        <w:rPr>
          <w:rFonts w:asciiTheme="minorHAnsi" w:hAnsiTheme="minorHAnsi" w:cstheme="minorHAnsi"/>
        </w:rPr>
        <w:t xml:space="preserve"> it is obvious that she is not fully human. However, later depictions focus on certain characteristics. The Classical period emphasised her confrontational look with large eyes and mouth. In the modern day</w:t>
      </w:r>
      <w:r w:rsidR="00B1352B">
        <w:rPr>
          <w:rFonts w:asciiTheme="minorHAnsi" w:hAnsiTheme="minorHAnsi" w:cstheme="minorHAnsi"/>
        </w:rPr>
        <w:t>,</w:t>
      </w:r>
      <w:r w:rsidR="00D43370" w:rsidRPr="00CF1BB9">
        <w:rPr>
          <w:rFonts w:asciiTheme="minorHAnsi" w:hAnsiTheme="minorHAnsi" w:cstheme="minorHAnsi"/>
        </w:rPr>
        <w:t xml:space="preserve"> she is depicted as a beautiful woman with snake hair. What this shows is that although her main monstrous feature changes throughout time, the aspect of her that makes her truly monstrous is that she is a woman with power. This being that a monster is created </w:t>
      </w:r>
      <w:r w:rsidR="000A4090" w:rsidRPr="00CF1BB9">
        <w:rPr>
          <w:rFonts w:asciiTheme="minorHAnsi" w:hAnsiTheme="minorHAnsi" w:cstheme="minorHAnsi"/>
        </w:rPr>
        <w:t>as an enemy to man</w:t>
      </w:r>
      <w:r w:rsidR="00332D84">
        <w:rPr>
          <w:rFonts w:asciiTheme="minorHAnsi" w:hAnsiTheme="minorHAnsi" w:cstheme="minorHAnsi"/>
        </w:rPr>
        <w:t>,</w:t>
      </w:r>
      <w:r w:rsidR="000A4090" w:rsidRPr="00CF1BB9">
        <w:rPr>
          <w:rFonts w:asciiTheme="minorHAnsi" w:hAnsiTheme="minorHAnsi" w:cstheme="minorHAnsi"/>
        </w:rPr>
        <w:t xml:space="preserve"> </w:t>
      </w:r>
      <w:r w:rsidR="00332D84">
        <w:rPr>
          <w:rFonts w:asciiTheme="minorHAnsi" w:hAnsiTheme="minorHAnsi" w:cstheme="minorHAnsi"/>
        </w:rPr>
        <w:t>for</w:t>
      </w:r>
      <w:r w:rsidR="000A4090" w:rsidRPr="00CF1BB9">
        <w:rPr>
          <w:rFonts w:asciiTheme="minorHAnsi" w:hAnsiTheme="minorHAnsi" w:cstheme="minorHAnsi"/>
        </w:rPr>
        <w:t xml:space="preserve"> man would see his greatest enemy as a powerful woman.</w:t>
      </w:r>
    </w:p>
    <w:p w14:paraId="30A20ADC" w14:textId="77777777" w:rsidR="00CA04A3" w:rsidRPr="00CF1BB9" w:rsidRDefault="00CA04A3" w:rsidP="00B33B0E">
      <w:pPr>
        <w:rPr>
          <w:rFonts w:asciiTheme="minorHAnsi" w:hAnsiTheme="minorHAnsi" w:cstheme="minorHAnsi"/>
          <w:u w:val="single"/>
        </w:rPr>
      </w:pPr>
    </w:p>
    <w:p w14:paraId="1A20FDBE" w14:textId="77777777" w:rsidR="008C303F" w:rsidRDefault="008C303F" w:rsidP="00B33B0E">
      <w:pPr>
        <w:rPr>
          <w:rFonts w:asciiTheme="minorHAnsi" w:hAnsiTheme="minorHAnsi" w:cstheme="minorHAnsi"/>
          <w:u w:val="single"/>
        </w:rPr>
      </w:pPr>
    </w:p>
    <w:p w14:paraId="371EA33E" w14:textId="77777777" w:rsidR="008C303F" w:rsidRDefault="008C303F" w:rsidP="00B33B0E">
      <w:pPr>
        <w:rPr>
          <w:rFonts w:asciiTheme="minorHAnsi" w:hAnsiTheme="minorHAnsi" w:cstheme="minorHAnsi"/>
          <w:u w:val="single"/>
        </w:rPr>
      </w:pPr>
    </w:p>
    <w:p w14:paraId="3C396399" w14:textId="77777777" w:rsidR="008C303F" w:rsidRDefault="008C303F" w:rsidP="00B33B0E">
      <w:pPr>
        <w:rPr>
          <w:rFonts w:asciiTheme="minorHAnsi" w:hAnsiTheme="minorHAnsi" w:cstheme="minorHAnsi"/>
          <w:u w:val="single"/>
        </w:rPr>
      </w:pPr>
    </w:p>
    <w:p w14:paraId="4A254E68" w14:textId="77777777" w:rsidR="008C303F" w:rsidRDefault="008C303F" w:rsidP="00B33B0E">
      <w:pPr>
        <w:rPr>
          <w:rFonts w:asciiTheme="minorHAnsi" w:hAnsiTheme="minorHAnsi" w:cstheme="minorHAnsi"/>
          <w:u w:val="single"/>
        </w:rPr>
      </w:pPr>
    </w:p>
    <w:p w14:paraId="2215336A" w14:textId="77777777" w:rsidR="008C303F" w:rsidRDefault="008C303F" w:rsidP="00B33B0E">
      <w:pPr>
        <w:rPr>
          <w:rFonts w:asciiTheme="minorHAnsi" w:hAnsiTheme="minorHAnsi" w:cstheme="minorHAnsi"/>
          <w:u w:val="single"/>
        </w:rPr>
      </w:pPr>
    </w:p>
    <w:p w14:paraId="42C2C1F0" w14:textId="77777777" w:rsidR="00E37D38" w:rsidRDefault="00E37D38" w:rsidP="00B33B0E">
      <w:pPr>
        <w:rPr>
          <w:rFonts w:asciiTheme="minorHAnsi" w:hAnsiTheme="minorHAnsi" w:cstheme="minorHAnsi"/>
          <w:u w:val="single"/>
        </w:rPr>
      </w:pPr>
    </w:p>
    <w:p w14:paraId="78EA12DC" w14:textId="5356C4A5" w:rsidR="00B33B0E" w:rsidRPr="00CF1BB9" w:rsidRDefault="00B33B0E" w:rsidP="00B33B0E">
      <w:pPr>
        <w:rPr>
          <w:rFonts w:asciiTheme="minorHAnsi" w:hAnsiTheme="minorHAnsi" w:cstheme="minorHAnsi"/>
          <w:u w:val="single"/>
        </w:rPr>
      </w:pPr>
      <w:bookmarkStart w:id="0" w:name="_GoBack"/>
      <w:bookmarkEnd w:id="0"/>
      <w:r w:rsidRPr="00CF1BB9">
        <w:rPr>
          <w:rFonts w:asciiTheme="minorHAnsi" w:hAnsiTheme="minorHAnsi" w:cstheme="minorHAnsi"/>
          <w:u w:val="single"/>
        </w:rPr>
        <w:lastRenderedPageBreak/>
        <w:t>Bibliography</w:t>
      </w:r>
    </w:p>
    <w:p w14:paraId="2D96BEA3" w14:textId="57220FF3" w:rsidR="00CF0660" w:rsidRPr="00CF1BB9" w:rsidRDefault="00CF0660" w:rsidP="00B33B0E">
      <w:pPr>
        <w:rPr>
          <w:rFonts w:asciiTheme="minorHAnsi" w:hAnsiTheme="minorHAnsi" w:cstheme="minorHAnsi"/>
          <w:u w:val="single"/>
        </w:rPr>
      </w:pPr>
      <w:r w:rsidRPr="00CF1BB9">
        <w:rPr>
          <w:rFonts w:asciiTheme="minorHAnsi" w:hAnsiTheme="minorHAnsi" w:cstheme="minorHAnsi"/>
          <w:u w:val="single"/>
        </w:rPr>
        <w:t>Ancient</w:t>
      </w:r>
    </w:p>
    <w:p w14:paraId="19BD0850" w14:textId="0DA6CEFA" w:rsidR="002E3DF2" w:rsidRPr="00CF1BB9" w:rsidRDefault="002E3DF2" w:rsidP="00B33B0E">
      <w:pPr>
        <w:rPr>
          <w:rFonts w:asciiTheme="minorHAnsi" w:hAnsiTheme="minorHAnsi" w:cstheme="minorHAnsi"/>
        </w:rPr>
      </w:pPr>
      <w:proofErr w:type="spellStart"/>
      <w:r w:rsidRPr="00CF1BB9">
        <w:rPr>
          <w:rFonts w:asciiTheme="minorHAnsi" w:hAnsiTheme="minorHAnsi" w:cstheme="minorHAnsi"/>
        </w:rPr>
        <w:t>Apollodorus</w:t>
      </w:r>
      <w:proofErr w:type="spellEnd"/>
      <w:r w:rsidRPr="00CF1BB9">
        <w:rPr>
          <w:rFonts w:asciiTheme="minorHAnsi" w:hAnsiTheme="minorHAnsi" w:cstheme="minorHAnsi"/>
        </w:rPr>
        <w:t xml:space="preserve">, </w:t>
      </w:r>
      <w:r w:rsidRPr="00CF1BB9">
        <w:rPr>
          <w:rFonts w:asciiTheme="minorHAnsi" w:hAnsiTheme="minorHAnsi" w:cstheme="minorHAnsi"/>
          <w:i/>
        </w:rPr>
        <w:t xml:space="preserve">The Library, </w:t>
      </w:r>
      <w:r w:rsidRPr="00CF1BB9">
        <w:rPr>
          <w:rFonts w:asciiTheme="minorHAnsi" w:hAnsiTheme="minorHAnsi" w:cstheme="minorHAnsi"/>
        </w:rPr>
        <w:t>R. Hard (trans), 2008, Oxford: Oxford University Press</w:t>
      </w:r>
    </w:p>
    <w:p w14:paraId="03F49F70" w14:textId="66091852" w:rsidR="002E3DF2" w:rsidRPr="00CF1BB9" w:rsidRDefault="002E3DF2" w:rsidP="00B33B0E">
      <w:pPr>
        <w:rPr>
          <w:rFonts w:asciiTheme="minorHAnsi" w:hAnsiTheme="minorHAnsi" w:cstheme="minorHAnsi"/>
        </w:rPr>
      </w:pPr>
      <w:r w:rsidRPr="00CF1BB9">
        <w:rPr>
          <w:rFonts w:asciiTheme="minorHAnsi" w:hAnsiTheme="minorHAnsi" w:cstheme="minorHAnsi"/>
        </w:rPr>
        <w:t xml:space="preserve">Hesiod, </w:t>
      </w:r>
      <w:r w:rsidRPr="00CF1BB9">
        <w:rPr>
          <w:rFonts w:asciiTheme="minorHAnsi" w:hAnsiTheme="minorHAnsi" w:cstheme="minorHAnsi"/>
          <w:i/>
        </w:rPr>
        <w:t xml:space="preserve">Theogony, </w:t>
      </w:r>
      <w:r w:rsidRPr="00CF1BB9">
        <w:rPr>
          <w:rFonts w:asciiTheme="minorHAnsi" w:hAnsiTheme="minorHAnsi" w:cstheme="minorHAnsi"/>
        </w:rPr>
        <w:t>M.L. West (trans), 2008, Oxford: Oxford University Press</w:t>
      </w:r>
    </w:p>
    <w:p w14:paraId="5A952BE8" w14:textId="15696C5B" w:rsidR="002E3DF2" w:rsidRPr="00CF1BB9" w:rsidRDefault="002E3DF2" w:rsidP="00B33B0E">
      <w:pPr>
        <w:rPr>
          <w:rFonts w:asciiTheme="minorHAnsi" w:hAnsiTheme="minorHAnsi" w:cstheme="minorHAnsi"/>
        </w:rPr>
      </w:pPr>
      <w:r w:rsidRPr="00CF1BB9">
        <w:rPr>
          <w:rFonts w:asciiTheme="minorHAnsi" w:hAnsiTheme="minorHAnsi" w:cstheme="minorHAnsi"/>
        </w:rPr>
        <w:t xml:space="preserve">Pindar, </w:t>
      </w:r>
      <w:r w:rsidRPr="00CF1BB9">
        <w:rPr>
          <w:rFonts w:asciiTheme="minorHAnsi" w:hAnsiTheme="minorHAnsi" w:cstheme="minorHAnsi"/>
          <w:i/>
        </w:rPr>
        <w:t xml:space="preserve">The Pythian Odes, </w:t>
      </w:r>
      <w:r w:rsidRPr="00CF1BB9">
        <w:rPr>
          <w:rFonts w:asciiTheme="minorHAnsi" w:hAnsiTheme="minorHAnsi" w:cstheme="minorHAnsi"/>
        </w:rPr>
        <w:t>G.S. Conway (trans), 1972, London: J.M Dent and Sons Ltd</w:t>
      </w:r>
    </w:p>
    <w:p w14:paraId="384B4C29" w14:textId="0C126678" w:rsidR="00CF0660" w:rsidRPr="00CF1BB9" w:rsidRDefault="00CF0660" w:rsidP="00B33B0E">
      <w:pPr>
        <w:rPr>
          <w:rFonts w:asciiTheme="minorHAnsi" w:hAnsiTheme="minorHAnsi" w:cstheme="minorHAnsi"/>
          <w:u w:val="single"/>
        </w:rPr>
      </w:pPr>
      <w:r w:rsidRPr="00CF1BB9">
        <w:rPr>
          <w:rFonts w:asciiTheme="minorHAnsi" w:hAnsiTheme="minorHAnsi" w:cstheme="minorHAnsi"/>
          <w:u w:val="single"/>
        </w:rPr>
        <w:t>Modern</w:t>
      </w:r>
    </w:p>
    <w:p w14:paraId="799D9104"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Conway, G (1972) </w:t>
      </w:r>
      <w:r w:rsidRPr="00CF1BB9">
        <w:rPr>
          <w:rFonts w:asciiTheme="minorHAnsi" w:hAnsiTheme="minorHAnsi" w:cstheme="minorHAnsi"/>
          <w:i/>
        </w:rPr>
        <w:t xml:space="preserve">The Odes of Pindar, </w:t>
      </w:r>
      <w:r w:rsidRPr="00CF1BB9">
        <w:rPr>
          <w:rFonts w:asciiTheme="minorHAnsi" w:hAnsiTheme="minorHAnsi" w:cstheme="minorHAnsi"/>
        </w:rPr>
        <w:t>London: J.M. Dent and Sons Ltd</w:t>
      </w:r>
    </w:p>
    <w:p w14:paraId="2CD14888"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Garcia, B (2013) ‘Medusa’ </w:t>
      </w:r>
      <w:r w:rsidRPr="00CF1BB9">
        <w:rPr>
          <w:rFonts w:asciiTheme="minorHAnsi" w:hAnsiTheme="minorHAnsi" w:cstheme="minorHAnsi"/>
          <w:i/>
        </w:rPr>
        <w:t xml:space="preserve">Ancient History Encyclopaedia, </w:t>
      </w:r>
      <w:r w:rsidRPr="00CF1BB9">
        <w:rPr>
          <w:rFonts w:asciiTheme="minorHAnsi" w:hAnsiTheme="minorHAnsi" w:cstheme="minorHAnsi"/>
        </w:rPr>
        <w:t xml:space="preserve">Available at: </w:t>
      </w:r>
      <w:hyperlink r:id="rId12" w:history="1">
        <w:r w:rsidRPr="00CF1BB9">
          <w:rPr>
            <w:rStyle w:val="Hyperlink"/>
            <w:rFonts w:asciiTheme="minorHAnsi" w:hAnsiTheme="minorHAnsi" w:cstheme="minorHAnsi"/>
          </w:rPr>
          <w:t>https://www.ancient.eu/Medusa/</w:t>
        </w:r>
      </w:hyperlink>
      <w:r w:rsidRPr="00CF1BB9">
        <w:rPr>
          <w:rFonts w:asciiTheme="minorHAnsi" w:hAnsiTheme="minorHAnsi" w:cstheme="minorHAnsi"/>
        </w:rPr>
        <w:t xml:space="preserve"> (Accessed: 10/05/2019)</w:t>
      </w:r>
    </w:p>
    <w:p w14:paraId="73D84978"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Glennon, M (2017) ‘Medusa in Ancient Greek Art’ </w:t>
      </w:r>
      <w:proofErr w:type="spellStart"/>
      <w:r w:rsidRPr="00CF1BB9">
        <w:rPr>
          <w:rFonts w:asciiTheme="minorHAnsi" w:hAnsiTheme="minorHAnsi" w:cstheme="minorHAnsi"/>
          <w:i/>
        </w:rPr>
        <w:t>Heilbrunn</w:t>
      </w:r>
      <w:proofErr w:type="spellEnd"/>
      <w:r w:rsidRPr="00CF1BB9">
        <w:rPr>
          <w:rFonts w:asciiTheme="minorHAnsi" w:hAnsiTheme="minorHAnsi" w:cstheme="minorHAnsi"/>
          <w:i/>
        </w:rPr>
        <w:t xml:space="preserve"> Timeline of Art History, </w:t>
      </w:r>
      <w:r w:rsidRPr="00CF1BB9">
        <w:rPr>
          <w:rFonts w:asciiTheme="minorHAnsi" w:hAnsiTheme="minorHAnsi" w:cstheme="minorHAnsi"/>
        </w:rPr>
        <w:t xml:space="preserve">Available at: </w:t>
      </w:r>
      <w:hyperlink r:id="rId13" w:history="1">
        <w:r w:rsidRPr="00CF1BB9">
          <w:rPr>
            <w:rStyle w:val="Hyperlink"/>
            <w:rFonts w:asciiTheme="minorHAnsi" w:hAnsiTheme="minorHAnsi" w:cstheme="minorHAnsi"/>
          </w:rPr>
          <w:t>https://www.metmuseum.org/toah/hd/medu/hd_medu.htm</w:t>
        </w:r>
      </w:hyperlink>
      <w:r w:rsidRPr="00CF1BB9">
        <w:rPr>
          <w:rFonts w:asciiTheme="minorHAnsi" w:hAnsiTheme="minorHAnsi" w:cstheme="minorHAnsi"/>
        </w:rPr>
        <w:t xml:space="preserve"> (Accessed: 10/05/2019)</w:t>
      </w:r>
    </w:p>
    <w:p w14:paraId="4B87660C"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Griffiths, E (2006) </w:t>
      </w:r>
      <w:r w:rsidRPr="00CF1BB9">
        <w:rPr>
          <w:rFonts w:asciiTheme="minorHAnsi" w:hAnsiTheme="minorHAnsi" w:cstheme="minorHAnsi"/>
          <w:i/>
        </w:rPr>
        <w:t>Medea</w:t>
      </w:r>
      <w:r w:rsidRPr="00CF1BB9">
        <w:rPr>
          <w:rFonts w:asciiTheme="minorHAnsi" w:hAnsiTheme="minorHAnsi" w:cstheme="minorHAnsi"/>
        </w:rPr>
        <w:t>, Abingdon: Routledge</w:t>
      </w:r>
    </w:p>
    <w:p w14:paraId="2462B21A"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Hard, R (2008) </w:t>
      </w:r>
      <w:proofErr w:type="spellStart"/>
      <w:r w:rsidRPr="00CF1BB9">
        <w:rPr>
          <w:rFonts w:asciiTheme="minorHAnsi" w:hAnsiTheme="minorHAnsi" w:cstheme="minorHAnsi"/>
          <w:i/>
        </w:rPr>
        <w:t>Apollodorus</w:t>
      </w:r>
      <w:proofErr w:type="spellEnd"/>
      <w:r w:rsidRPr="00CF1BB9">
        <w:rPr>
          <w:rFonts w:asciiTheme="minorHAnsi" w:hAnsiTheme="minorHAnsi" w:cstheme="minorHAnsi"/>
          <w:i/>
        </w:rPr>
        <w:t>: The Library of Greek Mythology</w:t>
      </w:r>
      <w:r w:rsidRPr="00CF1BB9">
        <w:rPr>
          <w:rFonts w:asciiTheme="minorHAnsi" w:hAnsiTheme="minorHAnsi" w:cstheme="minorHAnsi"/>
        </w:rPr>
        <w:t>, Oxford: Oxford University Press</w:t>
      </w:r>
    </w:p>
    <w:p w14:paraId="79575DD1"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Lowe, D (2018) </w:t>
      </w:r>
      <w:r w:rsidRPr="00CF1BB9">
        <w:rPr>
          <w:rFonts w:asciiTheme="minorHAnsi" w:hAnsiTheme="minorHAnsi" w:cstheme="minorHAnsi"/>
          <w:i/>
        </w:rPr>
        <w:t xml:space="preserve">Monsters and Monstrosity in Augustan Poetry, </w:t>
      </w:r>
      <w:r w:rsidRPr="00CF1BB9">
        <w:rPr>
          <w:rFonts w:asciiTheme="minorHAnsi" w:hAnsiTheme="minorHAnsi" w:cstheme="minorHAnsi"/>
        </w:rPr>
        <w:t>Michigan: University of Michigan Press</w:t>
      </w:r>
    </w:p>
    <w:p w14:paraId="27B71AFB" w14:textId="77777777" w:rsidR="00861FC0" w:rsidRPr="00CF1BB9" w:rsidRDefault="00861FC0" w:rsidP="00B33B0E">
      <w:pPr>
        <w:rPr>
          <w:rFonts w:asciiTheme="minorHAnsi" w:hAnsiTheme="minorHAnsi" w:cstheme="minorHAnsi"/>
        </w:rPr>
      </w:pPr>
      <w:proofErr w:type="spellStart"/>
      <w:r w:rsidRPr="00CF1BB9">
        <w:rPr>
          <w:rFonts w:asciiTheme="minorHAnsi" w:hAnsiTheme="minorHAnsi" w:cstheme="minorHAnsi"/>
        </w:rPr>
        <w:t>Matyszak</w:t>
      </w:r>
      <w:proofErr w:type="spellEnd"/>
      <w:r w:rsidRPr="00CF1BB9">
        <w:rPr>
          <w:rFonts w:asciiTheme="minorHAnsi" w:hAnsiTheme="minorHAnsi" w:cstheme="minorHAnsi"/>
        </w:rPr>
        <w:t xml:space="preserve">, P (2017) </w:t>
      </w:r>
      <w:r w:rsidRPr="00CF1BB9">
        <w:rPr>
          <w:rFonts w:asciiTheme="minorHAnsi" w:hAnsiTheme="minorHAnsi" w:cstheme="minorHAnsi"/>
          <w:i/>
        </w:rPr>
        <w:t xml:space="preserve">The Greek and Roman Myths: A Guide to the Classical Stories, </w:t>
      </w:r>
      <w:r w:rsidRPr="00CF1BB9">
        <w:rPr>
          <w:rFonts w:asciiTheme="minorHAnsi" w:hAnsiTheme="minorHAnsi" w:cstheme="minorHAnsi"/>
        </w:rPr>
        <w:t>London: Thames and Hudson</w:t>
      </w:r>
    </w:p>
    <w:p w14:paraId="3692D2FF"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MET Museum (2017) </w:t>
      </w:r>
      <w:r w:rsidRPr="00CF1BB9">
        <w:rPr>
          <w:rFonts w:asciiTheme="minorHAnsi" w:hAnsiTheme="minorHAnsi" w:cstheme="minorHAnsi"/>
          <w:i/>
        </w:rPr>
        <w:t xml:space="preserve">Terracotta Gorgoneion Antefix (Roof Tile), </w:t>
      </w:r>
      <w:r w:rsidRPr="00CF1BB9">
        <w:rPr>
          <w:rFonts w:asciiTheme="minorHAnsi" w:hAnsiTheme="minorHAnsi" w:cstheme="minorHAnsi"/>
        </w:rPr>
        <w:t xml:space="preserve">Available at: </w:t>
      </w:r>
      <w:hyperlink r:id="rId14" w:history="1">
        <w:r w:rsidRPr="00CF1BB9">
          <w:rPr>
            <w:rStyle w:val="Hyperlink"/>
            <w:rFonts w:asciiTheme="minorHAnsi" w:hAnsiTheme="minorHAnsi" w:cstheme="minorHAnsi"/>
          </w:rPr>
          <w:t>https://www.metmuseum.org/toah/works-of-art/20.215/</w:t>
        </w:r>
      </w:hyperlink>
      <w:r w:rsidRPr="00CF1BB9">
        <w:rPr>
          <w:rFonts w:asciiTheme="minorHAnsi" w:hAnsiTheme="minorHAnsi" w:cstheme="minorHAnsi"/>
        </w:rPr>
        <w:t xml:space="preserve"> (Accessed: 10/05/2019)</w:t>
      </w:r>
    </w:p>
    <w:p w14:paraId="39B542E0"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Murgatroyd, P (2013) </w:t>
      </w:r>
      <w:r w:rsidRPr="00CF1BB9">
        <w:rPr>
          <w:rFonts w:asciiTheme="minorHAnsi" w:hAnsiTheme="minorHAnsi" w:cstheme="minorHAnsi"/>
          <w:i/>
        </w:rPr>
        <w:t xml:space="preserve">Mythical Monsters in Classical Literature, </w:t>
      </w:r>
      <w:r w:rsidRPr="00CF1BB9">
        <w:rPr>
          <w:rFonts w:asciiTheme="minorHAnsi" w:hAnsiTheme="minorHAnsi" w:cstheme="minorHAnsi"/>
        </w:rPr>
        <w:t>Bristol: Bristol Classical Press</w:t>
      </w:r>
    </w:p>
    <w:p w14:paraId="79D354BA"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lastRenderedPageBreak/>
        <w:t xml:space="preserve">Raeburn, D (2004) </w:t>
      </w:r>
      <w:r w:rsidRPr="00CF1BB9">
        <w:rPr>
          <w:rFonts w:asciiTheme="minorHAnsi" w:hAnsiTheme="minorHAnsi" w:cstheme="minorHAnsi"/>
          <w:i/>
        </w:rPr>
        <w:t xml:space="preserve">Ovid: Metamorphoses, </w:t>
      </w:r>
      <w:r w:rsidRPr="00CF1BB9">
        <w:rPr>
          <w:rFonts w:asciiTheme="minorHAnsi" w:hAnsiTheme="minorHAnsi" w:cstheme="minorHAnsi"/>
        </w:rPr>
        <w:t>London: Penguin Books Ltd</w:t>
      </w:r>
    </w:p>
    <w:p w14:paraId="3B665D1B"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Topper, K (2007) ‘Perseus, the Maiden Medusa and the Imagery of Abduction’ </w:t>
      </w:r>
      <w:r w:rsidRPr="00CF1BB9">
        <w:rPr>
          <w:rFonts w:asciiTheme="minorHAnsi" w:hAnsiTheme="minorHAnsi" w:cstheme="minorHAnsi"/>
          <w:i/>
        </w:rPr>
        <w:t xml:space="preserve">Hesperia: The Journal of the American School of Classical Studies at Athens, </w:t>
      </w:r>
      <w:r w:rsidRPr="00CF1BB9">
        <w:rPr>
          <w:rFonts w:asciiTheme="minorHAnsi" w:hAnsiTheme="minorHAnsi" w:cstheme="minorHAnsi"/>
        </w:rPr>
        <w:t xml:space="preserve">76(1), pp.73-105, Available at: </w:t>
      </w:r>
      <w:hyperlink r:id="rId15" w:history="1">
        <w:r w:rsidRPr="00CF1BB9">
          <w:rPr>
            <w:rStyle w:val="Hyperlink"/>
            <w:rFonts w:asciiTheme="minorHAnsi" w:hAnsiTheme="minorHAnsi" w:cstheme="minorHAnsi"/>
          </w:rPr>
          <w:t>https://www.jstor.org/stable/25068013</w:t>
        </w:r>
      </w:hyperlink>
      <w:r w:rsidRPr="00CF1BB9">
        <w:rPr>
          <w:rFonts w:asciiTheme="minorHAnsi" w:hAnsiTheme="minorHAnsi" w:cstheme="minorHAnsi"/>
        </w:rPr>
        <w:t xml:space="preserve"> (Accessed: 16/05/2019)</w:t>
      </w:r>
    </w:p>
    <w:p w14:paraId="610EA042"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Topper, K (2010) ‘Maidens, Fillies and the Death of Medusa on a Seventh-Century Pithos’, </w:t>
      </w:r>
      <w:r w:rsidRPr="00CF1BB9">
        <w:rPr>
          <w:rFonts w:asciiTheme="minorHAnsi" w:hAnsiTheme="minorHAnsi" w:cstheme="minorHAnsi"/>
          <w:i/>
        </w:rPr>
        <w:t xml:space="preserve">Journal of Hellenic Studies, </w:t>
      </w:r>
      <w:r w:rsidRPr="00CF1BB9">
        <w:rPr>
          <w:rFonts w:asciiTheme="minorHAnsi" w:hAnsiTheme="minorHAnsi" w:cstheme="minorHAnsi"/>
        </w:rPr>
        <w:t xml:space="preserve">130, pp.109-119, Available at: </w:t>
      </w:r>
      <w:hyperlink r:id="rId16" w:history="1">
        <w:r w:rsidRPr="00CF1BB9">
          <w:rPr>
            <w:rStyle w:val="Hyperlink"/>
            <w:rFonts w:asciiTheme="minorHAnsi" w:hAnsiTheme="minorHAnsi" w:cstheme="minorHAnsi"/>
          </w:rPr>
          <w:t>https://www.cambridge.org/core/journals/journal-of-hellenic-studies/article/maidens-fillies-and-the-death-of-medusa-on-a-seventhcentury-pithos/2AC79F5EBF5C3C0C45D40A215B62B099</w:t>
        </w:r>
      </w:hyperlink>
      <w:r w:rsidRPr="00CF1BB9">
        <w:rPr>
          <w:rFonts w:asciiTheme="minorHAnsi" w:hAnsiTheme="minorHAnsi" w:cstheme="minorHAnsi"/>
        </w:rPr>
        <w:t xml:space="preserve"> (Accessed: 16/05/2019)</w:t>
      </w:r>
    </w:p>
    <w:p w14:paraId="00ADC73C" w14:textId="1714839F" w:rsidR="00CD6D55" w:rsidRPr="00CF1BB9" w:rsidRDefault="00CD6D55" w:rsidP="00B33B0E">
      <w:pPr>
        <w:rPr>
          <w:rFonts w:asciiTheme="minorHAnsi" w:hAnsiTheme="minorHAnsi" w:cstheme="minorHAnsi"/>
          <w:u w:val="single"/>
        </w:rPr>
      </w:pPr>
      <w:r w:rsidRPr="00CF1BB9">
        <w:rPr>
          <w:rFonts w:asciiTheme="minorHAnsi" w:hAnsiTheme="minorHAnsi" w:cstheme="minorHAnsi"/>
          <w:u w:val="single"/>
        </w:rPr>
        <w:t>Images</w:t>
      </w:r>
    </w:p>
    <w:p w14:paraId="410FEB33" w14:textId="77777777" w:rsidR="00861FC0" w:rsidRPr="00CF1BB9" w:rsidRDefault="00861FC0" w:rsidP="00861FC0">
      <w:pPr>
        <w:rPr>
          <w:rFonts w:asciiTheme="minorHAnsi" w:hAnsiTheme="minorHAnsi" w:cstheme="minorHAnsi"/>
        </w:rPr>
      </w:pPr>
      <w:r w:rsidRPr="00CF1BB9">
        <w:rPr>
          <w:rFonts w:asciiTheme="minorHAnsi" w:hAnsiTheme="minorHAnsi" w:cstheme="minorHAnsi"/>
        </w:rPr>
        <w:t xml:space="preserve">MET Museum (2017) </w:t>
      </w:r>
      <w:r w:rsidRPr="00CF1BB9">
        <w:rPr>
          <w:rFonts w:asciiTheme="minorHAnsi" w:hAnsiTheme="minorHAnsi" w:cstheme="minorHAnsi"/>
          <w:i/>
        </w:rPr>
        <w:t xml:space="preserve">Terracotta Gorgoneion Antefix (Roof Tile), </w:t>
      </w:r>
      <w:r w:rsidRPr="00CF1BB9">
        <w:rPr>
          <w:rFonts w:asciiTheme="minorHAnsi" w:hAnsiTheme="minorHAnsi" w:cstheme="minorHAnsi"/>
        </w:rPr>
        <w:t xml:space="preserve">Available at: </w:t>
      </w:r>
      <w:hyperlink r:id="rId17" w:history="1">
        <w:r w:rsidRPr="00CF1BB9">
          <w:rPr>
            <w:rStyle w:val="Hyperlink"/>
            <w:rFonts w:asciiTheme="minorHAnsi" w:hAnsiTheme="minorHAnsi" w:cstheme="minorHAnsi"/>
          </w:rPr>
          <w:t>https://www.metmuseum.org/toah/works-of-art/20.215/</w:t>
        </w:r>
      </w:hyperlink>
      <w:r w:rsidRPr="00CF1BB9">
        <w:rPr>
          <w:rFonts w:asciiTheme="minorHAnsi" w:hAnsiTheme="minorHAnsi" w:cstheme="minorHAnsi"/>
        </w:rPr>
        <w:t xml:space="preserve"> (Accessed: 10/05/2019)</w:t>
      </w:r>
    </w:p>
    <w:p w14:paraId="1ABEEAA2"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MET Museum (2017) </w:t>
      </w:r>
      <w:r w:rsidRPr="00CF1BB9">
        <w:rPr>
          <w:rFonts w:asciiTheme="minorHAnsi" w:hAnsiTheme="minorHAnsi" w:cstheme="minorHAnsi"/>
          <w:i/>
        </w:rPr>
        <w:t xml:space="preserve">Terracotta </w:t>
      </w:r>
      <w:proofErr w:type="spellStart"/>
      <w:r w:rsidRPr="00CF1BB9">
        <w:rPr>
          <w:rFonts w:asciiTheme="minorHAnsi" w:hAnsiTheme="minorHAnsi" w:cstheme="minorHAnsi"/>
          <w:i/>
        </w:rPr>
        <w:t>Pelike</w:t>
      </w:r>
      <w:proofErr w:type="spellEnd"/>
      <w:r w:rsidRPr="00CF1BB9">
        <w:rPr>
          <w:rFonts w:asciiTheme="minorHAnsi" w:hAnsiTheme="minorHAnsi" w:cstheme="minorHAnsi"/>
          <w:i/>
        </w:rPr>
        <w:t xml:space="preserve"> (Jar), </w:t>
      </w:r>
      <w:r w:rsidRPr="00CF1BB9">
        <w:rPr>
          <w:rFonts w:asciiTheme="minorHAnsi" w:hAnsiTheme="minorHAnsi" w:cstheme="minorHAnsi"/>
        </w:rPr>
        <w:t xml:space="preserve">Available at: </w:t>
      </w:r>
      <w:hyperlink r:id="rId18" w:history="1">
        <w:r w:rsidRPr="00CF1BB9">
          <w:rPr>
            <w:rStyle w:val="Hyperlink"/>
            <w:rFonts w:asciiTheme="minorHAnsi" w:hAnsiTheme="minorHAnsi" w:cstheme="minorHAnsi"/>
          </w:rPr>
          <w:t>https://www.metmuseum.org/toah/works-of-art/45.11.1/</w:t>
        </w:r>
      </w:hyperlink>
      <w:r w:rsidRPr="00CF1BB9">
        <w:rPr>
          <w:rFonts w:asciiTheme="minorHAnsi" w:hAnsiTheme="minorHAnsi" w:cstheme="minorHAnsi"/>
        </w:rPr>
        <w:t xml:space="preserve"> (Accessed:  10/05/2019)</w:t>
      </w:r>
    </w:p>
    <w:p w14:paraId="293BF9EE" w14:textId="77777777" w:rsidR="00861FC0" w:rsidRPr="00CF1BB9" w:rsidRDefault="00861FC0" w:rsidP="00B33B0E">
      <w:pPr>
        <w:rPr>
          <w:rFonts w:asciiTheme="minorHAnsi" w:hAnsiTheme="minorHAnsi" w:cstheme="minorHAnsi"/>
        </w:rPr>
      </w:pPr>
      <w:r w:rsidRPr="00CF1BB9">
        <w:rPr>
          <w:rFonts w:asciiTheme="minorHAnsi" w:hAnsiTheme="minorHAnsi" w:cstheme="minorHAnsi"/>
        </w:rPr>
        <w:t xml:space="preserve">MET Museum (2017) </w:t>
      </w:r>
      <w:r w:rsidRPr="00CF1BB9">
        <w:rPr>
          <w:rFonts w:asciiTheme="minorHAnsi" w:hAnsiTheme="minorHAnsi" w:cstheme="minorHAnsi"/>
          <w:i/>
        </w:rPr>
        <w:t>Terracotta Stand,</w:t>
      </w:r>
      <w:r w:rsidRPr="00CF1BB9">
        <w:rPr>
          <w:rFonts w:asciiTheme="minorHAnsi" w:hAnsiTheme="minorHAnsi" w:cstheme="minorHAnsi"/>
        </w:rPr>
        <w:t xml:space="preserve"> Available at: </w:t>
      </w:r>
      <w:hyperlink r:id="rId19" w:history="1">
        <w:r w:rsidRPr="00CF1BB9">
          <w:rPr>
            <w:rStyle w:val="Hyperlink"/>
            <w:rFonts w:asciiTheme="minorHAnsi" w:hAnsiTheme="minorHAnsi" w:cstheme="minorHAnsi"/>
          </w:rPr>
          <w:t>https://www.metmuseum.org/toah/works-of-art/31.11.4/</w:t>
        </w:r>
      </w:hyperlink>
      <w:r w:rsidRPr="00CF1BB9">
        <w:rPr>
          <w:rFonts w:asciiTheme="minorHAnsi" w:hAnsiTheme="minorHAnsi" w:cstheme="minorHAnsi"/>
        </w:rPr>
        <w:t xml:space="preserve"> (Accessed: 10/05/2019)</w:t>
      </w:r>
    </w:p>
    <w:p w14:paraId="7CEFF853" w14:textId="77777777" w:rsidR="00861FC0" w:rsidRPr="00CF1BB9" w:rsidRDefault="00861FC0" w:rsidP="00861FC0">
      <w:pPr>
        <w:rPr>
          <w:rFonts w:asciiTheme="minorHAnsi" w:hAnsiTheme="minorHAnsi" w:cstheme="minorHAnsi"/>
        </w:rPr>
      </w:pPr>
      <w:r w:rsidRPr="00CF1BB9">
        <w:rPr>
          <w:rFonts w:asciiTheme="minorHAnsi" w:hAnsiTheme="minorHAnsi" w:cstheme="minorHAnsi"/>
        </w:rPr>
        <w:t xml:space="preserve">Topper, K (2010) ‘Maidens, Fillies and the Death of Medusa on a Seventh-Century Pithos’, </w:t>
      </w:r>
      <w:r w:rsidRPr="00CF1BB9">
        <w:rPr>
          <w:rFonts w:asciiTheme="minorHAnsi" w:hAnsiTheme="minorHAnsi" w:cstheme="minorHAnsi"/>
          <w:i/>
        </w:rPr>
        <w:t xml:space="preserve">Journal of Hellenic Studies, </w:t>
      </w:r>
      <w:r w:rsidRPr="00CF1BB9">
        <w:rPr>
          <w:rFonts w:asciiTheme="minorHAnsi" w:hAnsiTheme="minorHAnsi" w:cstheme="minorHAnsi"/>
        </w:rPr>
        <w:t xml:space="preserve">130, pp.109-119, Available at: </w:t>
      </w:r>
      <w:hyperlink r:id="rId20" w:history="1">
        <w:r w:rsidRPr="00CF1BB9">
          <w:rPr>
            <w:rStyle w:val="Hyperlink"/>
            <w:rFonts w:asciiTheme="minorHAnsi" w:hAnsiTheme="minorHAnsi" w:cstheme="minorHAnsi"/>
          </w:rPr>
          <w:t>https://www.cambridge.org/core/journals/journal-of-hellenic-studies/article/maidens-fillies-and-the-death-of-medusa-on-a-seventhcentury-pithos/2AC79F5EBF5C3C0C45D40A215B62B099</w:t>
        </w:r>
      </w:hyperlink>
      <w:r w:rsidRPr="00CF1BB9">
        <w:rPr>
          <w:rFonts w:asciiTheme="minorHAnsi" w:hAnsiTheme="minorHAnsi" w:cstheme="minorHAnsi"/>
        </w:rPr>
        <w:t xml:space="preserve"> (Accessed: 16/05/2019)</w:t>
      </w:r>
    </w:p>
    <w:p w14:paraId="53FFDCA5" w14:textId="0AE80031" w:rsidR="004A6C42" w:rsidRPr="00CF1BB9" w:rsidRDefault="004A6C42" w:rsidP="004A6C42">
      <w:pPr>
        <w:rPr>
          <w:rFonts w:asciiTheme="minorHAnsi" w:hAnsiTheme="minorHAnsi" w:cstheme="minorHAnsi"/>
        </w:rPr>
      </w:pPr>
    </w:p>
    <w:p w14:paraId="7035DA21" w14:textId="18BB73D7" w:rsidR="00C00741" w:rsidRPr="00CF1BB9" w:rsidRDefault="00C00741" w:rsidP="00C00741">
      <w:pPr>
        <w:rPr>
          <w:rFonts w:asciiTheme="minorHAnsi" w:hAnsiTheme="minorHAnsi" w:cstheme="minorHAnsi"/>
        </w:rPr>
      </w:pPr>
    </w:p>
    <w:sectPr w:rsidR="00C00741" w:rsidRPr="00CF1B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61E5B" w14:textId="77777777" w:rsidR="00327A4C" w:rsidRDefault="00327A4C" w:rsidP="00791999">
      <w:pPr>
        <w:spacing w:after="0" w:line="240" w:lineRule="auto"/>
      </w:pPr>
      <w:r>
        <w:separator/>
      </w:r>
    </w:p>
  </w:endnote>
  <w:endnote w:type="continuationSeparator" w:id="0">
    <w:p w14:paraId="04DDD6D1" w14:textId="77777777" w:rsidR="00327A4C" w:rsidRDefault="00327A4C" w:rsidP="00791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33938" w14:textId="77777777" w:rsidR="00327A4C" w:rsidRDefault="00327A4C" w:rsidP="00791999">
      <w:pPr>
        <w:spacing w:after="0" w:line="240" w:lineRule="auto"/>
      </w:pPr>
      <w:r>
        <w:separator/>
      </w:r>
    </w:p>
  </w:footnote>
  <w:footnote w:type="continuationSeparator" w:id="0">
    <w:p w14:paraId="0544DA11" w14:textId="77777777" w:rsidR="00327A4C" w:rsidRDefault="00327A4C" w:rsidP="00791999">
      <w:pPr>
        <w:spacing w:after="0" w:line="240" w:lineRule="auto"/>
      </w:pPr>
      <w:r>
        <w:continuationSeparator/>
      </w:r>
    </w:p>
  </w:footnote>
  <w:footnote w:id="1">
    <w:p w14:paraId="5B622709" w14:textId="77777777" w:rsidR="008C303F" w:rsidRDefault="008C303F" w:rsidP="008C303F">
      <w:pPr>
        <w:pStyle w:val="FootnoteText"/>
      </w:pPr>
      <w:r>
        <w:rPr>
          <w:rStyle w:val="FootnoteReference"/>
        </w:rPr>
        <w:footnoteRef/>
      </w:r>
      <w:r>
        <w:t xml:space="preserve"> Glennon, 2017</w:t>
      </w:r>
    </w:p>
  </w:footnote>
  <w:footnote w:id="2">
    <w:p w14:paraId="0EA6DCA9" w14:textId="3576B3E6" w:rsidR="00BE19D9" w:rsidRDefault="00BE19D9">
      <w:pPr>
        <w:pStyle w:val="FootnoteText"/>
      </w:pPr>
      <w:r>
        <w:rPr>
          <w:rStyle w:val="FootnoteReference"/>
        </w:rPr>
        <w:footnoteRef/>
      </w:r>
      <w:r>
        <w:t xml:space="preserve"> Garcia, 2013</w:t>
      </w:r>
    </w:p>
  </w:footnote>
  <w:footnote w:id="3">
    <w:p w14:paraId="65D39B3A" w14:textId="75A09AD3" w:rsidR="00F86E15" w:rsidRDefault="00F86E15">
      <w:pPr>
        <w:pStyle w:val="FootnoteText"/>
      </w:pPr>
      <w:r>
        <w:rPr>
          <w:rStyle w:val="FootnoteReference"/>
        </w:rPr>
        <w:footnoteRef/>
      </w:r>
      <w:r>
        <w:t xml:space="preserve"> Garcia, 2013</w:t>
      </w:r>
    </w:p>
  </w:footnote>
  <w:footnote w:id="4">
    <w:p w14:paraId="653F7156" w14:textId="66D32A23" w:rsidR="00F86E15" w:rsidRDefault="00F86E15">
      <w:pPr>
        <w:pStyle w:val="FootnoteText"/>
      </w:pPr>
      <w:r>
        <w:rPr>
          <w:rStyle w:val="FootnoteReference"/>
        </w:rPr>
        <w:footnoteRef/>
      </w:r>
      <w:r>
        <w:t xml:space="preserve"> Garcia, 2013</w:t>
      </w:r>
    </w:p>
  </w:footnote>
  <w:footnote w:id="5">
    <w:p w14:paraId="564E7E1E" w14:textId="77777777" w:rsidR="007C141B" w:rsidRDefault="007C141B" w:rsidP="007C141B">
      <w:pPr>
        <w:pStyle w:val="FootnoteText"/>
      </w:pPr>
      <w:r>
        <w:rPr>
          <w:rStyle w:val="FootnoteReference"/>
        </w:rPr>
        <w:footnoteRef/>
      </w:r>
      <w:r>
        <w:t xml:space="preserve"> </w:t>
      </w:r>
      <w:proofErr w:type="spellStart"/>
      <w:r>
        <w:t>Hes</w:t>
      </w:r>
      <w:proofErr w:type="spellEnd"/>
      <w:r>
        <w:t>. Th. 272-281</w:t>
      </w:r>
    </w:p>
  </w:footnote>
  <w:footnote w:id="6">
    <w:p w14:paraId="03F7133E" w14:textId="0B179BA3" w:rsidR="00AC61F2" w:rsidRDefault="00AC61F2">
      <w:pPr>
        <w:pStyle w:val="FootnoteText"/>
      </w:pPr>
      <w:r>
        <w:rPr>
          <w:rStyle w:val="FootnoteReference"/>
        </w:rPr>
        <w:footnoteRef/>
      </w:r>
      <w:r>
        <w:t xml:space="preserve"> </w:t>
      </w:r>
      <w:proofErr w:type="spellStart"/>
      <w:r>
        <w:t>Hes</w:t>
      </w:r>
      <w:proofErr w:type="spellEnd"/>
      <w:r>
        <w:t>. Th. 276-281</w:t>
      </w:r>
    </w:p>
  </w:footnote>
  <w:footnote w:id="7">
    <w:p w14:paraId="7372464E" w14:textId="6E59BCDF" w:rsidR="004A6C42" w:rsidRDefault="004A6C42">
      <w:pPr>
        <w:pStyle w:val="FootnoteText"/>
      </w:pPr>
      <w:r>
        <w:rPr>
          <w:rStyle w:val="FootnoteReference"/>
        </w:rPr>
        <w:footnoteRef/>
      </w:r>
      <w:r>
        <w:t xml:space="preserve"> </w:t>
      </w:r>
      <w:proofErr w:type="spellStart"/>
      <w:r>
        <w:t>Hes</w:t>
      </w:r>
      <w:proofErr w:type="spellEnd"/>
      <w:r>
        <w:t>. Th. 278</w:t>
      </w:r>
    </w:p>
  </w:footnote>
  <w:footnote w:id="8">
    <w:p w14:paraId="5413DC85" w14:textId="204175A2" w:rsidR="00B64BA5" w:rsidRDefault="00B64BA5">
      <w:pPr>
        <w:pStyle w:val="FootnoteText"/>
      </w:pPr>
      <w:r>
        <w:rPr>
          <w:rStyle w:val="FootnoteReference"/>
        </w:rPr>
        <w:footnoteRef/>
      </w:r>
      <w:r>
        <w:t xml:space="preserve"> Conway, 1972, p.165</w:t>
      </w:r>
    </w:p>
  </w:footnote>
  <w:footnote w:id="9">
    <w:p w14:paraId="3C031A31" w14:textId="2E8D630D" w:rsidR="00B64BA5" w:rsidRDefault="00B64BA5">
      <w:pPr>
        <w:pStyle w:val="FootnoteText"/>
      </w:pPr>
      <w:r>
        <w:rPr>
          <w:rStyle w:val="FootnoteReference"/>
        </w:rPr>
        <w:footnoteRef/>
      </w:r>
      <w:r>
        <w:t xml:space="preserve"> Conway, 1972, </w:t>
      </w:r>
      <w:proofErr w:type="spellStart"/>
      <w:r>
        <w:t>p.</w:t>
      </w:r>
      <w:r w:rsidR="00A448DF">
        <w:t>xi</w:t>
      </w:r>
      <w:proofErr w:type="spellEnd"/>
    </w:p>
  </w:footnote>
  <w:footnote w:id="10">
    <w:p w14:paraId="5952F8E4" w14:textId="4B4CBE11" w:rsidR="00DD5A6E" w:rsidRDefault="00DD5A6E">
      <w:pPr>
        <w:pStyle w:val="FootnoteText"/>
      </w:pPr>
      <w:r>
        <w:rPr>
          <w:rStyle w:val="FootnoteReference"/>
        </w:rPr>
        <w:footnoteRef/>
      </w:r>
      <w:r>
        <w:t xml:space="preserve"> </w:t>
      </w:r>
      <w:proofErr w:type="spellStart"/>
      <w:r>
        <w:t>Pind</w:t>
      </w:r>
      <w:proofErr w:type="spellEnd"/>
      <w:r>
        <w:t>. P. 12</w:t>
      </w:r>
    </w:p>
  </w:footnote>
  <w:footnote w:id="11">
    <w:p w14:paraId="51871633" w14:textId="339D1233" w:rsidR="002A0441" w:rsidRDefault="002A0441">
      <w:pPr>
        <w:pStyle w:val="FootnoteText"/>
      </w:pPr>
      <w:r>
        <w:rPr>
          <w:rStyle w:val="FootnoteReference"/>
        </w:rPr>
        <w:footnoteRef/>
      </w:r>
      <w:r>
        <w:t xml:space="preserve"> </w:t>
      </w:r>
      <w:proofErr w:type="spellStart"/>
      <w:r>
        <w:t>Pind</w:t>
      </w:r>
      <w:proofErr w:type="spellEnd"/>
      <w:r>
        <w:t>. P. 12</w:t>
      </w:r>
    </w:p>
  </w:footnote>
  <w:footnote w:id="12">
    <w:p w14:paraId="2E47D917" w14:textId="0ABC0AEF" w:rsidR="00237A59" w:rsidRDefault="00237A59">
      <w:pPr>
        <w:pStyle w:val="FootnoteText"/>
      </w:pPr>
      <w:r>
        <w:rPr>
          <w:rStyle w:val="FootnoteReference"/>
        </w:rPr>
        <w:footnoteRef/>
      </w:r>
      <w:r>
        <w:t xml:space="preserve"> Hard, 2008, p</w:t>
      </w:r>
      <w:r w:rsidR="00286DF5">
        <w:t>p</w:t>
      </w:r>
      <w:r>
        <w:t>.</w:t>
      </w:r>
      <w:r w:rsidR="00286DF5">
        <w:t xml:space="preserve"> vii, </w:t>
      </w:r>
      <w:r>
        <w:t>ix</w:t>
      </w:r>
    </w:p>
  </w:footnote>
  <w:footnote w:id="13">
    <w:p w14:paraId="1C493824" w14:textId="582A5444" w:rsidR="007C141B" w:rsidRDefault="007C141B" w:rsidP="007C141B">
      <w:pPr>
        <w:pStyle w:val="FootnoteText"/>
      </w:pPr>
      <w:r>
        <w:rPr>
          <w:rStyle w:val="FootnoteReference"/>
        </w:rPr>
        <w:footnoteRef/>
      </w:r>
      <w:r>
        <w:t xml:space="preserve"> </w:t>
      </w:r>
      <w:proofErr w:type="spellStart"/>
      <w:r>
        <w:t>Apollod</w:t>
      </w:r>
      <w:proofErr w:type="spellEnd"/>
      <w:r>
        <w:t>. 2.4.</w:t>
      </w:r>
      <w:r w:rsidR="00237A59">
        <w:t>2</w:t>
      </w:r>
    </w:p>
  </w:footnote>
  <w:footnote w:id="14">
    <w:p w14:paraId="45B4EEC6" w14:textId="4A9D086A" w:rsidR="0054388E" w:rsidRDefault="0054388E">
      <w:pPr>
        <w:pStyle w:val="FootnoteText"/>
      </w:pPr>
      <w:r>
        <w:rPr>
          <w:rStyle w:val="FootnoteReference"/>
        </w:rPr>
        <w:footnoteRef/>
      </w:r>
      <w:r>
        <w:t xml:space="preserve"> Raeburn, 2004, </w:t>
      </w:r>
      <w:proofErr w:type="spellStart"/>
      <w:r>
        <w:t>p.xii</w:t>
      </w:r>
      <w:proofErr w:type="spellEnd"/>
    </w:p>
  </w:footnote>
  <w:footnote w:id="15">
    <w:p w14:paraId="6465FBC1" w14:textId="1C374430" w:rsidR="007C141B" w:rsidRDefault="007C141B">
      <w:pPr>
        <w:pStyle w:val="FootnoteText"/>
      </w:pPr>
      <w:r>
        <w:rPr>
          <w:rStyle w:val="FootnoteReference"/>
        </w:rPr>
        <w:footnoteRef/>
      </w:r>
      <w:r>
        <w:t xml:space="preserve"> Murgatroyd, 2013, p.107</w:t>
      </w:r>
    </w:p>
  </w:footnote>
  <w:footnote w:id="16">
    <w:p w14:paraId="5CDFA561" w14:textId="77777777" w:rsidR="003C510B" w:rsidRDefault="003C510B" w:rsidP="003C510B">
      <w:pPr>
        <w:pStyle w:val="FootnoteText"/>
      </w:pPr>
      <w:r>
        <w:rPr>
          <w:rStyle w:val="FootnoteReference"/>
        </w:rPr>
        <w:footnoteRef/>
      </w:r>
      <w:r>
        <w:t xml:space="preserve"> Glennon, 2017</w:t>
      </w:r>
    </w:p>
  </w:footnote>
  <w:footnote w:id="17">
    <w:p w14:paraId="0AD85641" w14:textId="77777777" w:rsidR="003C510B" w:rsidRDefault="003C510B" w:rsidP="003C510B">
      <w:pPr>
        <w:pStyle w:val="FootnoteText"/>
      </w:pPr>
      <w:r>
        <w:rPr>
          <w:rStyle w:val="FootnoteReference"/>
        </w:rPr>
        <w:footnoteRef/>
      </w:r>
      <w:r>
        <w:t xml:space="preserve"> Glennon, 2017</w:t>
      </w:r>
    </w:p>
  </w:footnote>
  <w:footnote w:id="18">
    <w:p w14:paraId="41D0171E" w14:textId="77777777" w:rsidR="0054388E" w:rsidRDefault="0054388E" w:rsidP="0054388E">
      <w:pPr>
        <w:pStyle w:val="FootnoteText"/>
      </w:pPr>
      <w:r>
        <w:rPr>
          <w:rStyle w:val="FootnoteReference"/>
        </w:rPr>
        <w:footnoteRef/>
      </w:r>
      <w:r>
        <w:t xml:space="preserve"> Lowe, 2015, p. 98</w:t>
      </w:r>
    </w:p>
  </w:footnote>
  <w:footnote w:id="19">
    <w:p w14:paraId="0AE3F838" w14:textId="51742AF8" w:rsidR="00896DBF" w:rsidRDefault="00896DBF">
      <w:pPr>
        <w:pStyle w:val="FootnoteText"/>
      </w:pPr>
      <w:r>
        <w:rPr>
          <w:rStyle w:val="FootnoteReference"/>
        </w:rPr>
        <w:footnoteRef/>
      </w:r>
      <w:r>
        <w:t xml:space="preserve"> </w:t>
      </w:r>
      <w:proofErr w:type="spellStart"/>
      <w:r>
        <w:t>Apollod</w:t>
      </w:r>
      <w:proofErr w:type="spellEnd"/>
      <w:r>
        <w:t>. 2.4.2</w:t>
      </w:r>
    </w:p>
  </w:footnote>
  <w:footnote w:id="20">
    <w:p w14:paraId="5585521D" w14:textId="6CFB7FF7" w:rsidR="00791999" w:rsidRDefault="00791999">
      <w:pPr>
        <w:pStyle w:val="FootnoteText"/>
      </w:pPr>
      <w:r>
        <w:rPr>
          <w:rStyle w:val="FootnoteReference"/>
        </w:rPr>
        <w:footnoteRef/>
      </w:r>
      <w:r>
        <w:t xml:space="preserve"> Glennon, 2017</w:t>
      </w:r>
    </w:p>
  </w:footnote>
  <w:footnote w:id="21">
    <w:p w14:paraId="1BF71347" w14:textId="7214E616" w:rsidR="00791999" w:rsidRDefault="00791999">
      <w:pPr>
        <w:pStyle w:val="FootnoteText"/>
      </w:pPr>
      <w:r>
        <w:rPr>
          <w:rStyle w:val="FootnoteReference"/>
        </w:rPr>
        <w:footnoteRef/>
      </w:r>
      <w:r>
        <w:t xml:space="preserve"> Glennon, 2017</w:t>
      </w:r>
    </w:p>
  </w:footnote>
  <w:footnote w:id="22">
    <w:p w14:paraId="1147695A" w14:textId="19368B2C" w:rsidR="005A4F00" w:rsidRDefault="005A4F00">
      <w:pPr>
        <w:pStyle w:val="FootnoteText"/>
      </w:pPr>
      <w:r>
        <w:rPr>
          <w:rStyle w:val="FootnoteReference"/>
        </w:rPr>
        <w:footnoteRef/>
      </w:r>
      <w:r>
        <w:t xml:space="preserve"> Glennon, 2017</w:t>
      </w:r>
    </w:p>
  </w:footnote>
  <w:footnote w:id="23">
    <w:p w14:paraId="663813FD" w14:textId="15871E8D" w:rsidR="00BD5AD3" w:rsidRDefault="00BD5AD3">
      <w:pPr>
        <w:pStyle w:val="FootnoteText"/>
      </w:pPr>
      <w:r>
        <w:rPr>
          <w:rStyle w:val="FootnoteReference"/>
        </w:rPr>
        <w:footnoteRef/>
      </w:r>
      <w:r>
        <w:t xml:space="preserve"> Glennon, 2017</w:t>
      </w:r>
    </w:p>
  </w:footnote>
  <w:footnote w:id="24">
    <w:p w14:paraId="6C31A1E5" w14:textId="2C2F200C" w:rsidR="00763220" w:rsidRDefault="00763220">
      <w:pPr>
        <w:pStyle w:val="FootnoteText"/>
      </w:pPr>
      <w:r>
        <w:rPr>
          <w:rStyle w:val="FootnoteReference"/>
        </w:rPr>
        <w:footnoteRef/>
      </w:r>
      <w:r>
        <w:t xml:space="preserve"> MET museum, 2017</w:t>
      </w:r>
    </w:p>
  </w:footnote>
  <w:footnote w:id="25">
    <w:p w14:paraId="14D20660" w14:textId="77777777" w:rsidR="007C141B" w:rsidRDefault="007C141B" w:rsidP="007C141B">
      <w:pPr>
        <w:pStyle w:val="FootnoteText"/>
      </w:pPr>
      <w:r>
        <w:rPr>
          <w:rStyle w:val="FootnoteReference"/>
        </w:rPr>
        <w:footnoteRef/>
      </w:r>
      <w:r>
        <w:t xml:space="preserve"> Lowe, 2015, p. 97</w:t>
      </w:r>
    </w:p>
  </w:footnote>
  <w:footnote w:id="26">
    <w:p w14:paraId="4E57C9BC" w14:textId="77777777" w:rsidR="00370D06" w:rsidRDefault="00370D06" w:rsidP="00370D06">
      <w:pPr>
        <w:pStyle w:val="FootnoteText"/>
      </w:pPr>
      <w:r>
        <w:rPr>
          <w:rStyle w:val="FootnoteReference"/>
        </w:rPr>
        <w:footnoteRef/>
      </w:r>
      <w:r>
        <w:t xml:space="preserve"> Collins, 1978, p.13</w:t>
      </w:r>
    </w:p>
  </w:footnote>
  <w:footnote w:id="27">
    <w:p w14:paraId="2047593C" w14:textId="1BDB9597" w:rsidR="00952FE9" w:rsidRDefault="00952FE9">
      <w:pPr>
        <w:pStyle w:val="FootnoteText"/>
      </w:pPr>
      <w:r>
        <w:rPr>
          <w:rStyle w:val="FootnoteReference"/>
        </w:rPr>
        <w:footnoteRef/>
      </w:r>
      <w:r>
        <w:t xml:space="preserve"> Griffiths, 2006, p.61</w:t>
      </w:r>
    </w:p>
  </w:footnote>
  <w:footnote w:id="28">
    <w:p w14:paraId="37BE6A07" w14:textId="77777777" w:rsidR="00101272" w:rsidRDefault="00101272" w:rsidP="00101272">
      <w:pPr>
        <w:pStyle w:val="FootnoteText"/>
      </w:pPr>
      <w:r>
        <w:rPr>
          <w:rStyle w:val="FootnoteReference"/>
        </w:rPr>
        <w:footnoteRef/>
      </w:r>
      <w:r>
        <w:t xml:space="preserve"> Glennon, 2017</w:t>
      </w:r>
    </w:p>
  </w:footnote>
  <w:footnote w:id="29">
    <w:p w14:paraId="484764A1" w14:textId="6777FD98" w:rsidR="005B52F8" w:rsidRDefault="005B52F8">
      <w:pPr>
        <w:pStyle w:val="FootnoteText"/>
      </w:pPr>
      <w:r>
        <w:rPr>
          <w:rStyle w:val="FootnoteReference"/>
        </w:rPr>
        <w:footnoteRef/>
      </w:r>
      <w:r>
        <w:t xml:space="preserve"> </w:t>
      </w:r>
      <w:proofErr w:type="spellStart"/>
      <w:r>
        <w:t>Matyszak</w:t>
      </w:r>
      <w:proofErr w:type="spellEnd"/>
      <w:r>
        <w:t>, 2017, p.127-8</w:t>
      </w:r>
    </w:p>
  </w:footnote>
  <w:footnote w:id="30">
    <w:p w14:paraId="16BD7FF4" w14:textId="7468C8FB" w:rsidR="00136319" w:rsidRDefault="00136319">
      <w:pPr>
        <w:pStyle w:val="FootnoteText"/>
      </w:pPr>
      <w:r>
        <w:rPr>
          <w:rStyle w:val="FootnoteReference"/>
        </w:rPr>
        <w:footnoteRef/>
      </w:r>
      <w:r>
        <w:t xml:space="preserve"> Topper, 2007, p.80</w:t>
      </w:r>
    </w:p>
  </w:footnote>
  <w:footnote w:id="31">
    <w:p w14:paraId="5072A6AF" w14:textId="311F281B" w:rsidR="002B66AD" w:rsidRDefault="002B66AD" w:rsidP="002B66AD">
      <w:pPr>
        <w:pStyle w:val="FootnoteText"/>
      </w:pPr>
      <w:r>
        <w:rPr>
          <w:rStyle w:val="FootnoteReference"/>
        </w:rPr>
        <w:footnoteRef/>
      </w:r>
      <w:r>
        <w:t xml:space="preserve"> Topper, 2007, p.81-2</w:t>
      </w:r>
    </w:p>
  </w:footnote>
  <w:footnote w:id="32">
    <w:p w14:paraId="40F46CE7" w14:textId="2C0DABCF" w:rsidR="00677864" w:rsidRDefault="00677864">
      <w:pPr>
        <w:pStyle w:val="FootnoteText"/>
      </w:pPr>
      <w:r>
        <w:rPr>
          <w:rStyle w:val="FootnoteReference"/>
        </w:rPr>
        <w:footnoteRef/>
      </w:r>
      <w:r>
        <w:t xml:space="preserve"> Topper, 2007, p.84</w:t>
      </w:r>
    </w:p>
  </w:footnote>
  <w:footnote w:id="33">
    <w:p w14:paraId="46D4B083" w14:textId="123DB084" w:rsidR="00BC14A4" w:rsidRDefault="00BC14A4">
      <w:pPr>
        <w:pStyle w:val="FootnoteText"/>
      </w:pPr>
      <w:r>
        <w:rPr>
          <w:rStyle w:val="FootnoteReference"/>
        </w:rPr>
        <w:footnoteRef/>
      </w:r>
      <w:r>
        <w:t xml:space="preserve"> Topper, 2010, p.109</w:t>
      </w:r>
    </w:p>
  </w:footnote>
  <w:footnote w:id="34">
    <w:p w14:paraId="6E998730" w14:textId="35BE504C" w:rsidR="00DF1997" w:rsidRDefault="00DF1997">
      <w:pPr>
        <w:pStyle w:val="FootnoteText"/>
      </w:pPr>
      <w:r>
        <w:rPr>
          <w:rStyle w:val="FootnoteReference"/>
        </w:rPr>
        <w:footnoteRef/>
      </w:r>
      <w:r>
        <w:t xml:space="preserve"> Topper, 2010, p.110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96374"/>
    <w:multiLevelType w:val="hybridMultilevel"/>
    <w:tmpl w:val="E5044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74D87"/>
    <w:multiLevelType w:val="multilevel"/>
    <w:tmpl w:val="F5BA9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14147"/>
    <w:multiLevelType w:val="hybridMultilevel"/>
    <w:tmpl w:val="12942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B24E5"/>
    <w:multiLevelType w:val="hybridMultilevel"/>
    <w:tmpl w:val="5A9A36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101"/>
    <w:rsid w:val="000375B9"/>
    <w:rsid w:val="000714CF"/>
    <w:rsid w:val="000A4090"/>
    <w:rsid w:val="000B657B"/>
    <w:rsid w:val="000C4592"/>
    <w:rsid w:val="000E6059"/>
    <w:rsid w:val="00101272"/>
    <w:rsid w:val="00136319"/>
    <w:rsid w:val="0015192F"/>
    <w:rsid w:val="001A2F58"/>
    <w:rsid w:val="001B6617"/>
    <w:rsid w:val="001E3E1D"/>
    <w:rsid w:val="001E6A15"/>
    <w:rsid w:val="001F341E"/>
    <w:rsid w:val="001F52EF"/>
    <w:rsid w:val="00237A59"/>
    <w:rsid w:val="00242C73"/>
    <w:rsid w:val="00286DF5"/>
    <w:rsid w:val="002A0441"/>
    <w:rsid w:val="002B06FA"/>
    <w:rsid w:val="002B66AD"/>
    <w:rsid w:val="002E3DF2"/>
    <w:rsid w:val="00327A4C"/>
    <w:rsid w:val="00332D84"/>
    <w:rsid w:val="00370D06"/>
    <w:rsid w:val="003C510B"/>
    <w:rsid w:val="003E7535"/>
    <w:rsid w:val="00406809"/>
    <w:rsid w:val="004253B5"/>
    <w:rsid w:val="004259F4"/>
    <w:rsid w:val="00444C95"/>
    <w:rsid w:val="00492592"/>
    <w:rsid w:val="004A4DA4"/>
    <w:rsid w:val="004A6C42"/>
    <w:rsid w:val="004B631B"/>
    <w:rsid w:val="004C0F60"/>
    <w:rsid w:val="004D0120"/>
    <w:rsid w:val="004E4629"/>
    <w:rsid w:val="00507867"/>
    <w:rsid w:val="005231FA"/>
    <w:rsid w:val="0054388E"/>
    <w:rsid w:val="0054425C"/>
    <w:rsid w:val="00560A99"/>
    <w:rsid w:val="00564947"/>
    <w:rsid w:val="00564A5A"/>
    <w:rsid w:val="005A4F00"/>
    <w:rsid w:val="005B52F8"/>
    <w:rsid w:val="005D26C3"/>
    <w:rsid w:val="00601A61"/>
    <w:rsid w:val="006069D0"/>
    <w:rsid w:val="00607EF5"/>
    <w:rsid w:val="00677864"/>
    <w:rsid w:val="006D3314"/>
    <w:rsid w:val="00731289"/>
    <w:rsid w:val="00763220"/>
    <w:rsid w:val="00787C26"/>
    <w:rsid w:val="00791999"/>
    <w:rsid w:val="007C141B"/>
    <w:rsid w:val="007E3ECD"/>
    <w:rsid w:val="00855BC1"/>
    <w:rsid w:val="00861FC0"/>
    <w:rsid w:val="0086284B"/>
    <w:rsid w:val="00872653"/>
    <w:rsid w:val="00896DBF"/>
    <w:rsid w:val="008B228D"/>
    <w:rsid w:val="008C303F"/>
    <w:rsid w:val="008E7951"/>
    <w:rsid w:val="008F1AA3"/>
    <w:rsid w:val="009248F7"/>
    <w:rsid w:val="00952FE9"/>
    <w:rsid w:val="0098717D"/>
    <w:rsid w:val="009D2EAF"/>
    <w:rsid w:val="009E3356"/>
    <w:rsid w:val="009F2CF9"/>
    <w:rsid w:val="00A009B7"/>
    <w:rsid w:val="00A0405F"/>
    <w:rsid w:val="00A22A93"/>
    <w:rsid w:val="00A448DF"/>
    <w:rsid w:val="00A87203"/>
    <w:rsid w:val="00AB3ABA"/>
    <w:rsid w:val="00AC61F2"/>
    <w:rsid w:val="00B001DA"/>
    <w:rsid w:val="00B04A15"/>
    <w:rsid w:val="00B074EC"/>
    <w:rsid w:val="00B1352B"/>
    <w:rsid w:val="00B33B0E"/>
    <w:rsid w:val="00B359DD"/>
    <w:rsid w:val="00B64BA5"/>
    <w:rsid w:val="00BB67C4"/>
    <w:rsid w:val="00BC14A4"/>
    <w:rsid w:val="00BD5AD3"/>
    <w:rsid w:val="00BD6CD9"/>
    <w:rsid w:val="00BE19D9"/>
    <w:rsid w:val="00C00741"/>
    <w:rsid w:val="00C10BC7"/>
    <w:rsid w:val="00C52102"/>
    <w:rsid w:val="00C8362B"/>
    <w:rsid w:val="00CA04A3"/>
    <w:rsid w:val="00CC00BB"/>
    <w:rsid w:val="00CD6D55"/>
    <w:rsid w:val="00CE4F42"/>
    <w:rsid w:val="00CF0660"/>
    <w:rsid w:val="00CF1BB9"/>
    <w:rsid w:val="00D13A8C"/>
    <w:rsid w:val="00D33A2C"/>
    <w:rsid w:val="00D41463"/>
    <w:rsid w:val="00D43101"/>
    <w:rsid w:val="00D43370"/>
    <w:rsid w:val="00D4612E"/>
    <w:rsid w:val="00D62DAA"/>
    <w:rsid w:val="00DD0D29"/>
    <w:rsid w:val="00DD375B"/>
    <w:rsid w:val="00DD3D85"/>
    <w:rsid w:val="00DD5A6E"/>
    <w:rsid w:val="00DF1997"/>
    <w:rsid w:val="00E16A82"/>
    <w:rsid w:val="00E3166A"/>
    <w:rsid w:val="00E37D38"/>
    <w:rsid w:val="00E462C1"/>
    <w:rsid w:val="00E64D1F"/>
    <w:rsid w:val="00EC086A"/>
    <w:rsid w:val="00ED40C6"/>
    <w:rsid w:val="00F100AA"/>
    <w:rsid w:val="00F33E7D"/>
    <w:rsid w:val="00F44AE3"/>
    <w:rsid w:val="00F57B45"/>
    <w:rsid w:val="00F86E15"/>
    <w:rsid w:val="00FB4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8029,#ff8837,#f8a45e"/>
    </o:shapedefaults>
    <o:shapelayout v:ext="edit">
      <o:idmap v:ext="edit" data="1"/>
    </o:shapelayout>
  </w:shapeDefaults>
  <w:decimalSymbol w:val="."/>
  <w:listSeparator w:val=","/>
  <w14:docId w14:val="6B9CAC8E"/>
  <w15:chartTrackingRefBased/>
  <w15:docId w15:val="{21FFCAF7-F217-468B-8C6C-E1B81454D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Arial"/>
        <w:color w:val="222222"/>
        <w:spacing w:val="20"/>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101"/>
    <w:pPr>
      <w:ind w:left="720"/>
      <w:contextualSpacing/>
    </w:pPr>
  </w:style>
  <w:style w:type="paragraph" w:styleId="FootnoteText">
    <w:name w:val="footnote text"/>
    <w:basedOn w:val="Normal"/>
    <w:link w:val="FootnoteTextChar"/>
    <w:uiPriority w:val="99"/>
    <w:semiHidden/>
    <w:unhideWhenUsed/>
    <w:rsid w:val="007919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999"/>
    <w:rPr>
      <w:sz w:val="20"/>
      <w:szCs w:val="20"/>
    </w:rPr>
  </w:style>
  <w:style w:type="character" w:styleId="FootnoteReference">
    <w:name w:val="footnote reference"/>
    <w:basedOn w:val="DefaultParagraphFont"/>
    <w:uiPriority w:val="99"/>
    <w:semiHidden/>
    <w:unhideWhenUsed/>
    <w:rsid w:val="00791999"/>
    <w:rPr>
      <w:vertAlign w:val="superscript"/>
    </w:rPr>
  </w:style>
  <w:style w:type="character" w:styleId="Hyperlink">
    <w:name w:val="Hyperlink"/>
    <w:basedOn w:val="DefaultParagraphFont"/>
    <w:uiPriority w:val="99"/>
    <w:unhideWhenUsed/>
    <w:rsid w:val="001E3E1D"/>
    <w:rPr>
      <w:color w:val="0563C1" w:themeColor="hyperlink"/>
      <w:u w:val="single"/>
    </w:rPr>
  </w:style>
  <w:style w:type="character" w:styleId="UnresolvedMention">
    <w:name w:val="Unresolved Mention"/>
    <w:basedOn w:val="DefaultParagraphFont"/>
    <w:uiPriority w:val="99"/>
    <w:semiHidden/>
    <w:unhideWhenUsed/>
    <w:rsid w:val="001E3E1D"/>
    <w:rPr>
      <w:color w:val="605E5C"/>
      <w:shd w:val="clear" w:color="auto" w:fill="E1DFDD"/>
    </w:rPr>
  </w:style>
  <w:style w:type="paragraph" w:styleId="Caption">
    <w:name w:val="caption"/>
    <w:basedOn w:val="Normal"/>
    <w:next w:val="Normal"/>
    <w:uiPriority w:val="35"/>
    <w:unhideWhenUsed/>
    <w:qFormat/>
    <w:rsid w:val="00B001D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CF1BB9"/>
    <w:rPr>
      <w:sz w:val="16"/>
      <w:szCs w:val="16"/>
    </w:rPr>
  </w:style>
  <w:style w:type="paragraph" w:styleId="CommentText">
    <w:name w:val="annotation text"/>
    <w:basedOn w:val="Normal"/>
    <w:link w:val="CommentTextChar"/>
    <w:uiPriority w:val="99"/>
    <w:semiHidden/>
    <w:unhideWhenUsed/>
    <w:rsid w:val="00CF1BB9"/>
    <w:pPr>
      <w:spacing w:line="240" w:lineRule="auto"/>
    </w:pPr>
    <w:rPr>
      <w:sz w:val="20"/>
      <w:szCs w:val="20"/>
    </w:rPr>
  </w:style>
  <w:style w:type="character" w:customStyle="1" w:styleId="CommentTextChar">
    <w:name w:val="Comment Text Char"/>
    <w:basedOn w:val="DefaultParagraphFont"/>
    <w:link w:val="CommentText"/>
    <w:uiPriority w:val="99"/>
    <w:semiHidden/>
    <w:rsid w:val="00CF1BB9"/>
    <w:rPr>
      <w:sz w:val="20"/>
      <w:szCs w:val="20"/>
    </w:rPr>
  </w:style>
  <w:style w:type="paragraph" w:styleId="CommentSubject">
    <w:name w:val="annotation subject"/>
    <w:basedOn w:val="CommentText"/>
    <w:next w:val="CommentText"/>
    <w:link w:val="CommentSubjectChar"/>
    <w:uiPriority w:val="99"/>
    <w:semiHidden/>
    <w:unhideWhenUsed/>
    <w:rsid w:val="00CF1BB9"/>
    <w:rPr>
      <w:b/>
      <w:bCs/>
    </w:rPr>
  </w:style>
  <w:style w:type="character" w:customStyle="1" w:styleId="CommentSubjectChar">
    <w:name w:val="Comment Subject Char"/>
    <w:basedOn w:val="CommentTextChar"/>
    <w:link w:val="CommentSubject"/>
    <w:uiPriority w:val="99"/>
    <w:semiHidden/>
    <w:rsid w:val="00CF1BB9"/>
    <w:rPr>
      <w:b/>
      <w:bCs/>
      <w:sz w:val="20"/>
      <w:szCs w:val="20"/>
    </w:rPr>
  </w:style>
  <w:style w:type="paragraph" w:styleId="BalloonText">
    <w:name w:val="Balloon Text"/>
    <w:basedOn w:val="Normal"/>
    <w:link w:val="BalloonTextChar"/>
    <w:uiPriority w:val="99"/>
    <w:semiHidden/>
    <w:unhideWhenUsed/>
    <w:rsid w:val="00CF1B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BB9"/>
    <w:rPr>
      <w:rFonts w:ascii="Segoe UI" w:hAnsi="Segoe UI" w:cs="Segoe UI"/>
      <w:sz w:val="18"/>
      <w:szCs w:val="18"/>
    </w:rPr>
  </w:style>
  <w:style w:type="character" w:customStyle="1" w:styleId="lrdctph">
    <w:name w:val="lr_dct_ph"/>
    <w:basedOn w:val="DefaultParagraphFont"/>
    <w:rsid w:val="001F341E"/>
  </w:style>
  <w:style w:type="character" w:customStyle="1" w:styleId="sdzsvb">
    <w:name w:val="sdzsvb"/>
    <w:basedOn w:val="DefaultParagraphFont"/>
    <w:rsid w:val="001F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604607">
      <w:bodyDiv w:val="1"/>
      <w:marLeft w:val="0"/>
      <w:marRight w:val="0"/>
      <w:marTop w:val="0"/>
      <w:marBottom w:val="0"/>
      <w:divBdr>
        <w:top w:val="none" w:sz="0" w:space="0" w:color="auto"/>
        <w:left w:val="none" w:sz="0" w:space="0" w:color="auto"/>
        <w:bottom w:val="none" w:sz="0" w:space="0" w:color="auto"/>
        <w:right w:val="none" w:sz="0" w:space="0" w:color="auto"/>
      </w:divBdr>
      <w:divsChild>
        <w:div w:id="83959243">
          <w:marLeft w:val="0"/>
          <w:marRight w:val="0"/>
          <w:marTop w:val="0"/>
          <w:marBottom w:val="0"/>
          <w:divBdr>
            <w:top w:val="none" w:sz="0" w:space="0" w:color="auto"/>
            <w:left w:val="none" w:sz="0" w:space="0" w:color="auto"/>
            <w:bottom w:val="none" w:sz="0" w:space="0" w:color="auto"/>
            <w:right w:val="none" w:sz="0" w:space="0" w:color="auto"/>
          </w:divBdr>
          <w:divsChild>
            <w:div w:id="1080955015">
              <w:marLeft w:val="0"/>
              <w:marRight w:val="0"/>
              <w:marTop w:val="0"/>
              <w:marBottom w:val="0"/>
              <w:divBdr>
                <w:top w:val="none" w:sz="0" w:space="0" w:color="auto"/>
                <w:left w:val="none" w:sz="0" w:space="0" w:color="auto"/>
                <w:bottom w:val="none" w:sz="0" w:space="0" w:color="auto"/>
                <w:right w:val="none" w:sz="0" w:space="0" w:color="auto"/>
              </w:divBdr>
              <w:divsChild>
                <w:div w:id="540553031">
                  <w:marLeft w:val="0"/>
                  <w:marRight w:val="0"/>
                  <w:marTop w:val="0"/>
                  <w:marBottom w:val="0"/>
                  <w:divBdr>
                    <w:top w:val="none" w:sz="0" w:space="0" w:color="auto"/>
                    <w:left w:val="none" w:sz="0" w:space="0" w:color="auto"/>
                    <w:bottom w:val="none" w:sz="0" w:space="0" w:color="auto"/>
                    <w:right w:val="none" w:sz="0" w:space="0" w:color="auto"/>
                  </w:divBdr>
                  <w:divsChild>
                    <w:div w:id="7092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725200">
          <w:marLeft w:val="-375"/>
          <w:marRight w:val="0"/>
          <w:marTop w:val="0"/>
          <w:marBottom w:val="0"/>
          <w:divBdr>
            <w:top w:val="none" w:sz="0" w:space="0" w:color="auto"/>
            <w:left w:val="none" w:sz="0" w:space="0" w:color="auto"/>
            <w:bottom w:val="none" w:sz="0" w:space="0" w:color="auto"/>
            <w:right w:val="none" w:sz="0" w:space="0" w:color="auto"/>
          </w:divBdr>
          <w:divsChild>
            <w:div w:id="878512331">
              <w:marLeft w:val="375"/>
              <w:marRight w:val="0"/>
              <w:marTop w:val="0"/>
              <w:marBottom w:val="0"/>
              <w:divBdr>
                <w:top w:val="none" w:sz="0" w:space="0" w:color="auto"/>
                <w:left w:val="none" w:sz="0" w:space="0" w:color="auto"/>
                <w:bottom w:val="none" w:sz="0" w:space="0" w:color="auto"/>
                <w:right w:val="none" w:sz="0" w:space="0" w:color="auto"/>
              </w:divBdr>
              <w:divsChild>
                <w:div w:id="180873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655229">
      <w:bodyDiv w:val="1"/>
      <w:marLeft w:val="0"/>
      <w:marRight w:val="0"/>
      <w:marTop w:val="0"/>
      <w:marBottom w:val="0"/>
      <w:divBdr>
        <w:top w:val="none" w:sz="0" w:space="0" w:color="auto"/>
        <w:left w:val="none" w:sz="0" w:space="0" w:color="auto"/>
        <w:bottom w:val="none" w:sz="0" w:space="0" w:color="auto"/>
        <w:right w:val="none" w:sz="0" w:space="0" w:color="auto"/>
      </w:divBdr>
      <w:divsChild>
        <w:div w:id="1939412667">
          <w:marLeft w:val="0"/>
          <w:marRight w:val="0"/>
          <w:marTop w:val="0"/>
          <w:marBottom w:val="0"/>
          <w:divBdr>
            <w:top w:val="none" w:sz="0" w:space="0" w:color="auto"/>
            <w:left w:val="none" w:sz="0" w:space="0" w:color="auto"/>
            <w:bottom w:val="none" w:sz="0" w:space="0" w:color="auto"/>
            <w:right w:val="none" w:sz="0" w:space="0" w:color="auto"/>
          </w:divBdr>
          <w:divsChild>
            <w:div w:id="483552226">
              <w:marLeft w:val="0"/>
              <w:marRight w:val="0"/>
              <w:marTop w:val="0"/>
              <w:marBottom w:val="0"/>
              <w:divBdr>
                <w:top w:val="none" w:sz="0" w:space="0" w:color="auto"/>
                <w:left w:val="none" w:sz="0" w:space="0" w:color="auto"/>
                <w:bottom w:val="none" w:sz="0" w:space="0" w:color="auto"/>
                <w:right w:val="none" w:sz="0" w:space="0" w:color="auto"/>
              </w:divBdr>
            </w:div>
          </w:divsChild>
        </w:div>
        <w:div w:id="2827762">
          <w:marLeft w:val="0"/>
          <w:marRight w:val="0"/>
          <w:marTop w:val="0"/>
          <w:marBottom w:val="0"/>
          <w:divBdr>
            <w:top w:val="none" w:sz="0" w:space="0" w:color="auto"/>
            <w:left w:val="none" w:sz="0" w:space="0" w:color="auto"/>
            <w:bottom w:val="none" w:sz="0" w:space="0" w:color="auto"/>
            <w:right w:val="none" w:sz="0" w:space="0" w:color="auto"/>
          </w:divBdr>
        </w:div>
        <w:div w:id="918952431">
          <w:marLeft w:val="0"/>
          <w:marRight w:val="0"/>
          <w:marTop w:val="0"/>
          <w:marBottom w:val="0"/>
          <w:divBdr>
            <w:top w:val="none" w:sz="0" w:space="0" w:color="auto"/>
            <w:left w:val="none" w:sz="0" w:space="0" w:color="auto"/>
            <w:bottom w:val="none" w:sz="0" w:space="0" w:color="auto"/>
            <w:right w:val="none" w:sz="0" w:space="0" w:color="auto"/>
          </w:divBdr>
          <w:divsChild>
            <w:div w:id="137655572">
              <w:marLeft w:val="0"/>
              <w:marRight w:val="0"/>
              <w:marTop w:val="0"/>
              <w:marBottom w:val="0"/>
              <w:divBdr>
                <w:top w:val="none" w:sz="0" w:space="0" w:color="auto"/>
                <w:left w:val="none" w:sz="0" w:space="0" w:color="auto"/>
                <w:bottom w:val="none" w:sz="0" w:space="0" w:color="auto"/>
                <w:right w:val="none" w:sz="0" w:space="0" w:color="auto"/>
              </w:divBdr>
              <w:divsChild>
                <w:div w:id="891841334">
                  <w:marLeft w:val="0"/>
                  <w:marRight w:val="0"/>
                  <w:marTop w:val="0"/>
                  <w:marBottom w:val="0"/>
                  <w:divBdr>
                    <w:top w:val="none" w:sz="0" w:space="0" w:color="auto"/>
                    <w:left w:val="none" w:sz="0" w:space="0" w:color="auto"/>
                    <w:bottom w:val="none" w:sz="0" w:space="0" w:color="auto"/>
                    <w:right w:val="none" w:sz="0" w:space="0" w:color="auto"/>
                  </w:divBdr>
                  <w:divsChild>
                    <w:div w:id="1246843502">
                      <w:marLeft w:val="0"/>
                      <w:marRight w:val="0"/>
                      <w:marTop w:val="0"/>
                      <w:marBottom w:val="0"/>
                      <w:divBdr>
                        <w:top w:val="none" w:sz="0" w:space="0" w:color="auto"/>
                        <w:left w:val="none" w:sz="0" w:space="0" w:color="auto"/>
                        <w:bottom w:val="none" w:sz="0" w:space="0" w:color="auto"/>
                        <w:right w:val="none" w:sz="0" w:space="0" w:color="auto"/>
                      </w:divBdr>
                    </w:div>
                    <w:div w:id="1602371760">
                      <w:marLeft w:val="0"/>
                      <w:marRight w:val="0"/>
                      <w:marTop w:val="0"/>
                      <w:marBottom w:val="0"/>
                      <w:divBdr>
                        <w:top w:val="none" w:sz="0" w:space="0" w:color="auto"/>
                        <w:left w:val="none" w:sz="0" w:space="0" w:color="auto"/>
                        <w:bottom w:val="none" w:sz="0" w:space="0" w:color="auto"/>
                        <w:right w:val="none" w:sz="0" w:space="0" w:color="auto"/>
                      </w:divBdr>
                    </w:div>
                  </w:divsChild>
                </w:div>
                <w:div w:id="1523398403">
                  <w:marLeft w:val="0"/>
                  <w:marRight w:val="0"/>
                  <w:marTop w:val="0"/>
                  <w:marBottom w:val="0"/>
                  <w:divBdr>
                    <w:top w:val="none" w:sz="0" w:space="0" w:color="auto"/>
                    <w:left w:val="none" w:sz="0" w:space="0" w:color="auto"/>
                    <w:bottom w:val="none" w:sz="0" w:space="0" w:color="auto"/>
                    <w:right w:val="none" w:sz="0" w:space="0" w:color="auto"/>
                  </w:divBdr>
                  <w:divsChild>
                    <w:div w:id="213349340">
                      <w:marLeft w:val="0"/>
                      <w:marRight w:val="0"/>
                      <w:marTop w:val="0"/>
                      <w:marBottom w:val="0"/>
                      <w:divBdr>
                        <w:top w:val="none" w:sz="0" w:space="0" w:color="auto"/>
                        <w:left w:val="none" w:sz="0" w:space="0" w:color="auto"/>
                        <w:bottom w:val="none" w:sz="0" w:space="0" w:color="auto"/>
                        <w:right w:val="none" w:sz="0" w:space="0" w:color="auto"/>
                      </w:divBdr>
                      <w:divsChild>
                        <w:div w:id="261686399">
                          <w:marLeft w:val="300"/>
                          <w:marRight w:val="0"/>
                          <w:marTop w:val="0"/>
                          <w:marBottom w:val="0"/>
                          <w:divBdr>
                            <w:top w:val="none" w:sz="0" w:space="0" w:color="auto"/>
                            <w:left w:val="none" w:sz="0" w:space="0" w:color="auto"/>
                            <w:bottom w:val="none" w:sz="0" w:space="0" w:color="auto"/>
                            <w:right w:val="none" w:sz="0" w:space="0" w:color="auto"/>
                          </w:divBdr>
                          <w:divsChild>
                            <w:div w:id="2032997014">
                              <w:marLeft w:val="-300"/>
                              <w:marRight w:val="0"/>
                              <w:marTop w:val="0"/>
                              <w:marBottom w:val="0"/>
                              <w:divBdr>
                                <w:top w:val="none" w:sz="0" w:space="0" w:color="auto"/>
                                <w:left w:val="none" w:sz="0" w:space="0" w:color="auto"/>
                                <w:bottom w:val="none" w:sz="0" w:space="0" w:color="auto"/>
                                <w:right w:val="none" w:sz="0" w:space="0" w:color="auto"/>
                              </w:divBdr>
                              <w:divsChild>
                                <w:div w:id="538973101">
                                  <w:marLeft w:val="0"/>
                                  <w:marRight w:val="0"/>
                                  <w:marTop w:val="0"/>
                                  <w:marBottom w:val="0"/>
                                  <w:divBdr>
                                    <w:top w:val="none" w:sz="0" w:space="0" w:color="auto"/>
                                    <w:left w:val="none" w:sz="0" w:space="0" w:color="auto"/>
                                    <w:bottom w:val="none" w:sz="0" w:space="0" w:color="auto"/>
                                    <w:right w:val="none" w:sz="0" w:space="0" w:color="auto"/>
                                  </w:divBdr>
                                </w:div>
                                <w:div w:id="134239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tmuseum.org/toah/hd/medu/hd_medu.htm" TargetMode="External"/><Relationship Id="rId18" Type="http://schemas.openxmlformats.org/officeDocument/2006/relationships/hyperlink" Target="https://www.metmuseum.org/toah/works-of-art/45.11.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ncient.eu/Medusa/" TargetMode="External"/><Relationship Id="rId17" Type="http://schemas.openxmlformats.org/officeDocument/2006/relationships/hyperlink" Target="https://www.metmuseum.org/toah/works-of-art/20.215/" TargetMode="External"/><Relationship Id="rId2" Type="http://schemas.openxmlformats.org/officeDocument/2006/relationships/numbering" Target="numbering.xml"/><Relationship Id="rId16" Type="http://schemas.openxmlformats.org/officeDocument/2006/relationships/hyperlink" Target="https://www.cambridge.org/core/journals/journal-of-hellenic-studies/article/maidens-fillies-and-the-death-of-medusa-on-a-seventhcentury-pithos/2AC79F5EBF5C3C0C45D40A215B62B099" TargetMode="External"/><Relationship Id="rId20" Type="http://schemas.openxmlformats.org/officeDocument/2006/relationships/hyperlink" Target="https://www.cambridge.org/core/journals/journal-of-hellenic-studies/article/maidens-fillies-and-the-death-of-medusa-on-a-seventhcentury-pithos/2AC79F5EBF5C3C0C45D40A215B62B0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jstor.org/stable/25068013" TargetMode="External"/><Relationship Id="rId10" Type="http://schemas.openxmlformats.org/officeDocument/2006/relationships/image" Target="media/image3.jpeg"/><Relationship Id="rId19" Type="http://schemas.openxmlformats.org/officeDocument/2006/relationships/hyperlink" Target="https://www.metmuseum.org/toah/works-of-art/31.11.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etmuseum.org/toah/works-of-art/20.21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C01E2-EFDC-4FE3-BD3F-C5F43C6DB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2438</Words>
  <Characters>13901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 (1801842)</dc:creator>
  <cp:keywords/>
  <dc:description/>
  <cp:lastModifiedBy>Rhiannon Watts-robinson (1801842)</cp:lastModifiedBy>
  <cp:revision>7</cp:revision>
  <dcterms:created xsi:type="dcterms:W3CDTF">2019-05-28T23:49:00Z</dcterms:created>
  <dcterms:modified xsi:type="dcterms:W3CDTF">2019-05-29T11:52:00Z</dcterms:modified>
</cp:coreProperties>
</file>