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125F3" w14:textId="77777777" w:rsidR="004529AC" w:rsidRDefault="004529AC">
      <w:pPr>
        <w:jc w:val="center"/>
        <w:rPr>
          <w:rFonts w:ascii="Times New Roman" w:eastAsia="Times New Roman" w:hAnsi="Times New Roman" w:cs="Times New Roman"/>
          <w:b/>
          <w:sz w:val="32"/>
          <w:szCs w:val="32"/>
        </w:rPr>
      </w:pPr>
    </w:p>
    <w:p w14:paraId="6CC98D07" w14:textId="77777777" w:rsidR="004529AC" w:rsidRDefault="004529AC">
      <w:pPr>
        <w:jc w:val="center"/>
        <w:rPr>
          <w:rFonts w:ascii="Times New Roman" w:eastAsia="Times New Roman" w:hAnsi="Times New Roman" w:cs="Times New Roman"/>
          <w:b/>
          <w:sz w:val="32"/>
          <w:szCs w:val="32"/>
        </w:rPr>
      </w:pPr>
    </w:p>
    <w:p w14:paraId="0B3436C4" w14:textId="77777777" w:rsidR="004529AC" w:rsidRDefault="004529AC">
      <w:pPr>
        <w:jc w:val="center"/>
        <w:rPr>
          <w:rFonts w:ascii="Times New Roman" w:eastAsia="Times New Roman" w:hAnsi="Times New Roman" w:cs="Times New Roman"/>
          <w:b/>
          <w:sz w:val="32"/>
          <w:szCs w:val="32"/>
        </w:rPr>
      </w:pPr>
    </w:p>
    <w:p w14:paraId="6D25A789" w14:textId="77777777" w:rsidR="004529AC" w:rsidRDefault="004529AC">
      <w:pPr>
        <w:jc w:val="center"/>
        <w:rPr>
          <w:rFonts w:ascii="Times New Roman" w:eastAsia="Times New Roman" w:hAnsi="Times New Roman" w:cs="Times New Roman"/>
          <w:b/>
          <w:sz w:val="32"/>
          <w:szCs w:val="32"/>
        </w:rPr>
      </w:pPr>
    </w:p>
    <w:p w14:paraId="589924A9" w14:textId="77777777" w:rsidR="004529AC" w:rsidRDefault="004529AC">
      <w:pPr>
        <w:jc w:val="center"/>
        <w:rPr>
          <w:rFonts w:ascii="Times New Roman" w:eastAsia="Times New Roman" w:hAnsi="Times New Roman" w:cs="Times New Roman"/>
          <w:b/>
          <w:sz w:val="32"/>
          <w:szCs w:val="32"/>
        </w:rPr>
      </w:pPr>
    </w:p>
    <w:p w14:paraId="062044D5" w14:textId="77777777" w:rsidR="004529AC" w:rsidRDefault="004529AC">
      <w:pPr>
        <w:jc w:val="center"/>
        <w:rPr>
          <w:rFonts w:ascii="Times New Roman" w:eastAsia="Times New Roman" w:hAnsi="Times New Roman" w:cs="Times New Roman"/>
          <w:b/>
          <w:sz w:val="32"/>
          <w:szCs w:val="32"/>
        </w:rPr>
      </w:pPr>
    </w:p>
    <w:p w14:paraId="1EFD6643" w14:textId="77777777" w:rsidR="004529AC" w:rsidRDefault="004529AC">
      <w:pPr>
        <w:jc w:val="center"/>
        <w:rPr>
          <w:rFonts w:ascii="Times New Roman" w:eastAsia="Times New Roman" w:hAnsi="Times New Roman" w:cs="Times New Roman"/>
          <w:b/>
          <w:sz w:val="32"/>
          <w:szCs w:val="32"/>
        </w:rPr>
      </w:pPr>
    </w:p>
    <w:p w14:paraId="1847EBB3" w14:textId="109D314E" w:rsidR="00E83D2C" w:rsidRDefault="00034518" w:rsidP="002A1A0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roofErr w:type="gramStart"/>
      <w:r w:rsidR="00E83D2C">
        <w:rPr>
          <w:rFonts w:ascii="Times New Roman" w:eastAsia="Times New Roman" w:hAnsi="Times New Roman" w:cs="Times New Roman"/>
          <w:b/>
          <w:sz w:val="32"/>
          <w:szCs w:val="32"/>
        </w:rPr>
        <w:t>Module :</w:t>
      </w:r>
      <w:proofErr w:type="gramEnd"/>
      <w:r w:rsidR="00E83D2C">
        <w:rPr>
          <w:rFonts w:ascii="Times New Roman" w:eastAsia="Times New Roman" w:hAnsi="Times New Roman" w:cs="Times New Roman"/>
          <w:b/>
          <w:sz w:val="32"/>
          <w:szCs w:val="32"/>
        </w:rPr>
        <w:t xml:space="preserve">       </w:t>
      </w:r>
      <w:r w:rsidR="00AA507F">
        <w:rPr>
          <w:rFonts w:ascii="Times New Roman" w:eastAsia="Times New Roman" w:hAnsi="Times New Roman" w:cs="Times New Roman"/>
          <w:b/>
          <w:sz w:val="32"/>
          <w:szCs w:val="32"/>
        </w:rPr>
        <w:t>INTERNATIONAL FINANCIAL MANAGEMENT</w:t>
      </w:r>
    </w:p>
    <w:p w14:paraId="5AAADE3C" w14:textId="77777777" w:rsidR="009855B1" w:rsidRDefault="009855B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LCBB6002</w:t>
      </w:r>
    </w:p>
    <w:p w14:paraId="188D8CFC" w14:textId="77777777" w:rsidR="002172B2" w:rsidRDefault="00293EB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ISAIAH </w:t>
      </w:r>
      <w:r w:rsidR="002172B2">
        <w:rPr>
          <w:rFonts w:ascii="Times New Roman" w:eastAsia="Times New Roman" w:hAnsi="Times New Roman" w:cs="Times New Roman"/>
          <w:b/>
          <w:sz w:val="32"/>
          <w:szCs w:val="32"/>
        </w:rPr>
        <w:t xml:space="preserve">OINO </w:t>
      </w:r>
    </w:p>
    <w:p w14:paraId="35BFB854" w14:textId="77777777" w:rsidR="00AB0431" w:rsidRDefault="002172B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w:t>
      </w:r>
      <w:r w:rsidR="00AB0431">
        <w:rPr>
          <w:rFonts w:ascii="Times New Roman" w:eastAsia="Times New Roman" w:hAnsi="Times New Roman" w:cs="Times New Roman"/>
          <w:b/>
          <w:sz w:val="32"/>
          <w:szCs w:val="32"/>
        </w:rPr>
        <w:t xml:space="preserve">ment 1 </w:t>
      </w:r>
    </w:p>
    <w:p w14:paraId="1BA777A4" w14:textId="293B4046" w:rsidR="004529AC" w:rsidRDefault="00AB043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w:t>
      </w:r>
      <w:r w:rsidR="002A1A00">
        <w:rPr>
          <w:rFonts w:ascii="Times New Roman" w:eastAsia="Times New Roman" w:hAnsi="Times New Roman" w:cs="Times New Roman"/>
          <w:b/>
          <w:sz w:val="32"/>
          <w:szCs w:val="32"/>
        </w:rPr>
        <w:t xml:space="preserve">t </w:t>
      </w:r>
      <w:proofErr w:type="gramStart"/>
      <w:r w:rsidR="002A1A00">
        <w:rPr>
          <w:rFonts w:ascii="Times New Roman" w:eastAsia="Times New Roman" w:hAnsi="Times New Roman" w:cs="Times New Roman"/>
          <w:b/>
          <w:sz w:val="32"/>
          <w:szCs w:val="32"/>
        </w:rPr>
        <w:t>name :</w:t>
      </w:r>
      <w:proofErr w:type="gramEnd"/>
      <w:r w:rsidR="002A1A00">
        <w:rPr>
          <w:rFonts w:ascii="Times New Roman" w:eastAsia="Times New Roman" w:hAnsi="Times New Roman" w:cs="Times New Roman"/>
          <w:b/>
          <w:sz w:val="32"/>
          <w:szCs w:val="32"/>
        </w:rPr>
        <w:t xml:space="preserve"> Laura Madalina Ghitiu </w:t>
      </w:r>
      <w:r w:rsidR="00881BD2">
        <w:br w:type="page"/>
      </w:r>
    </w:p>
    <w:sdt>
      <w:sdtPr>
        <w:rPr>
          <w:rFonts w:ascii="Arial" w:eastAsia="Arial" w:hAnsi="Arial" w:cs="Arial"/>
          <w:color w:val="auto"/>
          <w:sz w:val="22"/>
          <w:szCs w:val="22"/>
          <w:lang w:val="en"/>
        </w:rPr>
        <w:id w:val="881825119"/>
        <w:docPartObj>
          <w:docPartGallery w:val="Table of Contents"/>
          <w:docPartUnique/>
        </w:docPartObj>
      </w:sdtPr>
      <w:sdtEndPr>
        <w:rPr>
          <w:rFonts w:ascii="Times New Roman" w:hAnsi="Times New Roman" w:cs="Times New Roman"/>
          <w:b/>
          <w:bCs/>
          <w:noProof/>
          <w:sz w:val="24"/>
          <w:szCs w:val="24"/>
        </w:rPr>
      </w:sdtEndPr>
      <w:sdtContent>
        <w:p w14:paraId="3B5C853F" w14:textId="7EB79F6E" w:rsidR="00DC1B0B" w:rsidRPr="00DC1B0B" w:rsidRDefault="00881BD2" w:rsidP="00DC1B0B">
          <w:pPr>
            <w:pStyle w:val="TOCHeading"/>
            <w:spacing w:line="360" w:lineRule="auto"/>
            <w:jc w:val="center"/>
            <w:rPr>
              <w:rFonts w:ascii="Times New Roman" w:hAnsi="Times New Roman" w:cs="Times New Roman"/>
              <w:b/>
              <w:bCs/>
              <w:color w:val="000000" w:themeColor="text1"/>
            </w:rPr>
          </w:pPr>
          <w:r w:rsidRPr="00DC1B0B">
            <w:rPr>
              <w:rFonts w:ascii="Times New Roman" w:hAnsi="Times New Roman" w:cs="Times New Roman"/>
              <w:b/>
              <w:bCs/>
              <w:color w:val="000000" w:themeColor="text1"/>
            </w:rPr>
            <w:t>Table of Contents</w:t>
          </w:r>
        </w:p>
        <w:p w14:paraId="2F18CE47" w14:textId="42BB1A04" w:rsidR="00DC1B0B" w:rsidRPr="00DC1B0B" w:rsidRDefault="00881BD2" w:rsidP="00DC1B0B">
          <w:pPr>
            <w:pStyle w:val="TOC1"/>
            <w:tabs>
              <w:tab w:val="right" w:leader="dot" w:pos="9350"/>
            </w:tabs>
            <w:spacing w:line="360" w:lineRule="auto"/>
            <w:jc w:val="both"/>
            <w:rPr>
              <w:rFonts w:ascii="Times New Roman" w:hAnsi="Times New Roman" w:cs="Times New Roman"/>
              <w:noProof/>
              <w:sz w:val="24"/>
              <w:szCs w:val="24"/>
            </w:rPr>
          </w:pPr>
          <w:r w:rsidRPr="00DC1B0B">
            <w:rPr>
              <w:rFonts w:ascii="Times New Roman" w:hAnsi="Times New Roman" w:cs="Times New Roman"/>
              <w:sz w:val="24"/>
              <w:szCs w:val="24"/>
            </w:rPr>
            <w:fldChar w:fldCharType="begin"/>
          </w:r>
          <w:r w:rsidRPr="00DC1B0B">
            <w:rPr>
              <w:rFonts w:ascii="Times New Roman" w:hAnsi="Times New Roman" w:cs="Times New Roman"/>
              <w:sz w:val="24"/>
              <w:szCs w:val="24"/>
            </w:rPr>
            <w:instrText xml:space="preserve"> TOC \o "1-3" \h \z \u </w:instrText>
          </w:r>
          <w:r w:rsidRPr="00DC1B0B">
            <w:rPr>
              <w:rFonts w:ascii="Times New Roman" w:hAnsi="Times New Roman" w:cs="Times New Roman"/>
              <w:sz w:val="24"/>
              <w:szCs w:val="24"/>
            </w:rPr>
            <w:fldChar w:fldCharType="separate"/>
          </w:r>
          <w:hyperlink w:anchor="_Toc109910314" w:history="1">
            <w:r w:rsidRPr="00DC1B0B">
              <w:rPr>
                <w:rStyle w:val="Hyperlink"/>
                <w:rFonts w:ascii="Times New Roman" w:hAnsi="Times New Roman" w:cs="Times New Roman"/>
                <w:noProof/>
                <w:sz w:val="24"/>
                <w:szCs w:val="24"/>
              </w:rPr>
              <w:t>Introduction</w:t>
            </w:r>
            <w:r w:rsidRPr="00DC1B0B">
              <w:rPr>
                <w:rFonts w:ascii="Times New Roman" w:hAnsi="Times New Roman" w:cs="Times New Roman"/>
                <w:noProof/>
                <w:webHidden/>
                <w:sz w:val="24"/>
                <w:szCs w:val="24"/>
              </w:rPr>
              <w:tab/>
            </w:r>
            <w:r w:rsidRPr="00DC1B0B">
              <w:rPr>
                <w:rFonts w:ascii="Times New Roman" w:hAnsi="Times New Roman" w:cs="Times New Roman"/>
                <w:noProof/>
                <w:webHidden/>
                <w:sz w:val="24"/>
                <w:szCs w:val="24"/>
              </w:rPr>
              <w:fldChar w:fldCharType="begin"/>
            </w:r>
            <w:r w:rsidRPr="00DC1B0B">
              <w:rPr>
                <w:rFonts w:ascii="Times New Roman" w:hAnsi="Times New Roman" w:cs="Times New Roman"/>
                <w:noProof/>
                <w:webHidden/>
                <w:sz w:val="24"/>
                <w:szCs w:val="24"/>
              </w:rPr>
              <w:instrText xml:space="preserve"> PAGEREF _Toc109910314 \h </w:instrText>
            </w:r>
            <w:r w:rsidRPr="00DC1B0B">
              <w:rPr>
                <w:rFonts w:ascii="Times New Roman" w:hAnsi="Times New Roman" w:cs="Times New Roman"/>
                <w:noProof/>
                <w:webHidden/>
                <w:sz w:val="24"/>
                <w:szCs w:val="24"/>
              </w:rPr>
            </w:r>
            <w:r w:rsidRPr="00DC1B0B">
              <w:rPr>
                <w:rFonts w:ascii="Times New Roman" w:hAnsi="Times New Roman" w:cs="Times New Roman"/>
                <w:noProof/>
                <w:webHidden/>
                <w:sz w:val="24"/>
                <w:szCs w:val="24"/>
              </w:rPr>
              <w:fldChar w:fldCharType="separate"/>
            </w:r>
            <w:r w:rsidRPr="00DC1B0B">
              <w:rPr>
                <w:rFonts w:ascii="Times New Roman" w:hAnsi="Times New Roman" w:cs="Times New Roman"/>
                <w:noProof/>
                <w:webHidden/>
                <w:sz w:val="24"/>
                <w:szCs w:val="24"/>
              </w:rPr>
              <w:t>3</w:t>
            </w:r>
            <w:r w:rsidRPr="00DC1B0B">
              <w:rPr>
                <w:rFonts w:ascii="Times New Roman" w:hAnsi="Times New Roman" w:cs="Times New Roman"/>
                <w:noProof/>
                <w:webHidden/>
                <w:sz w:val="24"/>
                <w:szCs w:val="24"/>
              </w:rPr>
              <w:fldChar w:fldCharType="end"/>
            </w:r>
          </w:hyperlink>
        </w:p>
        <w:p w14:paraId="65AE4804" w14:textId="38F39086" w:rsidR="00DC1B0B" w:rsidRPr="00DC1B0B" w:rsidRDefault="00766A59" w:rsidP="00DC1B0B">
          <w:pPr>
            <w:pStyle w:val="TOC1"/>
            <w:tabs>
              <w:tab w:val="right" w:leader="dot" w:pos="9350"/>
            </w:tabs>
            <w:spacing w:line="360" w:lineRule="auto"/>
            <w:jc w:val="both"/>
            <w:rPr>
              <w:rFonts w:ascii="Times New Roman" w:hAnsi="Times New Roman" w:cs="Times New Roman"/>
              <w:noProof/>
              <w:sz w:val="24"/>
              <w:szCs w:val="24"/>
            </w:rPr>
          </w:pPr>
          <w:hyperlink w:anchor="_Toc109910315" w:history="1">
            <w:r w:rsidR="00881BD2" w:rsidRPr="00DC1B0B">
              <w:rPr>
                <w:rStyle w:val="Hyperlink"/>
                <w:rFonts w:ascii="Times New Roman" w:hAnsi="Times New Roman" w:cs="Times New Roman"/>
                <w:noProof/>
                <w:sz w:val="24"/>
                <w:szCs w:val="24"/>
              </w:rPr>
              <w:t>Importance of IFM</w:t>
            </w:r>
            <w:r w:rsidR="00881BD2" w:rsidRPr="00DC1B0B">
              <w:rPr>
                <w:rFonts w:ascii="Times New Roman" w:hAnsi="Times New Roman" w:cs="Times New Roman"/>
                <w:noProof/>
                <w:webHidden/>
                <w:sz w:val="24"/>
                <w:szCs w:val="24"/>
              </w:rPr>
              <w:tab/>
            </w:r>
            <w:r w:rsidR="00881BD2" w:rsidRPr="00DC1B0B">
              <w:rPr>
                <w:rFonts w:ascii="Times New Roman" w:hAnsi="Times New Roman" w:cs="Times New Roman"/>
                <w:noProof/>
                <w:webHidden/>
                <w:sz w:val="24"/>
                <w:szCs w:val="24"/>
              </w:rPr>
              <w:fldChar w:fldCharType="begin"/>
            </w:r>
            <w:r w:rsidR="00881BD2" w:rsidRPr="00DC1B0B">
              <w:rPr>
                <w:rFonts w:ascii="Times New Roman" w:hAnsi="Times New Roman" w:cs="Times New Roman"/>
                <w:noProof/>
                <w:webHidden/>
                <w:sz w:val="24"/>
                <w:szCs w:val="24"/>
              </w:rPr>
              <w:instrText xml:space="preserve"> PAGEREF _Toc109910315 \h </w:instrText>
            </w:r>
            <w:r w:rsidR="00881BD2" w:rsidRPr="00DC1B0B">
              <w:rPr>
                <w:rFonts w:ascii="Times New Roman" w:hAnsi="Times New Roman" w:cs="Times New Roman"/>
                <w:noProof/>
                <w:webHidden/>
                <w:sz w:val="24"/>
                <w:szCs w:val="24"/>
              </w:rPr>
            </w:r>
            <w:r w:rsidR="00881BD2" w:rsidRPr="00DC1B0B">
              <w:rPr>
                <w:rFonts w:ascii="Times New Roman" w:hAnsi="Times New Roman" w:cs="Times New Roman"/>
                <w:noProof/>
                <w:webHidden/>
                <w:sz w:val="24"/>
                <w:szCs w:val="24"/>
              </w:rPr>
              <w:fldChar w:fldCharType="separate"/>
            </w:r>
            <w:r w:rsidR="00881BD2" w:rsidRPr="00DC1B0B">
              <w:rPr>
                <w:rFonts w:ascii="Times New Roman" w:hAnsi="Times New Roman" w:cs="Times New Roman"/>
                <w:noProof/>
                <w:webHidden/>
                <w:sz w:val="24"/>
                <w:szCs w:val="24"/>
              </w:rPr>
              <w:t>3</w:t>
            </w:r>
            <w:r w:rsidR="00881BD2" w:rsidRPr="00DC1B0B">
              <w:rPr>
                <w:rFonts w:ascii="Times New Roman" w:hAnsi="Times New Roman" w:cs="Times New Roman"/>
                <w:noProof/>
                <w:webHidden/>
                <w:sz w:val="24"/>
                <w:szCs w:val="24"/>
              </w:rPr>
              <w:fldChar w:fldCharType="end"/>
            </w:r>
          </w:hyperlink>
        </w:p>
        <w:p w14:paraId="6A0DB391" w14:textId="16AE21D3" w:rsidR="00DC1B0B" w:rsidRPr="00DC1B0B" w:rsidRDefault="00766A59" w:rsidP="00DC1B0B">
          <w:pPr>
            <w:pStyle w:val="TOC1"/>
            <w:tabs>
              <w:tab w:val="right" w:leader="dot" w:pos="9350"/>
            </w:tabs>
            <w:spacing w:line="360" w:lineRule="auto"/>
            <w:jc w:val="both"/>
            <w:rPr>
              <w:rFonts w:ascii="Times New Roman" w:hAnsi="Times New Roman" w:cs="Times New Roman"/>
              <w:noProof/>
              <w:sz w:val="24"/>
              <w:szCs w:val="24"/>
            </w:rPr>
          </w:pPr>
          <w:hyperlink w:anchor="_Toc109910316" w:history="1">
            <w:r w:rsidR="00881BD2" w:rsidRPr="00DC1B0B">
              <w:rPr>
                <w:rStyle w:val="Hyperlink"/>
                <w:rFonts w:ascii="Times New Roman" w:hAnsi="Times New Roman" w:cs="Times New Roman"/>
                <w:noProof/>
                <w:sz w:val="24"/>
                <w:szCs w:val="24"/>
              </w:rPr>
              <w:t>Dividend distribution policy of HSBC</w:t>
            </w:r>
            <w:r w:rsidR="00881BD2" w:rsidRPr="00DC1B0B">
              <w:rPr>
                <w:rFonts w:ascii="Times New Roman" w:hAnsi="Times New Roman" w:cs="Times New Roman"/>
                <w:noProof/>
                <w:webHidden/>
                <w:sz w:val="24"/>
                <w:szCs w:val="24"/>
              </w:rPr>
              <w:tab/>
            </w:r>
            <w:r w:rsidR="00881BD2" w:rsidRPr="00DC1B0B">
              <w:rPr>
                <w:rFonts w:ascii="Times New Roman" w:hAnsi="Times New Roman" w:cs="Times New Roman"/>
                <w:noProof/>
                <w:webHidden/>
                <w:sz w:val="24"/>
                <w:szCs w:val="24"/>
              </w:rPr>
              <w:fldChar w:fldCharType="begin"/>
            </w:r>
            <w:r w:rsidR="00881BD2" w:rsidRPr="00DC1B0B">
              <w:rPr>
                <w:rFonts w:ascii="Times New Roman" w:hAnsi="Times New Roman" w:cs="Times New Roman"/>
                <w:noProof/>
                <w:webHidden/>
                <w:sz w:val="24"/>
                <w:szCs w:val="24"/>
              </w:rPr>
              <w:instrText xml:space="preserve"> PAGEREF _Toc109910316 \h </w:instrText>
            </w:r>
            <w:r w:rsidR="00881BD2" w:rsidRPr="00DC1B0B">
              <w:rPr>
                <w:rFonts w:ascii="Times New Roman" w:hAnsi="Times New Roman" w:cs="Times New Roman"/>
                <w:noProof/>
                <w:webHidden/>
                <w:sz w:val="24"/>
                <w:szCs w:val="24"/>
              </w:rPr>
            </w:r>
            <w:r w:rsidR="00881BD2" w:rsidRPr="00DC1B0B">
              <w:rPr>
                <w:rFonts w:ascii="Times New Roman" w:hAnsi="Times New Roman" w:cs="Times New Roman"/>
                <w:noProof/>
                <w:webHidden/>
                <w:sz w:val="24"/>
                <w:szCs w:val="24"/>
              </w:rPr>
              <w:fldChar w:fldCharType="separate"/>
            </w:r>
            <w:r w:rsidR="00881BD2" w:rsidRPr="00DC1B0B">
              <w:rPr>
                <w:rFonts w:ascii="Times New Roman" w:hAnsi="Times New Roman" w:cs="Times New Roman"/>
                <w:noProof/>
                <w:webHidden/>
                <w:sz w:val="24"/>
                <w:szCs w:val="24"/>
              </w:rPr>
              <w:t>4</w:t>
            </w:r>
            <w:r w:rsidR="00881BD2" w:rsidRPr="00DC1B0B">
              <w:rPr>
                <w:rFonts w:ascii="Times New Roman" w:hAnsi="Times New Roman" w:cs="Times New Roman"/>
                <w:noProof/>
                <w:webHidden/>
                <w:sz w:val="24"/>
                <w:szCs w:val="24"/>
              </w:rPr>
              <w:fldChar w:fldCharType="end"/>
            </w:r>
          </w:hyperlink>
        </w:p>
        <w:p w14:paraId="2AAEB405" w14:textId="56CFEB15" w:rsidR="00DC1B0B" w:rsidRPr="00DC1B0B" w:rsidRDefault="00766A59" w:rsidP="00DC1B0B">
          <w:pPr>
            <w:pStyle w:val="TOC1"/>
            <w:tabs>
              <w:tab w:val="right" w:leader="dot" w:pos="9350"/>
            </w:tabs>
            <w:spacing w:line="360" w:lineRule="auto"/>
            <w:jc w:val="both"/>
            <w:rPr>
              <w:rFonts w:ascii="Times New Roman" w:hAnsi="Times New Roman" w:cs="Times New Roman"/>
              <w:noProof/>
              <w:sz w:val="24"/>
              <w:szCs w:val="24"/>
            </w:rPr>
          </w:pPr>
          <w:hyperlink w:anchor="_Toc109910317" w:history="1">
            <w:r w:rsidR="00881BD2" w:rsidRPr="00DC1B0B">
              <w:rPr>
                <w:rStyle w:val="Hyperlink"/>
                <w:rFonts w:ascii="Times New Roman" w:hAnsi="Times New Roman" w:cs="Times New Roman"/>
                <w:noProof/>
                <w:sz w:val="24"/>
                <w:szCs w:val="24"/>
                <w:highlight w:val="white"/>
              </w:rPr>
              <w:t>The efficient market hypothesis of HSBC</w:t>
            </w:r>
            <w:r w:rsidR="00881BD2" w:rsidRPr="00DC1B0B">
              <w:rPr>
                <w:rFonts w:ascii="Times New Roman" w:hAnsi="Times New Roman" w:cs="Times New Roman"/>
                <w:noProof/>
                <w:webHidden/>
                <w:sz w:val="24"/>
                <w:szCs w:val="24"/>
              </w:rPr>
              <w:tab/>
            </w:r>
            <w:r w:rsidR="00881BD2" w:rsidRPr="00DC1B0B">
              <w:rPr>
                <w:rFonts w:ascii="Times New Roman" w:hAnsi="Times New Roman" w:cs="Times New Roman"/>
                <w:noProof/>
                <w:webHidden/>
                <w:sz w:val="24"/>
                <w:szCs w:val="24"/>
              </w:rPr>
              <w:fldChar w:fldCharType="begin"/>
            </w:r>
            <w:r w:rsidR="00881BD2" w:rsidRPr="00DC1B0B">
              <w:rPr>
                <w:rFonts w:ascii="Times New Roman" w:hAnsi="Times New Roman" w:cs="Times New Roman"/>
                <w:noProof/>
                <w:webHidden/>
                <w:sz w:val="24"/>
                <w:szCs w:val="24"/>
              </w:rPr>
              <w:instrText xml:space="preserve"> PAGEREF _Toc109910317 \h </w:instrText>
            </w:r>
            <w:r w:rsidR="00881BD2" w:rsidRPr="00DC1B0B">
              <w:rPr>
                <w:rFonts w:ascii="Times New Roman" w:hAnsi="Times New Roman" w:cs="Times New Roman"/>
                <w:noProof/>
                <w:webHidden/>
                <w:sz w:val="24"/>
                <w:szCs w:val="24"/>
              </w:rPr>
            </w:r>
            <w:r w:rsidR="00881BD2" w:rsidRPr="00DC1B0B">
              <w:rPr>
                <w:rFonts w:ascii="Times New Roman" w:hAnsi="Times New Roman" w:cs="Times New Roman"/>
                <w:noProof/>
                <w:webHidden/>
                <w:sz w:val="24"/>
                <w:szCs w:val="24"/>
              </w:rPr>
              <w:fldChar w:fldCharType="separate"/>
            </w:r>
            <w:r w:rsidR="00881BD2" w:rsidRPr="00DC1B0B">
              <w:rPr>
                <w:rFonts w:ascii="Times New Roman" w:hAnsi="Times New Roman" w:cs="Times New Roman"/>
                <w:noProof/>
                <w:webHidden/>
                <w:sz w:val="24"/>
                <w:szCs w:val="24"/>
              </w:rPr>
              <w:t>4</w:t>
            </w:r>
            <w:r w:rsidR="00881BD2" w:rsidRPr="00DC1B0B">
              <w:rPr>
                <w:rFonts w:ascii="Times New Roman" w:hAnsi="Times New Roman" w:cs="Times New Roman"/>
                <w:noProof/>
                <w:webHidden/>
                <w:sz w:val="24"/>
                <w:szCs w:val="24"/>
              </w:rPr>
              <w:fldChar w:fldCharType="end"/>
            </w:r>
          </w:hyperlink>
        </w:p>
        <w:p w14:paraId="0B3CDE57" w14:textId="323463B5" w:rsidR="00DC1B0B" w:rsidRPr="00DC1B0B" w:rsidRDefault="00766A59" w:rsidP="00DC1B0B">
          <w:pPr>
            <w:pStyle w:val="TOC1"/>
            <w:tabs>
              <w:tab w:val="right" w:leader="dot" w:pos="9350"/>
            </w:tabs>
            <w:spacing w:line="360" w:lineRule="auto"/>
            <w:jc w:val="both"/>
            <w:rPr>
              <w:rFonts w:ascii="Times New Roman" w:hAnsi="Times New Roman" w:cs="Times New Roman"/>
              <w:noProof/>
              <w:sz w:val="24"/>
              <w:szCs w:val="24"/>
            </w:rPr>
          </w:pPr>
          <w:hyperlink w:anchor="_Toc109910318" w:history="1">
            <w:r w:rsidR="00881BD2" w:rsidRPr="00DC1B0B">
              <w:rPr>
                <w:rStyle w:val="Hyperlink"/>
                <w:rFonts w:ascii="Times New Roman" w:hAnsi="Times New Roman" w:cs="Times New Roman"/>
                <w:noProof/>
                <w:sz w:val="24"/>
                <w:szCs w:val="24"/>
                <w:highlight w:val="white"/>
              </w:rPr>
              <w:t>HSBC’s methods of appraising projects</w:t>
            </w:r>
            <w:r w:rsidR="00881BD2" w:rsidRPr="00DC1B0B">
              <w:rPr>
                <w:rFonts w:ascii="Times New Roman" w:hAnsi="Times New Roman" w:cs="Times New Roman"/>
                <w:noProof/>
                <w:webHidden/>
                <w:sz w:val="24"/>
                <w:szCs w:val="24"/>
              </w:rPr>
              <w:tab/>
            </w:r>
            <w:r w:rsidR="00881BD2" w:rsidRPr="00DC1B0B">
              <w:rPr>
                <w:rFonts w:ascii="Times New Roman" w:hAnsi="Times New Roman" w:cs="Times New Roman"/>
                <w:noProof/>
                <w:webHidden/>
                <w:sz w:val="24"/>
                <w:szCs w:val="24"/>
              </w:rPr>
              <w:fldChar w:fldCharType="begin"/>
            </w:r>
            <w:r w:rsidR="00881BD2" w:rsidRPr="00DC1B0B">
              <w:rPr>
                <w:rFonts w:ascii="Times New Roman" w:hAnsi="Times New Roman" w:cs="Times New Roman"/>
                <w:noProof/>
                <w:webHidden/>
                <w:sz w:val="24"/>
                <w:szCs w:val="24"/>
              </w:rPr>
              <w:instrText xml:space="preserve"> PAGEREF _Toc109910318 \h </w:instrText>
            </w:r>
            <w:r w:rsidR="00881BD2" w:rsidRPr="00DC1B0B">
              <w:rPr>
                <w:rFonts w:ascii="Times New Roman" w:hAnsi="Times New Roman" w:cs="Times New Roman"/>
                <w:noProof/>
                <w:webHidden/>
                <w:sz w:val="24"/>
                <w:szCs w:val="24"/>
              </w:rPr>
            </w:r>
            <w:r w:rsidR="00881BD2" w:rsidRPr="00DC1B0B">
              <w:rPr>
                <w:rFonts w:ascii="Times New Roman" w:hAnsi="Times New Roman" w:cs="Times New Roman"/>
                <w:noProof/>
                <w:webHidden/>
                <w:sz w:val="24"/>
                <w:szCs w:val="24"/>
              </w:rPr>
              <w:fldChar w:fldCharType="separate"/>
            </w:r>
            <w:r w:rsidR="00881BD2" w:rsidRPr="00DC1B0B">
              <w:rPr>
                <w:rFonts w:ascii="Times New Roman" w:hAnsi="Times New Roman" w:cs="Times New Roman"/>
                <w:noProof/>
                <w:webHidden/>
                <w:sz w:val="24"/>
                <w:szCs w:val="24"/>
              </w:rPr>
              <w:t>6</w:t>
            </w:r>
            <w:r w:rsidR="00881BD2" w:rsidRPr="00DC1B0B">
              <w:rPr>
                <w:rFonts w:ascii="Times New Roman" w:hAnsi="Times New Roman" w:cs="Times New Roman"/>
                <w:noProof/>
                <w:webHidden/>
                <w:sz w:val="24"/>
                <w:szCs w:val="24"/>
              </w:rPr>
              <w:fldChar w:fldCharType="end"/>
            </w:r>
          </w:hyperlink>
        </w:p>
        <w:p w14:paraId="392A5DC3" w14:textId="034BEB05" w:rsidR="00DC1B0B" w:rsidRPr="00DC1B0B" w:rsidRDefault="00766A59" w:rsidP="00DC1B0B">
          <w:pPr>
            <w:pStyle w:val="TOC1"/>
            <w:tabs>
              <w:tab w:val="right" w:leader="dot" w:pos="9350"/>
            </w:tabs>
            <w:spacing w:line="360" w:lineRule="auto"/>
            <w:jc w:val="both"/>
            <w:rPr>
              <w:rFonts w:ascii="Times New Roman" w:hAnsi="Times New Roman" w:cs="Times New Roman"/>
              <w:noProof/>
              <w:sz w:val="24"/>
              <w:szCs w:val="24"/>
            </w:rPr>
          </w:pPr>
          <w:hyperlink w:anchor="_Toc109910319" w:history="1">
            <w:r w:rsidR="00881BD2" w:rsidRPr="00DC1B0B">
              <w:rPr>
                <w:rStyle w:val="Hyperlink"/>
                <w:rFonts w:ascii="Times New Roman" w:hAnsi="Times New Roman" w:cs="Times New Roman"/>
                <w:noProof/>
                <w:sz w:val="24"/>
                <w:szCs w:val="24"/>
              </w:rPr>
              <w:t>Challenges faced by the MNC</w:t>
            </w:r>
            <w:r w:rsidR="00881BD2" w:rsidRPr="00DC1B0B">
              <w:rPr>
                <w:rFonts w:ascii="Times New Roman" w:hAnsi="Times New Roman" w:cs="Times New Roman"/>
                <w:noProof/>
                <w:webHidden/>
                <w:sz w:val="24"/>
                <w:szCs w:val="24"/>
              </w:rPr>
              <w:tab/>
            </w:r>
            <w:r w:rsidR="00881BD2" w:rsidRPr="00DC1B0B">
              <w:rPr>
                <w:rFonts w:ascii="Times New Roman" w:hAnsi="Times New Roman" w:cs="Times New Roman"/>
                <w:noProof/>
                <w:webHidden/>
                <w:sz w:val="24"/>
                <w:szCs w:val="24"/>
              </w:rPr>
              <w:fldChar w:fldCharType="begin"/>
            </w:r>
            <w:r w:rsidR="00881BD2" w:rsidRPr="00DC1B0B">
              <w:rPr>
                <w:rFonts w:ascii="Times New Roman" w:hAnsi="Times New Roman" w:cs="Times New Roman"/>
                <w:noProof/>
                <w:webHidden/>
                <w:sz w:val="24"/>
                <w:szCs w:val="24"/>
              </w:rPr>
              <w:instrText xml:space="preserve"> PAGEREF _Toc109910319 \h </w:instrText>
            </w:r>
            <w:r w:rsidR="00881BD2" w:rsidRPr="00DC1B0B">
              <w:rPr>
                <w:rFonts w:ascii="Times New Roman" w:hAnsi="Times New Roman" w:cs="Times New Roman"/>
                <w:noProof/>
                <w:webHidden/>
                <w:sz w:val="24"/>
                <w:szCs w:val="24"/>
              </w:rPr>
            </w:r>
            <w:r w:rsidR="00881BD2" w:rsidRPr="00DC1B0B">
              <w:rPr>
                <w:rFonts w:ascii="Times New Roman" w:hAnsi="Times New Roman" w:cs="Times New Roman"/>
                <w:noProof/>
                <w:webHidden/>
                <w:sz w:val="24"/>
                <w:szCs w:val="24"/>
              </w:rPr>
              <w:fldChar w:fldCharType="separate"/>
            </w:r>
            <w:r w:rsidR="00881BD2" w:rsidRPr="00DC1B0B">
              <w:rPr>
                <w:rFonts w:ascii="Times New Roman" w:hAnsi="Times New Roman" w:cs="Times New Roman"/>
                <w:noProof/>
                <w:webHidden/>
                <w:sz w:val="24"/>
                <w:szCs w:val="24"/>
              </w:rPr>
              <w:t>7</w:t>
            </w:r>
            <w:r w:rsidR="00881BD2" w:rsidRPr="00DC1B0B">
              <w:rPr>
                <w:rFonts w:ascii="Times New Roman" w:hAnsi="Times New Roman" w:cs="Times New Roman"/>
                <w:noProof/>
                <w:webHidden/>
                <w:sz w:val="24"/>
                <w:szCs w:val="24"/>
              </w:rPr>
              <w:fldChar w:fldCharType="end"/>
            </w:r>
          </w:hyperlink>
        </w:p>
        <w:p w14:paraId="295BD77C" w14:textId="48BB0337" w:rsidR="00DC1B0B" w:rsidRPr="00DC1B0B" w:rsidRDefault="00766A59" w:rsidP="00DC1B0B">
          <w:pPr>
            <w:pStyle w:val="TOC1"/>
            <w:tabs>
              <w:tab w:val="right" w:leader="dot" w:pos="9350"/>
            </w:tabs>
            <w:spacing w:line="360" w:lineRule="auto"/>
            <w:jc w:val="both"/>
            <w:rPr>
              <w:rFonts w:ascii="Times New Roman" w:hAnsi="Times New Roman" w:cs="Times New Roman"/>
              <w:noProof/>
              <w:sz w:val="24"/>
              <w:szCs w:val="24"/>
            </w:rPr>
          </w:pPr>
          <w:hyperlink w:anchor="_Toc109910320" w:history="1">
            <w:r w:rsidR="00881BD2" w:rsidRPr="00DC1B0B">
              <w:rPr>
                <w:rStyle w:val="Hyperlink"/>
                <w:rFonts w:ascii="Times New Roman" w:hAnsi="Times New Roman" w:cs="Times New Roman"/>
                <w:noProof/>
                <w:sz w:val="24"/>
                <w:szCs w:val="24"/>
              </w:rPr>
              <w:t>Conclusion</w:t>
            </w:r>
            <w:r w:rsidR="00881BD2" w:rsidRPr="00DC1B0B">
              <w:rPr>
                <w:rFonts w:ascii="Times New Roman" w:hAnsi="Times New Roman" w:cs="Times New Roman"/>
                <w:noProof/>
                <w:webHidden/>
                <w:sz w:val="24"/>
                <w:szCs w:val="24"/>
              </w:rPr>
              <w:tab/>
            </w:r>
            <w:r w:rsidR="00881BD2" w:rsidRPr="00DC1B0B">
              <w:rPr>
                <w:rFonts w:ascii="Times New Roman" w:hAnsi="Times New Roman" w:cs="Times New Roman"/>
                <w:noProof/>
                <w:webHidden/>
                <w:sz w:val="24"/>
                <w:szCs w:val="24"/>
              </w:rPr>
              <w:fldChar w:fldCharType="begin"/>
            </w:r>
            <w:r w:rsidR="00881BD2" w:rsidRPr="00DC1B0B">
              <w:rPr>
                <w:rFonts w:ascii="Times New Roman" w:hAnsi="Times New Roman" w:cs="Times New Roman"/>
                <w:noProof/>
                <w:webHidden/>
                <w:sz w:val="24"/>
                <w:szCs w:val="24"/>
              </w:rPr>
              <w:instrText xml:space="preserve"> PAGEREF _Toc109910320 \h </w:instrText>
            </w:r>
            <w:r w:rsidR="00881BD2" w:rsidRPr="00DC1B0B">
              <w:rPr>
                <w:rFonts w:ascii="Times New Roman" w:hAnsi="Times New Roman" w:cs="Times New Roman"/>
                <w:noProof/>
                <w:webHidden/>
                <w:sz w:val="24"/>
                <w:szCs w:val="24"/>
              </w:rPr>
            </w:r>
            <w:r w:rsidR="00881BD2" w:rsidRPr="00DC1B0B">
              <w:rPr>
                <w:rFonts w:ascii="Times New Roman" w:hAnsi="Times New Roman" w:cs="Times New Roman"/>
                <w:noProof/>
                <w:webHidden/>
                <w:sz w:val="24"/>
                <w:szCs w:val="24"/>
              </w:rPr>
              <w:fldChar w:fldCharType="separate"/>
            </w:r>
            <w:r w:rsidR="00881BD2" w:rsidRPr="00DC1B0B">
              <w:rPr>
                <w:rFonts w:ascii="Times New Roman" w:hAnsi="Times New Roman" w:cs="Times New Roman"/>
                <w:noProof/>
                <w:webHidden/>
                <w:sz w:val="24"/>
                <w:szCs w:val="24"/>
              </w:rPr>
              <w:t>8</w:t>
            </w:r>
            <w:r w:rsidR="00881BD2" w:rsidRPr="00DC1B0B">
              <w:rPr>
                <w:rFonts w:ascii="Times New Roman" w:hAnsi="Times New Roman" w:cs="Times New Roman"/>
                <w:noProof/>
                <w:webHidden/>
                <w:sz w:val="24"/>
                <w:szCs w:val="24"/>
              </w:rPr>
              <w:fldChar w:fldCharType="end"/>
            </w:r>
          </w:hyperlink>
        </w:p>
        <w:p w14:paraId="43667B20" w14:textId="239CBCA5" w:rsidR="00DC1B0B" w:rsidRPr="00DC1B0B" w:rsidRDefault="00766A59" w:rsidP="00DC1B0B">
          <w:pPr>
            <w:pStyle w:val="TOC1"/>
            <w:tabs>
              <w:tab w:val="right" w:leader="dot" w:pos="9350"/>
            </w:tabs>
            <w:spacing w:line="360" w:lineRule="auto"/>
            <w:jc w:val="both"/>
            <w:rPr>
              <w:rFonts w:ascii="Times New Roman" w:hAnsi="Times New Roman" w:cs="Times New Roman"/>
              <w:noProof/>
              <w:sz w:val="24"/>
              <w:szCs w:val="24"/>
            </w:rPr>
          </w:pPr>
          <w:hyperlink w:anchor="_Toc109910321" w:history="1">
            <w:r w:rsidR="00881BD2" w:rsidRPr="00DC1B0B">
              <w:rPr>
                <w:rStyle w:val="Hyperlink"/>
                <w:rFonts w:ascii="Times New Roman" w:hAnsi="Times New Roman" w:cs="Times New Roman"/>
                <w:noProof/>
                <w:sz w:val="24"/>
                <w:szCs w:val="24"/>
              </w:rPr>
              <w:t>Reference List</w:t>
            </w:r>
            <w:r w:rsidR="00881BD2" w:rsidRPr="00DC1B0B">
              <w:rPr>
                <w:rFonts w:ascii="Times New Roman" w:hAnsi="Times New Roman" w:cs="Times New Roman"/>
                <w:noProof/>
                <w:webHidden/>
                <w:sz w:val="24"/>
                <w:szCs w:val="24"/>
              </w:rPr>
              <w:tab/>
            </w:r>
            <w:r w:rsidR="00881BD2" w:rsidRPr="00DC1B0B">
              <w:rPr>
                <w:rFonts w:ascii="Times New Roman" w:hAnsi="Times New Roman" w:cs="Times New Roman"/>
                <w:noProof/>
                <w:webHidden/>
                <w:sz w:val="24"/>
                <w:szCs w:val="24"/>
              </w:rPr>
              <w:fldChar w:fldCharType="begin"/>
            </w:r>
            <w:r w:rsidR="00881BD2" w:rsidRPr="00DC1B0B">
              <w:rPr>
                <w:rFonts w:ascii="Times New Roman" w:hAnsi="Times New Roman" w:cs="Times New Roman"/>
                <w:noProof/>
                <w:webHidden/>
                <w:sz w:val="24"/>
                <w:szCs w:val="24"/>
              </w:rPr>
              <w:instrText xml:space="preserve"> PAGEREF _Toc109910321 \h </w:instrText>
            </w:r>
            <w:r w:rsidR="00881BD2" w:rsidRPr="00DC1B0B">
              <w:rPr>
                <w:rFonts w:ascii="Times New Roman" w:hAnsi="Times New Roman" w:cs="Times New Roman"/>
                <w:noProof/>
                <w:webHidden/>
                <w:sz w:val="24"/>
                <w:szCs w:val="24"/>
              </w:rPr>
            </w:r>
            <w:r w:rsidR="00881BD2" w:rsidRPr="00DC1B0B">
              <w:rPr>
                <w:rFonts w:ascii="Times New Roman" w:hAnsi="Times New Roman" w:cs="Times New Roman"/>
                <w:noProof/>
                <w:webHidden/>
                <w:sz w:val="24"/>
                <w:szCs w:val="24"/>
              </w:rPr>
              <w:fldChar w:fldCharType="separate"/>
            </w:r>
            <w:r w:rsidR="00881BD2" w:rsidRPr="00DC1B0B">
              <w:rPr>
                <w:rFonts w:ascii="Times New Roman" w:hAnsi="Times New Roman" w:cs="Times New Roman"/>
                <w:noProof/>
                <w:webHidden/>
                <w:sz w:val="24"/>
                <w:szCs w:val="24"/>
              </w:rPr>
              <w:t>9</w:t>
            </w:r>
            <w:r w:rsidR="00881BD2" w:rsidRPr="00DC1B0B">
              <w:rPr>
                <w:rFonts w:ascii="Times New Roman" w:hAnsi="Times New Roman" w:cs="Times New Roman"/>
                <w:noProof/>
                <w:webHidden/>
                <w:sz w:val="24"/>
                <w:szCs w:val="24"/>
              </w:rPr>
              <w:fldChar w:fldCharType="end"/>
            </w:r>
          </w:hyperlink>
        </w:p>
        <w:p w14:paraId="67708A44" w14:textId="4EFDCCE6" w:rsidR="00DC1B0B" w:rsidRPr="00DC1B0B" w:rsidRDefault="00881BD2" w:rsidP="00DC1B0B">
          <w:pPr>
            <w:spacing w:line="360" w:lineRule="auto"/>
            <w:jc w:val="both"/>
            <w:rPr>
              <w:rFonts w:ascii="Times New Roman" w:hAnsi="Times New Roman" w:cs="Times New Roman"/>
              <w:sz w:val="24"/>
              <w:szCs w:val="24"/>
            </w:rPr>
          </w:pPr>
          <w:r w:rsidRPr="00DC1B0B">
            <w:rPr>
              <w:rFonts w:ascii="Times New Roman" w:hAnsi="Times New Roman" w:cs="Times New Roman"/>
              <w:b/>
              <w:bCs/>
              <w:noProof/>
              <w:sz w:val="24"/>
              <w:szCs w:val="24"/>
            </w:rPr>
            <w:fldChar w:fldCharType="end"/>
          </w:r>
        </w:p>
      </w:sdtContent>
    </w:sdt>
    <w:p w14:paraId="02A58175" w14:textId="6BDF28F6" w:rsidR="004529AC" w:rsidRDefault="00881BD2">
      <w:pPr>
        <w:jc w:val="center"/>
        <w:rPr>
          <w:rFonts w:ascii="Times New Roman" w:eastAsia="Times New Roman" w:hAnsi="Times New Roman" w:cs="Times New Roman"/>
          <w:b/>
          <w:sz w:val="32"/>
          <w:szCs w:val="32"/>
        </w:rPr>
      </w:pPr>
      <w:r>
        <w:br w:type="page"/>
      </w:r>
    </w:p>
    <w:p w14:paraId="226425CB" w14:textId="77777777" w:rsidR="004529AC" w:rsidRDefault="00881BD2" w:rsidP="00DC1B0B">
      <w:pPr>
        <w:pStyle w:val="Heading1"/>
      </w:pPr>
      <w:bookmarkStart w:id="0" w:name="_Toc109910314"/>
      <w:r>
        <w:lastRenderedPageBreak/>
        <w:t>Introduction</w:t>
      </w:r>
      <w:bookmarkEnd w:id="0"/>
      <w:r>
        <w:t xml:space="preserve"> </w:t>
      </w:r>
    </w:p>
    <w:p w14:paraId="770AB0BD" w14:textId="77777777" w:rsidR="004529AC" w:rsidRDefault="00881B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this assessment is to choose a multinational corporation and the importance of IFM to that corporation, analyze and evaluate the dividend distribution policy of the company, and evaluate the efficient market hypothesis and the company's appraising project methods. Finally, the challenges faced by the respective MNCs also need to be discussed.</w:t>
      </w:r>
    </w:p>
    <w:p w14:paraId="702B4B40" w14:textId="4111DE82" w:rsidR="004529AC" w:rsidRDefault="00881B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IFM which is also known as </w:t>
      </w:r>
      <w:r w:rsidR="00BD197D">
        <w:rPr>
          <w:rFonts w:ascii="Times New Roman" w:eastAsia="Times New Roman" w:hAnsi="Times New Roman" w:cs="Times New Roman"/>
          <w:sz w:val="24"/>
          <w:szCs w:val="24"/>
        </w:rPr>
        <w:t>international</w:t>
      </w:r>
      <w:r>
        <w:rPr>
          <w:rFonts w:ascii="Times New Roman" w:eastAsia="Times New Roman" w:hAnsi="Times New Roman" w:cs="Times New Roman"/>
          <w:sz w:val="24"/>
          <w:szCs w:val="24"/>
        </w:rPr>
        <w:t xml:space="preserve"> finance resembles the management of finance in a business environment on a global basis. IFM helps in studying the exchange rate and market for currencies, several techniques of risk management, cost of capital and cost of goods sold, </w:t>
      </w:r>
      <w:r w:rsidR="009A6640">
        <w:rPr>
          <w:rFonts w:ascii="Times New Roman" w:eastAsia="Times New Roman" w:hAnsi="Times New Roman" w:cs="Times New Roman"/>
          <w:sz w:val="24"/>
          <w:szCs w:val="24"/>
        </w:rPr>
        <w:t>etc. (</w:t>
      </w:r>
      <w:r w:rsidR="009A6640" w:rsidRPr="009A6640">
        <w:rPr>
          <w:rFonts w:ascii="Times New Roman" w:hAnsi="Times New Roman" w:cs="Times New Roman"/>
          <w:color w:val="000000" w:themeColor="text1"/>
          <w:sz w:val="24"/>
          <w:szCs w:val="24"/>
          <w:shd w:val="clear" w:color="auto" w:fill="FFFFFF"/>
        </w:rPr>
        <w:t>Arnold, 2013</w:t>
      </w:r>
      <w:r w:rsidR="009A6640">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sz w:val="24"/>
          <w:szCs w:val="24"/>
        </w:rPr>
        <w:t xml:space="preserve">. HSBC is one of the biggest MNCs in the UK which belongs to the pharmaceuticals sector and has been in the discussion in recent times because of financial management techniques in recent years. </w:t>
      </w:r>
    </w:p>
    <w:p w14:paraId="47F2DB8C" w14:textId="03DFE8A8" w:rsidR="004529AC" w:rsidRDefault="00881BD2" w:rsidP="00DC1B0B">
      <w:pPr>
        <w:pStyle w:val="Heading1"/>
      </w:pPr>
      <w:bookmarkStart w:id="1" w:name="_Toc109910315"/>
      <w:r>
        <w:t>Importance of IFM</w:t>
      </w:r>
      <w:bookmarkEnd w:id="1"/>
    </w:p>
    <w:p w14:paraId="4ADD6918" w14:textId="77777777" w:rsidR="004529AC" w:rsidRDefault="00881B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financial management helps the MNCs tackle a lot of financial risks like currency exchange risk, working capital management, functional activities, etc. </w:t>
      </w:r>
    </w:p>
    <w:p w14:paraId="2B159264" w14:textId="77777777" w:rsidR="004529AC" w:rsidRDefault="00881BD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Mitigate exchange currency risks:</w:t>
      </w:r>
      <w:r>
        <w:rPr>
          <w:rFonts w:ascii="Times New Roman" w:eastAsia="Times New Roman" w:hAnsi="Times New Roman" w:cs="Times New Roman"/>
          <w:sz w:val="24"/>
          <w:szCs w:val="24"/>
        </w:rPr>
        <w:t xml:space="preserve"> IFM has several solutions to mitigate currency exchange risks. This risk can be handled by invoicing the clients by the companies in the reporting currencies of the company itself. Other strategies include settlement, forwarding contracts, logging, lending, etc. </w:t>
      </w:r>
    </w:p>
    <w:p w14:paraId="759DC38B" w14:textId="77777777" w:rsidR="004529AC" w:rsidRDefault="00881BD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Working capital management: </w:t>
      </w:r>
      <w:r>
        <w:rPr>
          <w:rFonts w:ascii="Times New Roman" w:eastAsia="Times New Roman" w:hAnsi="Times New Roman" w:cs="Times New Roman"/>
          <w:sz w:val="24"/>
          <w:szCs w:val="24"/>
        </w:rPr>
        <w:t>Working capital refers to the availability of short-term liquidity of a company. IFM maximizes the value of a firm by spending on projects with positive NPV. This will generate positive cash flow for a company.</w:t>
      </w:r>
    </w:p>
    <w:p w14:paraId="406394B2" w14:textId="68357DED" w:rsidR="004529AC" w:rsidRDefault="00881BD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Functional activities:</w:t>
      </w:r>
      <w:r>
        <w:rPr>
          <w:rFonts w:ascii="Times New Roman" w:eastAsia="Times New Roman" w:hAnsi="Times New Roman" w:cs="Times New Roman"/>
          <w:sz w:val="24"/>
          <w:szCs w:val="24"/>
        </w:rPr>
        <w:t xml:space="preserve"> Comprehensive harmonization in several functional areas like marketing, production, etc. is offered by the IFM to MNCs to achieve financial goals. In case of imperfect IFM in MNCs, the other business units can be effectively maintained. Thus, IFM also determines the success of an MNC</w:t>
      </w:r>
      <w:r w:rsidR="009A6640">
        <w:rPr>
          <w:rFonts w:ascii="Times New Roman" w:eastAsia="Times New Roman" w:hAnsi="Times New Roman" w:cs="Times New Roman"/>
          <w:sz w:val="24"/>
          <w:szCs w:val="24"/>
        </w:rPr>
        <w:t xml:space="preserve"> (</w:t>
      </w:r>
      <w:r w:rsidR="009A6640" w:rsidRPr="009A6640">
        <w:rPr>
          <w:rFonts w:ascii="Times New Roman" w:hAnsi="Times New Roman" w:cs="Times New Roman"/>
          <w:color w:val="000000" w:themeColor="text1"/>
          <w:sz w:val="24"/>
          <w:szCs w:val="24"/>
          <w:shd w:val="clear" w:color="auto" w:fill="FFFFFF"/>
        </w:rPr>
        <w:t>Bekaert and Hodrick, 2017</w:t>
      </w:r>
      <w:r w:rsidR="009A6640">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sz w:val="24"/>
          <w:szCs w:val="24"/>
        </w:rPr>
        <w:t>.</w:t>
      </w:r>
    </w:p>
    <w:p w14:paraId="474C4B67" w14:textId="30E98FAB" w:rsidR="004529AC" w:rsidRDefault="00881BD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IFM, also known as global financing operations has supported the global business of HSBC a lot and it has helped human resource finance, sustainability, communications, and marketing. International finance has helped HSBC to manage costs and use its capital in the best way possible. Financial accuracy, insight, and control are provided by the finance managing teams to improve the international business. The internal audit system has allowed the company to operate by </w:t>
      </w:r>
      <w:r>
        <w:rPr>
          <w:rFonts w:ascii="Times New Roman" w:eastAsia="Times New Roman" w:hAnsi="Times New Roman" w:cs="Times New Roman"/>
          <w:sz w:val="24"/>
          <w:szCs w:val="24"/>
        </w:rPr>
        <w:lastRenderedPageBreak/>
        <w:t>managing risks and controlling the management processes. The international marketing system has also supported HSBC in expanding the business and generating more revenue by making sure about more marketplace occasions. This will allow them to manage their financial activities in the global market and ensure high success (</w:t>
      </w:r>
      <w:r w:rsidR="00DC1B0B" w:rsidRPr="00DC1B0B">
        <w:rPr>
          <w:rFonts w:ascii="Times New Roman" w:hAnsi="Times New Roman" w:cs="Times New Roman"/>
          <w:color w:val="000000" w:themeColor="text1"/>
          <w:sz w:val="24"/>
          <w:szCs w:val="24"/>
        </w:rPr>
        <w:t>HSBC, 2022</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w:t>
      </w:r>
    </w:p>
    <w:p w14:paraId="6A483FD8" w14:textId="77777777" w:rsidR="004529AC" w:rsidRDefault="00881BD2" w:rsidP="00DC1B0B">
      <w:pPr>
        <w:pStyle w:val="Heading1"/>
      </w:pPr>
      <w:bookmarkStart w:id="2" w:name="_Toc109910316"/>
      <w:r>
        <w:t>Dividend distribution policy of HSBC</w:t>
      </w:r>
      <w:bookmarkEnd w:id="2"/>
    </w:p>
    <w:p w14:paraId="70C63A8D" w14:textId="64CBBC60" w:rsidR="004529AC" w:rsidRDefault="00881BD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While the global economy is trying to recover from the pandemic effects, HSBC has made some accelerated plans for the payouts of its shareholders. The bank is said to come across its objective of squandering 40% to 55% of the dividends earned in the current year. The chances of buying back the shares are also examined. HSBC is said to be one of the biggest contributors to dividends in European banking. The bank is expected to pay 7 cents as a share </w:t>
      </w:r>
      <w:r w:rsidR="005F1E2B">
        <w:rPr>
          <w:rFonts w:ascii="Times New Roman" w:eastAsia="Times New Roman" w:hAnsi="Times New Roman" w:cs="Times New Roman"/>
          <w:sz w:val="24"/>
          <w:szCs w:val="24"/>
        </w:rPr>
        <w:t>interim dividend</w:t>
      </w:r>
      <w:r>
        <w:rPr>
          <w:rFonts w:ascii="Times New Roman" w:eastAsia="Times New Roman" w:hAnsi="Times New Roman" w:cs="Times New Roman"/>
          <w:sz w:val="24"/>
          <w:szCs w:val="24"/>
        </w:rPr>
        <w:t xml:space="preserve">. </w:t>
      </w:r>
      <w:r>
        <w:rPr>
          <w:rFonts w:ascii="Georgia" w:eastAsia="Georgia" w:hAnsi="Georgia" w:cs="Georgia"/>
          <w:sz w:val="24"/>
          <w:szCs w:val="24"/>
          <w:highlight w:val="white"/>
        </w:rPr>
        <w:t>HSBC started a new rebuilding in the current year that focuses on operating in the Asian markets where the company can get the best return value on its money. The bank aims at managing more assets for the richer section of residents, where the market is lucrative but highly competitive as well.</w:t>
      </w:r>
      <w:r>
        <w:rPr>
          <w:rFonts w:ascii="Times New Roman" w:eastAsia="Times New Roman" w:hAnsi="Times New Roman" w:cs="Times New Roman"/>
          <w:sz w:val="24"/>
          <w:szCs w:val="24"/>
        </w:rPr>
        <w:t xml:space="preserve"> Talking about the history of </w:t>
      </w:r>
      <w:r w:rsidR="005F1E2B">
        <w:rPr>
          <w:rFonts w:ascii="Times New Roman" w:eastAsia="Times New Roman" w:hAnsi="Times New Roman" w:cs="Times New Roman"/>
          <w:sz w:val="24"/>
          <w:szCs w:val="24"/>
        </w:rPr>
        <w:t>dividend distribution</w:t>
      </w:r>
      <w:r>
        <w:rPr>
          <w:rFonts w:ascii="Times New Roman" w:eastAsia="Times New Roman" w:hAnsi="Times New Roman" w:cs="Times New Roman"/>
          <w:sz w:val="24"/>
          <w:szCs w:val="24"/>
        </w:rPr>
        <w:t xml:space="preserve"> policy, the dividend interim for 1H21 was </w:t>
      </w:r>
      <w:r>
        <w:rPr>
          <w:rFonts w:ascii="Times New Roman" w:eastAsia="Times New Roman" w:hAnsi="Times New Roman" w:cs="Times New Roman"/>
          <w:sz w:val="24"/>
          <w:szCs w:val="24"/>
          <w:highlight w:val="white"/>
        </w:rPr>
        <w:t>£0.051203 (</w:t>
      </w:r>
      <w:r w:rsidR="00DC1B0B" w:rsidRPr="009A6640">
        <w:rPr>
          <w:rFonts w:ascii="Times New Roman" w:hAnsi="Times New Roman" w:cs="Times New Roman"/>
          <w:color w:val="000000" w:themeColor="text1"/>
          <w:sz w:val="24"/>
          <w:szCs w:val="24"/>
        </w:rPr>
        <w:t>Hbsp</w:t>
      </w:r>
      <w:r w:rsidR="00DC1B0B">
        <w:rPr>
          <w:rFonts w:ascii="Times New Roman" w:hAnsi="Times New Roman" w:cs="Times New Roman"/>
          <w:color w:val="000000" w:themeColor="text1"/>
          <w:sz w:val="24"/>
          <w:szCs w:val="24"/>
        </w:rPr>
        <w:t>,</w:t>
      </w:r>
      <w:r w:rsidR="00DC1B0B" w:rsidRPr="009A6640">
        <w:rPr>
          <w:rFonts w:ascii="Times New Roman" w:hAnsi="Times New Roman" w:cs="Times New Roman"/>
          <w:color w:val="000000" w:themeColor="text1"/>
          <w:sz w:val="24"/>
          <w:szCs w:val="24"/>
        </w:rPr>
        <w:t xml:space="preserve"> 2022</w:t>
      </w:r>
      <w:r>
        <w:rPr>
          <w:rFonts w:ascii="Times New Roman" w:eastAsia="Times New Roman" w:hAnsi="Times New Roman" w:cs="Times New Roman"/>
          <w:sz w:val="24"/>
          <w:szCs w:val="24"/>
          <w:highlight w:val="white"/>
        </w:rPr>
        <w:t>) value per share which was announced in August 2021 and in February 2022 value per share was £0.138188 which shows the value has increased in the last six months. In the second quarter of 2021, the wealth of HSBC balanced up to 18%, net income was down 9% in comparison to the previous year and the CET1 ratio was 15.6% (</w:t>
      </w:r>
      <w:r w:rsidR="009A6640" w:rsidRPr="009A6640">
        <w:rPr>
          <w:rFonts w:ascii="Times New Roman" w:hAnsi="Times New Roman" w:cs="Times New Roman"/>
          <w:color w:val="000000" w:themeColor="text1"/>
          <w:sz w:val="24"/>
          <w:szCs w:val="24"/>
        </w:rPr>
        <w:t>Fidelity</w:t>
      </w:r>
      <w:r w:rsidR="009A6640">
        <w:rPr>
          <w:rFonts w:ascii="Times New Roman" w:hAnsi="Times New Roman" w:cs="Times New Roman"/>
          <w:color w:val="000000" w:themeColor="text1"/>
          <w:sz w:val="24"/>
          <w:szCs w:val="24"/>
        </w:rPr>
        <w:t>,</w:t>
      </w:r>
      <w:r w:rsidR="009A6640" w:rsidRPr="009A6640">
        <w:rPr>
          <w:rFonts w:ascii="Times New Roman" w:hAnsi="Times New Roman" w:cs="Times New Roman"/>
          <w:color w:val="000000" w:themeColor="text1"/>
          <w:sz w:val="24"/>
          <w:szCs w:val="24"/>
        </w:rPr>
        <w:t xml:space="preserve"> 2022</w:t>
      </w:r>
      <w:r>
        <w:rPr>
          <w:rFonts w:ascii="Times New Roman" w:eastAsia="Times New Roman" w:hAnsi="Times New Roman" w:cs="Times New Roman"/>
          <w:sz w:val="24"/>
          <w:szCs w:val="24"/>
          <w:highlight w:val="white"/>
        </w:rPr>
        <w:t xml:space="preserve">). </w:t>
      </w:r>
    </w:p>
    <w:p w14:paraId="7FC12170" w14:textId="77777777" w:rsidR="004529AC" w:rsidRDefault="00881BD2" w:rsidP="00DC1B0B">
      <w:pPr>
        <w:pStyle w:val="Heading1"/>
        <w:rPr>
          <w:highlight w:val="white"/>
        </w:rPr>
      </w:pPr>
      <w:bookmarkStart w:id="3" w:name="_Toc109910317"/>
      <w:r>
        <w:rPr>
          <w:highlight w:val="white"/>
        </w:rPr>
        <w:t>The efficient market hypothesis of HSBC</w:t>
      </w:r>
      <w:bookmarkEnd w:id="3"/>
      <w:r>
        <w:rPr>
          <w:highlight w:val="white"/>
        </w:rPr>
        <w:t xml:space="preserve"> </w:t>
      </w:r>
    </w:p>
    <w:p w14:paraId="2F2CCD62" w14:textId="4E67A63B" w:rsidR="004529AC" w:rsidRDefault="00881BD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Efficient Market Hypothesis (EMH) is an analysis of financial management that talks about the information about investment securities, prices, and all those which are already known. According to EMH, an investor can act randomly but if it all works together they have to perform efficiently in a market. There are 3 forms of EMH- weak form, semi-strong form, and strong form.</w:t>
      </w:r>
      <w:r w:rsidR="005F1E2B">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  </w:t>
      </w:r>
    </w:p>
    <w:p w14:paraId="64D000A4" w14:textId="77777777" w:rsidR="004529AC" w:rsidRDefault="00881BD2">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55591B7D" wp14:editId="568072DC">
            <wp:extent cx="4762500" cy="2381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762500" cy="2381250"/>
                    </a:xfrm>
                    <a:prstGeom prst="rect">
                      <a:avLst/>
                    </a:prstGeom>
                  </pic:spPr>
                </pic:pic>
              </a:graphicData>
            </a:graphic>
          </wp:inline>
        </w:drawing>
      </w:r>
    </w:p>
    <w:p w14:paraId="1AB57DD4" w14:textId="77777777" w:rsidR="004529AC" w:rsidRDefault="00881BD2">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Fig. 1: 3 forms of Efficient market hypothesis</w:t>
      </w:r>
    </w:p>
    <w:p w14:paraId="3FA8F739" w14:textId="2CDF2C3B" w:rsidR="004529AC" w:rsidRDefault="00881BD2">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w:t>
      </w:r>
      <w:r w:rsidR="00480140" w:rsidRPr="00480140">
        <w:rPr>
          <w:rFonts w:ascii="Times New Roman" w:hAnsi="Times New Roman" w:cs="Times New Roman"/>
          <w:color w:val="000000" w:themeColor="text1"/>
          <w:sz w:val="24"/>
          <w:szCs w:val="24"/>
        </w:rPr>
        <w:t xml:space="preserve"> </w:t>
      </w:r>
      <w:r w:rsidR="00480140" w:rsidRPr="009A6640">
        <w:rPr>
          <w:rFonts w:ascii="Times New Roman" w:hAnsi="Times New Roman" w:cs="Times New Roman"/>
          <w:color w:val="000000" w:themeColor="text1"/>
          <w:sz w:val="24"/>
          <w:szCs w:val="24"/>
        </w:rPr>
        <w:t>QS Study</w:t>
      </w:r>
      <w:r w:rsidR="00480140">
        <w:rPr>
          <w:rFonts w:ascii="Times New Roman" w:hAnsi="Times New Roman" w:cs="Times New Roman"/>
          <w:color w:val="000000" w:themeColor="text1"/>
          <w:sz w:val="24"/>
          <w:szCs w:val="24"/>
        </w:rPr>
        <w:t>,</w:t>
      </w:r>
      <w:r w:rsidR="00480140" w:rsidRPr="009A6640">
        <w:rPr>
          <w:rFonts w:ascii="Times New Roman" w:hAnsi="Times New Roman" w:cs="Times New Roman"/>
          <w:color w:val="000000" w:themeColor="text1"/>
          <w:sz w:val="24"/>
          <w:szCs w:val="24"/>
        </w:rPr>
        <w:t xml:space="preserve"> 2022</w:t>
      </w:r>
      <w:r>
        <w:rPr>
          <w:rFonts w:ascii="Times New Roman" w:eastAsia="Times New Roman" w:hAnsi="Times New Roman" w:cs="Times New Roman"/>
          <w:sz w:val="24"/>
          <w:szCs w:val="24"/>
          <w:highlight w:val="white"/>
        </w:rPr>
        <w:t>)</w:t>
      </w:r>
    </w:p>
    <w:p w14:paraId="50210AF1" w14:textId="77777777" w:rsidR="004529AC" w:rsidRDefault="00881BD2">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Weak form of EMH</w:t>
      </w:r>
    </w:p>
    <w:p w14:paraId="1EAD9319" w14:textId="77777777" w:rsidR="004529AC" w:rsidRDefault="00881BD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the weak form of EMH, the historical stock prices OF HSBC have been mentioned in GBP.</w:t>
      </w:r>
    </w:p>
    <w:p w14:paraId="03F0EDDE" w14:textId="77777777" w:rsidR="004529AC" w:rsidRDefault="004529AC">
      <w:pPr>
        <w:spacing w:line="360" w:lineRule="auto"/>
        <w:jc w:val="both"/>
        <w:rPr>
          <w:rFonts w:ascii="Times New Roman" w:eastAsia="Times New Roman" w:hAnsi="Times New Roman" w:cs="Times New Roman"/>
          <w:sz w:val="24"/>
          <w:szCs w:val="24"/>
          <w:highlight w:val="white"/>
        </w:rPr>
      </w:pPr>
    </w:p>
    <w:tbl>
      <w:tblPr>
        <w:tblStyle w:val="a"/>
        <w:tblW w:w="958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85"/>
        <w:gridCol w:w="1220"/>
        <w:gridCol w:w="1220"/>
        <w:gridCol w:w="1221"/>
        <w:gridCol w:w="1221"/>
        <w:gridCol w:w="1581"/>
        <w:gridCol w:w="1334"/>
      </w:tblGrid>
      <w:tr w:rsidR="00213543" w14:paraId="1548E16B" w14:textId="77777777" w:rsidTr="004B3C48">
        <w:trPr>
          <w:trHeight w:val="789"/>
          <w:jc w:val="center"/>
        </w:trPr>
        <w:tc>
          <w:tcPr>
            <w:tcW w:w="1785" w:type="dxa"/>
            <w:tcMar>
              <w:top w:w="160" w:type="dxa"/>
              <w:left w:w="240" w:type="dxa"/>
              <w:bottom w:w="160" w:type="dxa"/>
              <w:right w:w="240" w:type="dxa"/>
            </w:tcMar>
          </w:tcPr>
          <w:p w14:paraId="7D4EF242" w14:textId="0F7516BB" w:rsidR="004B3C48" w:rsidRPr="004B3C48" w:rsidRDefault="00881BD2" w:rsidP="004B3C48">
            <w:pPr>
              <w:widowControl w:val="0"/>
              <w:pBdr>
                <w:top w:val="nil"/>
                <w:left w:val="nil"/>
                <w:bottom w:val="nil"/>
                <w:right w:val="nil"/>
                <w:between w:val="nil"/>
              </w:pBdr>
              <w:spacing w:line="360" w:lineRule="auto"/>
              <w:rPr>
                <w:rFonts w:ascii="Times New Roman" w:eastAsia="Roboto" w:hAnsi="Times New Roman" w:cs="Times New Roman"/>
                <w:sz w:val="24"/>
                <w:szCs w:val="24"/>
                <w:highlight w:val="white"/>
              </w:rPr>
            </w:pPr>
            <w:r>
              <w:rPr>
                <w:rFonts w:ascii="Times New Roman" w:eastAsia="Roboto" w:hAnsi="Times New Roman" w:cs="Times New Roman"/>
                <w:sz w:val="24"/>
                <w:szCs w:val="24"/>
                <w:highlight w:val="white"/>
              </w:rPr>
              <w:t>Months</w:t>
            </w:r>
          </w:p>
        </w:tc>
        <w:tc>
          <w:tcPr>
            <w:tcW w:w="1220" w:type="dxa"/>
            <w:tcMar>
              <w:top w:w="160" w:type="dxa"/>
              <w:left w:w="240" w:type="dxa"/>
              <w:bottom w:w="160" w:type="dxa"/>
              <w:right w:w="240" w:type="dxa"/>
            </w:tcMar>
          </w:tcPr>
          <w:p w14:paraId="58B0D7C5" w14:textId="3F8378E0" w:rsidR="004B3C48" w:rsidRPr="004B3C48" w:rsidRDefault="00881BD2" w:rsidP="004B3C48">
            <w:pPr>
              <w:spacing w:line="360" w:lineRule="auto"/>
              <w:jc w:val="both"/>
              <w:rPr>
                <w:rFonts w:ascii="Times New Roman" w:eastAsia="Roboto" w:hAnsi="Times New Roman" w:cs="Times New Roman"/>
                <w:sz w:val="24"/>
                <w:szCs w:val="24"/>
                <w:highlight w:val="white"/>
              </w:rPr>
            </w:pPr>
            <w:r>
              <w:rPr>
                <w:rFonts w:ascii="Times New Roman" w:eastAsia="Roboto" w:hAnsi="Times New Roman" w:cs="Times New Roman"/>
                <w:sz w:val="24"/>
                <w:szCs w:val="24"/>
                <w:highlight w:val="white"/>
              </w:rPr>
              <w:t>Prices (GBP)</w:t>
            </w:r>
          </w:p>
        </w:tc>
        <w:tc>
          <w:tcPr>
            <w:tcW w:w="1220" w:type="dxa"/>
            <w:tcMar>
              <w:top w:w="160" w:type="dxa"/>
              <w:left w:w="240" w:type="dxa"/>
              <w:bottom w:w="160" w:type="dxa"/>
              <w:right w:w="240" w:type="dxa"/>
            </w:tcMar>
          </w:tcPr>
          <w:p w14:paraId="13527BE8" w14:textId="225190A3" w:rsidR="004B3C48" w:rsidRPr="004B3C48" w:rsidRDefault="00881BD2" w:rsidP="004B3C48">
            <w:pPr>
              <w:spacing w:line="360" w:lineRule="auto"/>
              <w:jc w:val="both"/>
              <w:rPr>
                <w:rFonts w:ascii="Times New Roman" w:eastAsia="Roboto" w:hAnsi="Times New Roman" w:cs="Times New Roman"/>
                <w:sz w:val="24"/>
                <w:szCs w:val="24"/>
                <w:highlight w:val="white"/>
              </w:rPr>
            </w:pPr>
            <w:r>
              <w:rPr>
                <w:rFonts w:ascii="Times New Roman" w:eastAsia="Roboto" w:hAnsi="Times New Roman" w:cs="Times New Roman"/>
                <w:sz w:val="24"/>
                <w:szCs w:val="24"/>
                <w:highlight w:val="white"/>
              </w:rPr>
              <w:t>Open</w:t>
            </w:r>
          </w:p>
        </w:tc>
        <w:tc>
          <w:tcPr>
            <w:tcW w:w="1221" w:type="dxa"/>
            <w:tcMar>
              <w:top w:w="160" w:type="dxa"/>
              <w:left w:w="240" w:type="dxa"/>
              <w:bottom w:w="160" w:type="dxa"/>
              <w:right w:w="240" w:type="dxa"/>
            </w:tcMar>
          </w:tcPr>
          <w:p w14:paraId="5E6836DD" w14:textId="03584813" w:rsidR="004B3C48" w:rsidRPr="004B3C48" w:rsidRDefault="00881BD2" w:rsidP="004B3C48">
            <w:pPr>
              <w:spacing w:line="360" w:lineRule="auto"/>
              <w:jc w:val="both"/>
              <w:rPr>
                <w:rFonts w:ascii="Times New Roman" w:eastAsia="Roboto" w:hAnsi="Times New Roman" w:cs="Times New Roman"/>
                <w:sz w:val="24"/>
                <w:szCs w:val="24"/>
                <w:highlight w:val="white"/>
              </w:rPr>
            </w:pPr>
            <w:r>
              <w:rPr>
                <w:rFonts w:ascii="Times New Roman" w:eastAsia="Roboto" w:hAnsi="Times New Roman" w:cs="Times New Roman"/>
                <w:sz w:val="24"/>
                <w:szCs w:val="24"/>
                <w:highlight w:val="white"/>
              </w:rPr>
              <w:t>High</w:t>
            </w:r>
          </w:p>
        </w:tc>
        <w:tc>
          <w:tcPr>
            <w:tcW w:w="1221" w:type="dxa"/>
            <w:tcMar>
              <w:top w:w="160" w:type="dxa"/>
              <w:left w:w="240" w:type="dxa"/>
              <w:bottom w:w="160" w:type="dxa"/>
              <w:right w:w="240" w:type="dxa"/>
            </w:tcMar>
          </w:tcPr>
          <w:p w14:paraId="5F0DB657" w14:textId="68809A60" w:rsidR="004B3C48" w:rsidRPr="004B3C48" w:rsidRDefault="00881BD2" w:rsidP="004B3C48">
            <w:pPr>
              <w:spacing w:line="360" w:lineRule="auto"/>
              <w:jc w:val="both"/>
              <w:rPr>
                <w:rFonts w:ascii="Times New Roman" w:eastAsia="Roboto" w:hAnsi="Times New Roman" w:cs="Times New Roman"/>
                <w:sz w:val="24"/>
                <w:szCs w:val="24"/>
                <w:highlight w:val="white"/>
              </w:rPr>
            </w:pPr>
            <w:r>
              <w:rPr>
                <w:rFonts w:ascii="Times New Roman" w:eastAsia="Roboto" w:hAnsi="Times New Roman" w:cs="Times New Roman"/>
                <w:sz w:val="24"/>
                <w:szCs w:val="24"/>
                <w:highlight w:val="white"/>
              </w:rPr>
              <w:t>Low</w:t>
            </w:r>
          </w:p>
        </w:tc>
        <w:tc>
          <w:tcPr>
            <w:tcW w:w="1581" w:type="dxa"/>
            <w:tcMar>
              <w:top w:w="160" w:type="dxa"/>
              <w:left w:w="240" w:type="dxa"/>
              <w:bottom w:w="160" w:type="dxa"/>
              <w:right w:w="240" w:type="dxa"/>
            </w:tcMar>
          </w:tcPr>
          <w:p w14:paraId="2C1923B0" w14:textId="588FC423" w:rsidR="004B3C48" w:rsidRPr="004B3C48" w:rsidRDefault="00881BD2" w:rsidP="004B3C48">
            <w:pPr>
              <w:spacing w:line="360" w:lineRule="auto"/>
              <w:jc w:val="both"/>
              <w:rPr>
                <w:rFonts w:ascii="Times New Roman" w:eastAsia="Roboto" w:hAnsi="Times New Roman" w:cs="Times New Roman"/>
                <w:sz w:val="24"/>
                <w:szCs w:val="24"/>
                <w:highlight w:val="white"/>
              </w:rPr>
            </w:pPr>
            <w:r>
              <w:rPr>
                <w:rFonts w:ascii="Times New Roman" w:eastAsia="Roboto" w:hAnsi="Times New Roman" w:cs="Times New Roman"/>
                <w:sz w:val="24"/>
                <w:szCs w:val="24"/>
                <w:highlight w:val="white"/>
              </w:rPr>
              <w:t xml:space="preserve">Volume  </w:t>
            </w:r>
          </w:p>
        </w:tc>
        <w:tc>
          <w:tcPr>
            <w:tcW w:w="1334" w:type="dxa"/>
            <w:tcMar>
              <w:top w:w="160" w:type="dxa"/>
              <w:left w:w="240" w:type="dxa"/>
              <w:bottom w:w="160" w:type="dxa"/>
              <w:right w:w="240" w:type="dxa"/>
            </w:tcMar>
          </w:tcPr>
          <w:p w14:paraId="5B7AE8FC" w14:textId="7C08C789" w:rsidR="004B3C48" w:rsidRPr="004B3C48" w:rsidRDefault="00881BD2" w:rsidP="004B3C48">
            <w:pPr>
              <w:spacing w:line="360" w:lineRule="auto"/>
              <w:jc w:val="both"/>
              <w:rPr>
                <w:rFonts w:ascii="Times New Roman" w:eastAsia="Roboto" w:hAnsi="Times New Roman" w:cs="Times New Roman"/>
                <w:sz w:val="24"/>
                <w:szCs w:val="24"/>
                <w:highlight w:val="white"/>
              </w:rPr>
            </w:pPr>
            <w:r>
              <w:rPr>
                <w:rFonts w:ascii="Times New Roman" w:eastAsia="Roboto" w:hAnsi="Times New Roman" w:cs="Times New Roman"/>
                <w:sz w:val="24"/>
                <w:szCs w:val="24"/>
                <w:highlight w:val="white"/>
              </w:rPr>
              <w:t>Change</w:t>
            </w:r>
          </w:p>
        </w:tc>
      </w:tr>
      <w:tr w:rsidR="00213543" w14:paraId="5E228291" w14:textId="77777777" w:rsidTr="004B3C48">
        <w:trPr>
          <w:trHeight w:val="789"/>
          <w:jc w:val="center"/>
        </w:trPr>
        <w:tc>
          <w:tcPr>
            <w:tcW w:w="1785" w:type="dxa"/>
            <w:tcMar>
              <w:top w:w="160" w:type="dxa"/>
              <w:left w:w="240" w:type="dxa"/>
              <w:bottom w:w="160" w:type="dxa"/>
              <w:right w:w="240" w:type="dxa"/>
            </w:tcMar>
          </w:tcPr>
          <w:p w14:paraId="4CE21193" w14:textId="77777777" w:rsidR="004529AC" w:rsidRPr="004B3C48" w:rsidRDefault="00881BD2" w:rsidP="004B3C48">
            <w:pPr>
              <w:widowControl w:val="0"/>
              <w:pBdr>
                <w:top w:val="nil"/>
                <w:left w:val="nil"/>
                <w:bottom w:val="nil"/>
                <w:right w:val="nil"/>
                <w:between w:val="nil"/>
              </w:pBdr>
              <w:spacing w:line="360" w:lineRule="auto"/>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Jun 2022</w:t>
            </w:r>
          </w:p>
        </w:tc>
        <w:tc>
          <w:tcPr>
            <w:tcW w:w="1220" w:type="dxa"/>
            <w:tcMar>
              <w:top w:w="160" w:type="dxa"/>
              <w:left w:w="240" w:type="dxa"/>
              <w:bottom w:w="160" w:type="dxa"/>
              <w:right w:w="240" w:type="dxa"/>
            </w:tcMar>
          </w:tcPr>
          <w:p w14:paraId="17C90986"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535.60</w:t>
            </w:r>
          </w:p>
        </w:tc>
        <w:tc>
          <w:tcPr>
            <w:tcW w:w="1220" w:type="dxa"/>
            <w:tcMar>
              <w:top w:w="160" w:type="dxa"/>
              <w:left w:w="240" w:type="dxa"/>
              <w:bottom w:w="160" w:type="dxa"/>
              <w:right w:w="240" w:type="dxa"/>
            </w:tcMar>
          </w:tcPr>
          <w:p w14:paraId="167F1A58"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534.00</w:t>
            </w:r>
          </w:p>
        </w:tc>
        <w:tc>
          <w:tcPr>
            <w:tcW w:w="1221" w:type="dxa"/>
            <w:tcMar>
              <w:top w:w="160" w:type="dxa"/>
              <w:left w:w="240" w:type="dxa"/>
              <w:bottom w:w="160" w:type="dxa"/>
              <w:right w:w="240" w:type="dxa"/>
            </w:tcMar>
          </w:tcPr>
          <w:p w14:paraId="25227272"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555.45</w:t>
            </w:r>
          </w:p>
        </w:tc>
        <w:tc>
          <w:tcPr>
            <w:tcW w:w="1221" w:type="dxa"/>
            <w:tcMar>
              <w:top w:w="160" w:type="dxa"/>
              <w:left w:w="240" w:type="dxa"/>
              <w:bottom w:w="160" w:type="dxa"/>
              <w:right w:w="240" w:type="dxa"/>
            </w:tcMar>
          </w:tcPr>
          <w:p w14:paraId="358D360A"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497.80</w:t>
            </w:r>
          </w:p>
        </w:tc>
        <w:tc>
          <w:tcPr>
            <w:tcW w:w="1581" w:type="dxa"/>
            <w:tcMar>
              <w:top w:w="160" w:type="dxa"/>
              <w:left w:w="240" w:type="dxa"/>
              <w:bottom w:w="160" w:type="dxa"/>
              <w:right w:w="240" w:type="dxa"/>
            </w:tcMar>
          </w:tcPr>
          <w:p w14:paraId="055EE112"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688.85M</w:t>
            </w:r>
          </w:p>
        </w:tc>
        <w:tc>
          <w:tcPr>
            <w:tcW w:w="1334" w:type="dxa"/>
            <w:tcMar>
              <w:top w:w="160" w:type="dxa"/>
              <w:left w:w="240" w:type="dxa"/>
              <w:bottom w:w="160" w:type="dxa"/>
              <w:right w:w="240" w:type="dxa"/>
            </w:tcMar>
          </w:tcPr>
          <w:p w14:paraId="23ED354D"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0.49%</w:t>
            </w:r>
          </w:p>
        </w:tc>
      </w:tr>
      <w:tr w:rsidR="00213543" w14:paraId="654AD933" w14:textId="77777777" w:rsidTr="004B3C48">
        <w:trPr>
          <w:trHeight w:val="789"/>
          <w:jc w:val="center"/>
        </w:trPr>
        <w:tc>
          <w:tcPr>
            <w:tcW w:w="1785" w:type="dxa"/>
            <w:tcMar>
              <w:top w:w="160" w:type="dxa"/>
              <w:left w:w="240" w:type="dxa"/>
              <w:bottom w:w="160" w:type="dxa"/>
              <w:right w:w="240" w:type="dxa"/>
            </w:tcMar>
          </w:tcPr>
          <w:p w14:paraId="6CF7EC55"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May 2022</w:t>
            </w:r>
          </w:p>
        </w:tc>
        <w:tc>
          <w:tcPr>
            <w:tcW w:w="1220" w:type="dxa"/>
            <w:tcMar>
              <w:top w:w="160" w:type="dxa"/>
              <w:left w:w="240" w:type="dxa"/>
              <w:bottom w:w="160" w:type="dxa"/>
              <w:right w:w="240" w:type="dxa"/>
            </w:tcMar>
          </w:tcPr>
          <w:p w14:paraId="7E327C26"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533.00</w:t>
            </w:r>
          </w:p>
        </w:tc>
        <w:tc>
          <w:tcPr>
            <w:tcW w:w="1220" w:type="dxa"/>
            <w:tcMar>
              <w:top w:w="160" w:type="dxa"/>
              <w:left w:w="240" w:type="dxa"/>
              <w:bottom w:w="160" w:type="dxa"/>
              <w:right w:w="240" w:type="dxa"/>
            </w:tcMar>
          </w:tcPr>
          <w:p w14:paraId="71D1C6FF"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503.90</w:t>
            </w:r>
          </w:p>
        </w:tc>
        <w:tc>
          <w:tcPr>
            <w:tcW w:w="1221" w:type="dxa"/>
            <w:tcMar>
              <w:top w:w="160" w:type="dxa"/>
              <w:left w:w="240" w:type="dxa"/>
              <w:bottom w:w="160" w:type="dxa"/>
              <w:right w:w="240" w:type="dxa"/>
            </w:tcMar>
          </w:tcPr>
          <w:p w14:paraId="17CC14F5"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534.80</w:t>
            </w:r>
          </w:p>
        </w:tc>
        <w:tc>
          <w:tcPr>
            <w:tcW w:w="1221" w:type="dxa"/>
            <w:tcMar>
              <w:top w:w="160" w:type="dxa"/>
              <w:left w:w="240" w:type="dxa"/>
              <w:bottom w:w="160" w:type="dxa"/>
              <w:right w:w="240" w:type="dxa"/>
            </w:tcMar>
          </w:tcPr>
          <w:p w14:paraId="0B4CB946"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477.95</w:t>
            </w:r>
          </w:p>
        </w:tc>
        <w:tc>
          <w:tcPr>
            <w:tcW w:w="1581" w:type="dxa"/>
            <w:tcMar>
              <w:top w:w="160" w:type="dxa"/>
              <w:left w:w="240" w:type="dxa"/>
              <w:bottom w:w="160" w:type="dxa"/>
              <w:right w:w="240" w:type="dxa"/>
            </w:tcMar>
          </w:tcPr>
          <w:p w14:paraId="196C63BC"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664.86M</w:t>
            </w:r>
          </w:p>
        </w:tc>
        <w:tc>
          <w:tcPr>
            <w:tcW w:w="1334" w:type="dxa"/>
            <w:tcMar>
              <w:top w:w="160" w:type="dxa"/>
              <w:left w:w="240" w:type="dxa"/>
              <w:bottom w:w="160" w:type="dxa"/>
              <w:right w:w="240" w:type="dxa"/>
            </w:tcMar>
          </w:tcPr>
          <w:p w14:paraId="6E3AEAB3"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6.32%</w:t>
            </w:r>
          </w:p>
        </w:tc>
      </w:tr>
      <w:tr w:rsidR="00213543" w14:paraId="17C8F98F" w14:textId="77777777" w:rsidTr="004B3C48">
        <w:trPr>
          <w:trHeight w:val="789"/>
          <w:jc w:val="center"/>
        </w:trPr>
        <w:tc>
          <w:tcPr>
            <w:tcW w:w="1785" w:type="dxa"/>
            <w:tcMar>
              <w:top w:w="160" w:type="dxa"/>
              <w:left w:w="240" w:type="dxa"/>
              <w:bottom w:w="160" w:type="dxa"/>
              <w:right w:w="240" w:type="dxa"/>
            </w:tcMar>
          </w:tcPr>
          <w:p w14:paraId="037B6341"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Apr 2022</w:t>
            </w:r>
          </w:p>
        </w:tc>
        <w:tc>
          <w:tcPr>
            <w:tcW w:w="1220" w:type="dxa"/>
            <w:tcMar>
              <w:top w:w="160" w:type="dxa"/>
              <w:left w:w="240" w:type="dxa"/>
              <w:bottom w:w="160" w:type="dxa"/>
              <w:right w:w="240" w:type="dxa"/>
            </w:tcMar>
          </w:tcPr>
          <w:p w14:paraId="2F9B7368"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501.30</w:t>
            </w:r>
          </w:p>
        </w:tc>
        <w:tc>
          <w:tcPr>
            <w:tcW w:w="1220" w:type="dxa"/>
            <w:tcMar>
              <w:top w:w="160" w:type="dxa"/>
              <w:left w:w="240" w:type="dxa"/>
              <w:bottom w:w="160" w:type="dxa"/>
              <w:right w:w="240" w:type="dxa"/>
            </w:tcMar>
          </w:tcPr>
          <w:p w14:paraId="79A7187F"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527.16</w:t>
            </w:r>
          </w:p>
        </w:tc>
        <w:tc>
          <w:tcPr>
            <w:tcW w:w="1221" w:type="dxa"/>
            <w:tcMar>
              <w:top w:w="160" w:type="dxa"/>
              <w:left w:w="240" w:type="dxa"/>
              <w:bottom w:w="160" w:type="dxa"/>
              <w:right w:w="240" w:type="dxa"/>
            </w:tcMar>
          </w:tcPr>
          <w:p w14:paraId="1A63B76D"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541.10</w:t>
            </w:r>
          </w:p>
        </w:tc>
        <w:tc>
          <w:tcPr>
            <w:tcW w:w="1221" w:type="dxa"/>
            <w:tcMar>
              <w:top w:w="160" w:type="dxa"/>
              <w:left w:w="240" w:type="dxa"/>
              <w:bottom w:w="160" w:type="dxa"/>
              <w:right w:w="240" w:type="dxa"/>
            </w:tcMar>
          </w:tcPr>
          <w:p w14:paraId="7E808AAA"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473.00</w:t>
            </w:r>
          </w:p>
        </w:tc>
        <w:tc>
          <w:tcPr>
            <w:tcW w:w="1581" w:type="dxa"/>
            <w:tcMar>
              <w:top w:w="160" w:type="dxa"/>
              <w:left w:w="240" w:type="dxa"/>
              <w:bottom w:w="160" w:type="dxa"/>
              <w:right w:w="240" w:type="dxa"/>
            </w:tcMar>
          </w:tcPr>
          <w:p w14:paraId="24549332"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388.22M</w:t>
            </w:r>
          </w:p>
        </w:tc>
        <w:tc>
          <w:tcPr>
            <w:tcW w:w="1334" w:type="dxa"/>
            <w:tcMar>
              <w:top w:w="160" w:type="dxa"/>
              <w:left w:w="240" w:type="dxa"/>
              <w:bottom w:w="160" w:type="dxa"/>
              <w:right w:w="240" w:type="dxa"/>
            </w:tcMar>
          </w:tcPr>
          <w:p w14:paraId="5B9FAD52"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-4.59%</w:t>
            </w:r>
          </w:p>
        </w:tc>
      </w:tr>
      <w:tr w:rsidR="00213543" w14:paraId="64B1AFF7" w14:textId="77777777" w:rsidTr="004B3C48">
        <w:trPr>
          <w:trHeight w:val="789"/>
          <w:jc w:val="center"/>
        </w:trPr>
        <w:tc>
          <w:tcPr>
            <w:tcW w:w="1785" w:type="dxa"/>
            <w:tcMar>
              <w:top w:w="160" w:type="dxa"/>
              <w:left w:w="240" w:type="dxa"/>
              <w:bottom w:w="160" w:type="dxa"/>
              <w:right w:w="240" w:type="dxa"/>
            </w:tcMar>
          </w:tcPr>
          <w:p w14:paraId="141AA377"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Mar 2022</w:t>
            </w:r>
          </w:p>
        </w:tc>
        <w:tc>
          <w:tcPr>
            <w:tcW w:w="1220" w:type="dxa"/>
            <w:tcMar>
              <w:top w:w="160" w:type="dxa"/>
              <w:left w:w="240" w:type="dxa"/>
              <w:bottom w:w="160" w:type="dxa"/>
              <w:right w:w="240" w:type="dxa"/>
            </w:tcMar>
          </w:tcPr>
          <w:p w14:paraId="5CFDCEC4"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525.40</w:t>
            </w:r>
          </w:p>
        </w:tc>
        <w:tc>
          <w:tcPr>
            <w:tcW w:w="1220" w:type="dxa"/>
            <w:tcMar>
              <w:top w:w="160" w:type="dxa"/>
              <w:left w:w="240" w:type="dxa"/>
              <w:bottom w:w="160" w:type="dxa"/>
              <w:right w:w="240" w:type="dxa"/>
            </w:tcMar>
          </w:tcPr>
          <w:p w14:paraId="0FF21A6F"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505.45</w:t>
            </w:r>
          </w:p>
        </w:tc>
        <w:tc>
          <w:tcPr>
            <w:tcW w:w="1221" w:type="dxa"/>
            <w:tcMar>
              <w:top w:w="160" w:type="dxa"/>
              <w:left w:w="240" w:type="dxa"/>
              <w:bottom w:w="160" w:type="dxa"/>
              <w:right w:w="240" w:type="dxa"/>
            </w:tcMar>
          </w:tcPr>
          <w:p w14:paraId="55ECD702"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533.20</w:t>
            </w:r>
          </w:p>
        </w:tc>
        <w:tc>
          <w:tcPr>
            <w:tcW w:w="1221" w:type="dxa"/>
            <w:tcMar>
              <w:top w:w="160" w:type="dxa"/>
              <w:left w:w="240" w:type="dxa"/>
              <w:bottom w:w="160" w:type="dxa"/>
              <w:right w:w="240" w:type="dxa"/>
            </w:tcMar>
          </w:tcPr>
          <w:p w14:paraId="7A015AE3"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449.20</w:t>
            </w:r>
          </w:p>
        </w:tc>
        <w:tc>
          <w:tcPr>
            <w:tcW w:w="1581" w:type="dxa"/>
            <w:tcMar>
              <w:top w:w="160" w:type="dxa"/>
              <w:left w:w="240" w:type="dxa"/>
              <w:bottom w:w="160" w:type="dxa"/>
              <w:right w:w="240" w:type="dxa"/>
            </w:tcMar>
          </w:tcPr>
          <w:p w14:paraId="2108BDA3"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804.27M</w:t>
            </w:r>
          </w:p>
        </w:tc>
        <w:tc>
          <w:tcPr>
            <w:tcW w:w="1334" w:type="dxa"/>
            <w:tcMar>
              <w:top w:w="160" w:type="dxa"/>
              <w:left w:w="240" w:type="dxa"/>
              <w:bottom w:w="160" w:type="dxa"/>
              <w:right w:w="240" w:type="dxa"/>
            </w:tcMar>
          </w:tcPr>
          <w:p w14:paraId="675FE3C3"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2.10%</w:t>
            </w:r>
          </w:p>
        </w:tc>
      </w:tr>
      <w:tr w:rsidR="00213543" w14:paraId="1EC9DD8C" w14:textId="77777777" w:rsidTr="004B3C48">
        <w:trPr>
          <w:trHeight w:val="789"/>
          <w:jc w:val="center"/>
        </w:trPr>
        <w:tc>
          <w:tcPr>
            <w:tcW w:w="1785" w:type="dxa"/>
            <w:tcMar>
              <w:top w:w="160" w:type="dxa"/>
              <w:left w:w="240" w:type="dxa"/>
              <w:bottom w:w="160" w:type="dxa"/>
              <w:right w:w="240" w:type="dxa"/>
            </w:tcMar>
          </w:tcPr>
          <w:p w14:paraId="0FB887CD"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Feb 2022</w:t>
            </w:r>
          </w:p>
        </w:tc>
        <w:tc>
          <w:tcPr>
            <w:tcW w:w="1220" w:type="dxa"/>
            <w:tcMar>
              <w:top w:w="160" w:type="dxa"/>
              <w:left w:w="240" w:type="dxa"/>
              <w:bottom w:w="160" w:type="dxa"/>
              <w:right w:w="240" w:type="dxa"/>
            </w:tcMar>
          </w:tcPr>
          <w:p w14:paraId="353E7A9F"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514.60</w:t>
            </w:r>
          </w:p>
        </w:tc>
        <w:tc>
          <w:tcPr>
            <w:tcW w:w="1220" w:type="dxa"/>
            <w:tcMar>
              <w:top w:w="160" w:type="dxa"/>
              <w:left w:w="240" w:type="dxa"/>
              <w:bottom w:w="160" w:type="dxa"/>
              <w:right w:w="240" w:type="dxa"/>
            </w:tcMar>
          </w:tcPr>
          <w:p w14:paraId="38F2F39D"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533.40</w:t>
            </w:r>
          </w:p>
        </w:tc>
        <w:tc>
          <w:tcPr>
            <w:tcW w:w="1221" w:type="dxa"/>
            <w:tcMar>
              <w:top w:w="160" w:type="dxa"/>
              <w:left w:w="240" w:type="dxa"/>
              <w:bottom w:w="160" w:type="dxa"/>
              <w:right w:w="240" w:type="dxa"/>
            </w:tcMar>
          </w:tcPr>
          <w:p w14:paraId="5B789D4F"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567.20</w:t>
            </w:r>
          </w:p>
        </w:tc>
        <w:tc>
          <w:tcPr>
            <w:tcW w:w="1221" w:type="dxa"/>
            <w:tcMar>
              <w:top w:w="160" w:type="dxa"/>
              <w:left w:w="240" w:type="dxa"/>
              <w:bottom w:w="160" w:type="dxa"/>
              <w:right w:w="240" w:type="dxa"/>
            </w:tcMar>
          </w:tcPr>
          <w:p w14:paraId="3D37C048"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503.40</w:t>
            </w:r>
          </w:p>
        </w:tc>
        <w:tc>
          <w:tcPr>
            <w:tcW w:w="1581" w:type="dxa"/>
            <w:tcMar>
              <w:top w:w="160" w:type="dxa"/>
              <w:left w:w="240" w:type="dxa"/>
              <w:bottom w:w="160" w:type="dxa"/>
              <w:right w:w="240" w:type="dxa"/>
            </w:tcMar>
          </w:tcPr>
          <w:p w14:paraId="1ED8692B"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602.67M</w:t>
            </w:r>
          </w:p>
        </w:tc>
        <w:tc>
          <w:tcPr>
            <w:tcW w:w="1334" w:type="dxa"/>
            <w:tcMar>
              <w:top w:w="160" w:type="dxa"/>
              <w:left w:w="240" w:type="dxa"/>
              <w:bottom w:w="160" w:type="dxa"/>
              <w:right w:w="240" w:type="dxa"/>
            </w:tcMar>
          </w:tcPr>
          <w:p w14:paraId="6F475662"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-2.46%</w:t>
            </w:r>
          </w:p>
        </w:tc>
      </w:tr>
      <w:tr w:rsidR="00213543" w14:paraId="39ADB2B2" w14:textId="77777777" w:rsidTr="004B3C48">
        <w:trPr>
          <w:trHeight w:val="789"/>
          <w:jc w:val="center"/>
        </w:trPr>
        <w:tc>
          <w:tcPr>
            <w:tcW w:w="1785" w:type="dxa"/>
            <w:tcMar>
              <w:top w:w="160" w:type="dxa"/>
              <w:left w:w="240" w:type="dxa"/>
              <w:bottom w:w="160" w:type="dxa"/>
              <w:right w:w="240" w:type="dxa"/>
            </w:tcMar>
          </w:tcPr>
          <w:p w14:paraId="414505B9"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lastRenderedPageBreak/>
              <w:t>Jan 2022</w:t>
            </w:r>
          </w:p>
        </w:tc>
        <w:tc>
          <w:tcPr>
            <w:tcW w:w="1220" w:type="dxa"/>
            <w:tcMar>
              <w:top w:w="160" w:type="dxa"/>
              <w:left w:w="240" w:type="dxa"/>
              <w:bottom w:w="160" w:type="dxa"/>
              <w:right w:w="240" w:type="dxa"/>
            </w:tcMar>
          </w:tcPr>
          <w:p w14:paraId="0FF95716"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527.60</w:t>
            </w:r>
          </w:p>
        </w:tc>
        <w:tc>
          <w:tcPr>
            <w:tcW w:w="1220" w:type="dxa"/>
            <w:tcMar>
              <w:top w:w="160" w:type="dxa"/>
              <w:left w:w="240" w:type="dxa"/>
              <w:bottom w:w="160" w:type="dxa"/>
              <w:right w:w="240" w:type="dxa"/>
            </w:tcMar>
          </w:tcPr>
          <w:p w14:paraId="6B8EA867"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456.90</w:t>
            </w:r>
          </w:p>
        </w:tc>
        <w:tc>
          <w:tcPr>
            <w:tcW w:w="1221" w:type="dxa"/>
            <w:tcMar>
              <w:top w:w="160" w:type="dxa"/>
              <w:left w:w="240" w:type="dxa"/>
              <w:bottom w:w="160" w:type="dxa"/>
              <w:right w:w="240" w:type="dxa"/>
            </w:tcMar>
          </w:tcPr>
          <w:p w14:paraId="5ADF6736"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547.03</w:t>
            </w:r>
          </w:p>
        </w:tc>
        <w:tc>
          <w:tcPr>
            <w:tcW w:w="1221" w:type="dxa"/>
            <w:tcMar>
              <w:top w:w="160" w:type="dxa"/>
              <w:left w:w="240" w:type="dxa"/>
              <w:bottom w:w="160" w:type="dxa"/>
              <w:right w:w="240" w:type="dxa"/>
            </w:tcMar>
          </w:tcPr>
          <w:p w14:paraId="47875CC1"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455.00</w:t>
            </w:r>
          </w:p>
        </w:tc>
        <w:tc>
          <w:tcPr>
            <w:tcW w:w="1581" w:type="dxa"/>
            <w:tcMar>
              <w:top w:w="160" w:type="dxa"/>
              <w:left w:w="240" w:type="dxa"/>
              <w:bottom w:w="160" w:type="dxa"/>
              <w:right w:w="240" w:type="dxa"/>
            </w:tcMar>
          </w:tcPr>
          <w:p w14:paraId="2EFE45A9"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634.34M</w:t>
            </w:r>
          </w:p>
        </w:tc>
        <w:tc>
          <w:tcPr>
            <w:tcW w:w="1334" w:type="dxa"/>
            <w:tcMar>
              <w:top w:w="160" w:type="dxa"/>
              <w:left w:w="240" w:type="dxa"/>
              <w:bottom w:w="160" w:type="dxa"/>
              <w:right w:w="240" w:type="dxa"/>
            </w:tcMar>
          </w:tcPr>
          <w:p w14:paraId="6BC32D4C" w14:textId="77777777" w:rsidR="004529AC" w:rsidRPr="004B3C48" w:rsidRDefault="00881BD2" w:rsidP="004B3C48">
            <w:pPr>
              <w:spacing w:line="360" w:lineRule="auto"/>
              <w:jc w:val="both"/>
              <w:rPr>
                <w:rFonts w:ascii="Times New Roman" w:eastAsia="Roboto" w:hAnsi="Times New Roman" w:cs="Times New Roman"/>
                <w:sz w:val="24"/>
                <w:szCs w:val="24"/>
                <w:highlight w:val="white"/>
              </w:rPr>
            </w:pPr>
            <w:r w:rsidRPr="004B3C48">
              <w:rPr>
                <w:rFonts w:ascii="Times New Roman" w:eastAsia="Roboto" w:hAnsi="Times New Roman" w:cs="Times New Roman"/>
                <w:sz w:val="24"/>
                <w:szCs w:val="24"/>
                <w:highlight w:val="white"/>
              </w:rPr>
              <w:t>17.60%</w:t>
            </w:r>
          </w:p>
        </w:tc>
      </w:tr>
    </w:tbl>
    <w:p w14:paraId="57AD3AB1" w14:textId="4CF6386C" w:rsidR="004529AC" w:rsidRPr="004B3C48" w:rsidRDefault="00881BD2" w:rsidP="004B3C48">
      <w:pPr>
        <w:spacing w:line="360" w:lineRule="auto"/>
        <w:jc w:val="center"/>
        <w:rPr>
          <w:rFonts w:ascii="Times New Roman" w:eastAsia="Times New Roman" w:hAnsi="Times New Roman" w:cs="Times New Roman"/>
          <w:b/>
          <w:bCs/>
          <w:sz w:val="24"/>
          <w:szCs w:val="24"/>
          <w:highlight w:val="white"/>
        </w:rPr>
      </w:pPr>
      <w:r w:rsidRPr="004B3C48">
        <w:rPr>
          <w:rFonts w:ascii="Times New Roman" w:eastAsia="Times New Roman" w:hAnsi="Times New Roman" w:cs="Times New Roman"/>
          <w:b/>
          <w:bCs/>
          <w:sz w:val="24"/>
          <w:szCs w:val="24"/>
          <w:highlight w:val="white"/>
        </w:rPr>
        <w:t>Table 1: Stock prices of HSBC for last six months</w:t>
      </w:r>
    </w:p>
    <w:p w14:paraId="1CDF7502" w14:textId="70F30ECF" w:rsidR="004B3C48" w:rsidRDefault="00881BD2" w:rsidP="004B3C48">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w:t>
      </w:r>
      <w:r w:rsidR="006E28D4" w:rsidRPr="006E28D4">
        <w:rPr>
          <w:color w:val="000000"/>
        </w:rPr>
        <w:t xml:space="preserve"> </w:t>
      </w:r>
      <w:r w:rsidR="006E28D4" w:rsidRPr="006E28D4">
        <w:rPr>
          <w:rFonts w:ascii="Times New Roman" w:hAnsi="Times New Roman" w:cs="Times New Roman"/>
          <w:color w:val="000000" w:themeColor="text1"/>
          <w:sz w:val="24"/>
          <w:szCs w:val="24"/>
        </w:rPr>
        <w:t>The Telegraph</w:t>
      </w:r>
      <w:r w:rsidRPr="006E28D4">
        <w:rPr>
          <w:rFonts w:ascii="Times New Roman" w:eastAsia="Times New Roman" w:hAnsi="Times New Roman" w:cs="Times New Roman"/>
          <w:color w:val="000000" w:themeColor="text1"/>
          <w:sz w:val="24"/>
          <w:szCs w:val="24"/>
          <w:highlight w:val="white"/>
        </w:rPr>
        <w:t>, 2022)</w:t>
      </w:r>
    </w:p>
    <w:p w14:paraId="4C431F33" w14:textId="07116011" w:rsidR="004B3C48" w:rsidRDefault="00881BD2" w:rsidP="004B3C48">
      <w:pPr>
        <w:spacing w:line="360" w:lineRule="auto"/>
        <w:rPr>
          <w:rFonts w:ascii="Times New Roman" w:eastAsia="Times New Roman" w:hAnsi="Times New Roman" w:cs="Times New Roman"/>
          <w:b/>
          <w:bCs/>
          <w:sz w:val="24"/>
          <w:szCs w:val="24"/>
          <w:highlight w:val="white"/>
        </w:rPr>
      </w:pPr>
      <w:r w:rsidRPr="004B3C48">
        <w:rPr>
          <w:rFonts w:ascii="Times New Roman" w:eastAsia="Times New Roman" w:hAnsi="Times New Roman" w:cs="Times New Roman"/>
          <w:b/>
          <w:bCs/>
          <w:sz w:val="24"/>
          <w:szCs w:val="24"/>
          <w:highlight w:val="white"/>
        </w:rPr>
        <w:t xml:space="preserve">The semi-strong form of </w:t>
      </w:r>
      <w:r w:rsidR="00813982">
        <w:rPr>
          <w:rFonts w:ascii="Times New Roman" w:eastAsia="Times New Roman" w:hAnsi="Times New Roman" w:cs="Times New Roman"/>
          <w:b/>
          <w:bCs/>
          <w:sz w:val="24"/>
          <w:szCs w:val="24"/>
          <w:highlight w:val="white"/>
        </w:rPr>
        <w:t>EMH</w:t>
      </w:r>
    </w:p>
    <w:p w14:paraId="02B36D18" w14:textId="35F6E235" w:rsidR="005F1E2B" w:rsidRDefault="00881BD2" w:rsidP="004B3C48">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this part, the latest public information regarding the stock prices of HSBC UK</w:t>
      </w:r>
      <w:r w:rsidR="000B4DEF">
        <w:rPr>
          <w:rFonts w:ascii="Times New Roman" w:eastAsia="Times New Roman" w:hAnsi="Times New Roman" w:cs="Times New Roman"/>
          <w:sz w:val="24"/>
          <w:szCs w:val="24"/>
          <w:highlight w:val="white"/>
        </w:rPr>
        <w:t xml:space="preserve">. The company operates with assets of 2.48 trillion (GBP) currently. Following financial measures give the citizens enough knowledge about investing in HSBC shares. Valuation metrics resemble that the shares of HSBC may have been overvalued, </w:t>
      </w:r>
      <w:r w:rsidR="00813982">
        <w:rPr>
          <w:rFonts w:ascii="Times New Roman" w:eastAsia="Times New Roman" w:hAnsi="Times New Roman" w:cs="Times New Roman"/>
          <w:sz w:val="24"/>
          <w:szCs w:val="24"/>
          <w:highlight w:val="white"/>
        </w:rPr>
        <w:t xml:space="preserve">the value score is not quite good for investors to choose this and the low growth score also tells that the company is not operating quite efficiently in the market. </w:t>
      </w:r>
    </w:p>
    <w:p w14:paraId="5B50EB63" w14:textId="326EA846" w:rsidR="00813982" w:rsidRDefault="00881BD2" w:rsidP="004B3C48">
      <w:pPr>
        <w:spacing w:line="360" w:lineRule="auto"/>
        <w:rPr>
          <w:rFonts w:ascii="Times New Roman" w:eastAsia="Times New Roman" w:hAnsi="Times New Roman" w:cs="Times New Roman"/>
          <w:b/>
          <w:bCs/>
          <w:sz w:val="24"/>
          <w:szCs w:val="24"/>
          <w:highlight w:val="white"/>
        </w:rPr>
      </w:pPr>
      <w:r w:rsidRPr="00813982">
        <w:rPr>
          <w:rFonts w:ascii="Times New Roman" w:eastAsia="Times New Roman" w:hAnsi="Times New Roman" w:cs="Times New Roman"/>
          <w:b/>
          <w:bCs/>
          <w:sz w:val="24"/>
          <w:szCs w:val="24"/>
          <w:highlight w:val="white"/>
        </w:rPr>
        <w:t>A strong form of EMH</w:t>
      </w:r>
      <w:r>
        <w:rPr>
          <w:rFonts w:ascii="Times New Roman" w:eastAsia="Times New Roman" w:hAnsi="Times New Roman" w:cs="Times New Roman"/>
          <w:b/>
          <w:bCs/>
          <w:sz w:val="24"/>
          <w:szCs w:val="24"/>
          <w:highlight w:val="white"/>
        </w:rPr>
        <w:t xml:space="preserve"> </w:t>
      </w:r>
    </w:p>
    <w:p w14:paraId="5A3A54ED" w14:textId="6E6561CD" w:rsidR="00813982" w:rsidRDefault="00881BD2" w:rsidP="004B3C48">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There is some private information regarding the stock prices of HSBC. The company in the UK has shown a positive trendline but historical prices of shares are not quite reliable in indicating future investment work of the company. The information regarding share prices </w:t>
      </w:r>
      <w:r w:rsidR="00BD197D">
        <w:rPr>
          <w:rFonts w:ascii="Times New Roman" w:eastAsia="Times New Roman" w:hAnsi="Times New Roman" w:cs="Times New Roman"/>
          <w:sz w:val="24"/>
          <w:szCs w:val="24"/>
          <w:highlight w:val="white"/>
        </w:rPr>
        <w:t>is</w:t>
      </w:r>
      <w:r>
        <w:rPr>
          <w:rFonts w:ascii="Times New Roman" w:eastAsia="Times New Roman" w:hAnsi="Times New Roman" w:cs="Times New Roman"/>
          <w:sz w:val="24"/>
          <w:szCs w:val="24"/>
          <w:highlight w:val="white"/>
        </w:rPr>
        <w:t xml:space="preserve"> given to the public only for informational regard, not regarding trading. </w:t>
      </w:r>
      <w:r w:rsidR="00BD197D">
        <w:rPr>
          <w:rFonts w:ascii="Times New Roman" w:eastAsia="Times New Roman" w:hAnsi="Times New Roman" w:cs="Times New Roman"/>
          <w:sz w:val="24"/>
          <w:szCs w:val="24"/>
          <w:highlight w:val="white"/>
        </w:rPr>
        <w:t xml:space="preserve">The share prices shown to the public only talk about the corporate actions during a particular period. </w:t>
      </w:r>
    </w:p>
    <w:p w14:paraId="4265F321" w14:textId="6EDB8BFC" w:rsidR="00BD197D" w:rsidRDefault="00881BD2" w:rsidP="00DC1B0B">
      <w:pPr>
        <w:pStyle w:val="Heading1"/>
        <w:rPr>
          <w:highlight w:val="white"/>
        </w:rPr>
      </w:pPr>
      <w:bookmarkStart w:id="4" w:name="_Toc109910318"/>
      <w:r w:rsidRPr="00BD197D">
        <w:rPr>
          <w:highlight w:val="white"/>
        </w:rPr>
        <w:t>HSBC’s methods of appraising projects</w:t>
      </w:r>
      <w:bookmarkEnd w:id="4"/>
    </w:p>
    <w:p w14:paraId="77963CAD" w14:textId="4AAC7C10" w:rsidR="005F3B38" w:rsidRPr="005F3B38" w:rsidRDefault="00881BD2" w:rsidP="004B3C48">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this assessment, out of all the methods taken by HSBC to appraise projects, an income statement for 2020 has been prepared. This financial analysis will talk about how well the company has dealt with the appraisal of projects.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649"/>
        <w:gridCol w:w="2215"/>
        <w:gridCol w:w="2275"/>
      </w:tblGrid>
      <w:tr w:rsidR="00213543" w14:paraId="43700099" w14:textId="77777777" w:rsidTr="005F3B38">
        <w:trPr>
          <w:trHeight w:val="428"/>
          <w:jc w:val="center"/>
        </w:trPr>
        <w:tc>
          <w:tcPr>
            <w:tcW w:w="8899" w:type="dxa"/>
            <w:gridSpan w:val="3"/>
            <w:tcMar>
              <w:top w:w="0" w:type="dxa"/>
              <w:left w:w="53" w:type="dxa"/>
              <w:bottom w:w="0" w:type="dxa"/>
              <w:right w:w="53" w:type="dxa"/>
            </w:tcMar>
            <w:vAlign w:val="bottom"/>
            <w:hideMark/>
          </w:tcPr>
          <w:p w14:paraId="0468CC3D" w14:textId="6297A681"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Income statement of HSBC, (2020 vs 2021)</w:t>
            </w:r>
          </w:p>
        </w:tc>
      </w:tr>
      <w:tr w:rsidR="00213543" w14:paraId="425256AF" w14:textId="77777777" w:rsidTr="005F3B38">
        <w:trPr>
          <w:trHeight w:val="278"/>
          <w:jc w:val="center"/>
        </w:trPr>
        <w:tc>
          <w:tcPr>
            <w:tcW w:w="4649" w:type="dxa"/>
            <w:vAlign w:val="bottom"/>
            <w:hideMark/>
          </w:tcPr>
          <w:p w14:paraId="3AD3CF84" w14:textId="77777777" w:rsidR="005F3B38" w:rsidRPr="005F3B38" w:rsidRDefault="005F3B38" w:rsidP="005F3B38">
            <w:pPr>
              <w:spacing w:line="360" w:lineRule="auto"/>
              <w:rPr>
                <w:rFonts w:ascii="Times New Roman" w:eastAsia="Times New Roman" w:hAnsi="Times New Roman" w:cs="Times New Roman"/>
                <w:color w:val="000000" w:themeColor="text1"/>
                <w:sz w:val="24"/>
                <w:szCs w:val="24"/>
                <w:lang w:val="en-US"/>
              </w:rPr>
            </w:pPr>
          </w:p>
        </w:tc>
        <w:tc>
          <w:tcPr>
            <w:tcW w:w="2096" w:type="dxa"/>
            <w:tcMar>
              <w:top w:w="0" w:type="dxa"/>
              <w:left w:w="0" w:type="dxa"/>
              <w:bottom w:w="0" w:type="dxa"/>
              <w:right w:w="53" w:type="dxa"/>
            </w:tcMar>
            <w:hideMark/>
          </w:tcPr>
          <w:p w14:paraId="6ACCBDF0"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2021</w:t>
            </w:r>
          </w:p>
        </w:tc>
        <w:tc>
          <w:tcPr>
            <w:tcW w:w="2153" w:type="dxa"/>
            <w:tcMar>
              <w:top w:w="0" w:type="dxa"/>
              <w:left w:w="0" w:type="dxa"/>
              <w:bottom w:w="0" w:type="dxa"/>
              <w:right w:w="53" w:type="dxa"/>
            </w:tcMar>
            <w:vAlign w:val="bottom"/>
            <w:hideMark/>
          </w:tcPr>
          <w:p w14:paraId="4B9F88DD"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2020</w:t>
            </w:r>
          </w:p>
        </w:tc>
      </w:tr>
      <w:tr w:rsidR="00213543" w14:paraId="3B1A8833" w14:textId="77777777" w:rsidTr="005F3B38">
        <w:trPr>
          <w:trHeight w:val="278"/>
          <w:jc w:val="center"/>
        </w:trPr>
        <w:tc>
          <w:tcPr>
            <w:tcW w:w="4649" w:type="dxa"/>
            <w:vAlign w:val="bottom"/>
            <w:hideMark/>
          </w:tcPr>
          <w:p w14:paraId="6BD44D97" w14:textId="77777777" w:rsidR="005F3B38" w:rsidRPr="005F3B38" w:rsidRDefault="005F3B38" w:rsidP="005F3B38">
            <w:pPr>
              <w:spacing w:line="360" w:lineRule="auto"/>
              <w:rPr>
                <w:rFonts w:ascii="Times New Roman" w:eastAsia="Times New Roman" w:hAnsi="Times New Roman" w:cs="Times New Roman"/>
                <w:color w:val="000000" w:themeColor="text1"/>
                <w:sz w:val="24"/>
                <w:szCs w:val="24"/>
                <w:lang w:val="en-US"/>
              </w:rPr>
            </w:pPr>
          </w:p>
        </w:tc>
        <w:tc>
          <w:tcPr>
            <w:tcW w:w="2096" w:type="dxa"/>
            <w:tcMar>
              <w:top w:w="0" w:type="dxa"/>
              <w:left w:w="0" w:type="dxa"/>
              <w:bottom w:w="0" w:type="dxa"/>
              <w:right w:w="53" w:type="dxa"/>
            </w:tcMar>
            <w:hideMark/>
          </w:tcPr>
          <w:p w14:paraId="4AB187C6"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£m</w:t>
            </w:r>
          </w:p>
        </w:tc>
        <w:tc>
          <w:tcPr>
            <w:tcW w:w="2153" w:type="dxa"/>
            <w:tcMar>
              <w:top w:w="0" w:type="dxa"/>
              <w:left w:w="0" w:type="dxa"/>
              <w:bottom w:w="0" w:type="dxa"/>
              <w:right w:w="53" w:type="dxa"/>
            </w:tcMar>
            <w:vAlign w:val="bottom"/>
            <w:hideMark/>
          </w:tcPr>
          <w:p w14:paraId="17B2A2C1"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£m</w:t>
            </w:r>
          </w:p>
        </w:tc>
      </w:tr>
      <w:tr w:rsidR="00213543" w14:paraId="3AC16101" w14:textId="77777777" w:rsidTr="005F3B38">
        <w:trPr>
          <w:trHeight w:val="278"/>
          <w:jc w:val="center"/>
        </w:trPr>
        <w:tc>
          <w:tcPr>
            <w:tcW w:w="4649" w:type="dxa"/>
            <w:tcMar>
              <w:top w:w="0" w:type="dxa"/>
              <w:left w:w="53" w:type="dxa"/>
              <w:bottom w:w="0" w:type="dxa"/>
              <w:right w:w="53" w:type="dxa"/>
            </w:tcMar>
            <w:hideMark/>
          </w:tcPr>
          <w:p w14:paraId="03E7EE50"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Net interest income</w:t>
            </w:r>
          </w:p>
        </w:tc>
        <w:tc>
          <w:tcPr>
            <w:tcW w:w="2096" w:type="dxa"/>
            <w:tcMar>
              <w:top w:w="0" w:type="dxa"/>
              <w:left w:w="0" w:type="dxa"/>
              <w:bottom w:w="0" w:type="dxa"/>
              <w:right w:w="15" w:type="dxa"/>
            </w:tcMar>
            <w:hideMark/>
          </w:tcPr>
          <w:p w14:paraId="73AE281C"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1,754  </w:t>
            </w:r>
          </w:p>
        </w:tc>
        <w:tc>
          <w:tcPr>
            <w:tcW w:w="2153" w:type="dxa"/>
            <w:tcMar>
              <w:top w:w="0" w:type="dxa"/>
              <w:left w:w="0" w:type="dxa"/>
              <w:bottom w:w="0" w:type="dxa"/>
              <w:right w:w="15" w:type="dxa"/>
            </w:tcMar>
            <w:hideMark/>
          </w:tcPr>
          <w:p w14:paraId="7B45AB16"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1,898 </w:t>
            </w:r>
          </w:p>
        </w:tc>
      </w:tr>
      <w:tr w:rsidR="00213543" w14:paraId="1777D68A" w14:textId="77777777" w:rsidTr="005F3B38">
        <w:trPr>
          <w:trHeight w:val="278"/>
          <w:jc w:val="center"/>
        </w:trPr>
        <w:tc>
          <w:tcPr>
            <w:tcW w:w="4649" w:type="dxa"/>
            <w:tcMar>
              <w:top w:w="0" w:type="dxa"/>
              <w:left w:w="53" w:type="dxa"/>
              <w:bottom w:w="0" w:type="dxa"/>
              <w:right w:w="53" w:type="dxa"/>
            </w:tcMar>
            <w:hideMark/>
          </w:tcPr>
          <w:p w14:paraId="27B34080"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Net fee income</w:t>
            </w:r>
          </w:p>
        </w:tc>
        <w:tc>
          <w:tcPr>
            <w:tcW w:w="2096" w:type="dxa"/>
            <w:tcMar>
              <w:top w:w="0" w:type="dxa"/>
              <w:left w:w="0" w:type="dxa"/>
              <w:bottom w:w="0" w:type="dxa"/>
              <w:right w:w="15" w:type="dxa"/>
            </w:tcMar>
            <w:hideMark/>
          </w:tcPr>
          <w:p w14:paraId="22BE3FE0"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1,413  </w:t>
            </w:r>
          </w:p>
        </w:tc>
        <w:tc>
          <w:tcPr>
            <w:tcW w:w="2153" w:type="dxa"/>
            <w:tcMar>
              <w:top w:w="0" w:type="dxa"/>
              <w:left w:w="0" w:type="dxa"/>
              <w:bottom w:w="0" w:type="dxa"/>
              <w:right w:w="15" w:type="dxa"/>
            </w:tcMar>
            <w:hideMark/>
          </w:tcPr>
          <w:p w14:paraId="77A531E3"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1,400 </w:t>
            </w:r>
          </w:p>
        </w:tc>
      </w:tr>
      <w:tr w:rsidR="00213543" w14:paraId="403EB71B" w14:textId="77777777" w:rsidTr="005F3B38">
        <w:trPr>
          <w:trHeight w:val="278"/>
          <w:jc w:val="center"/>
        </w:trPr>
        <w:tc>
          <w:tcPr>
            <w:tcW w:w="4649" w:type="dxa"/>
            <w:tcMar>
              <w:top w:w="0" w:type="dxa"/>
              <w:left w:w="53" w:type="dxa"/>
              <w:bottom w:w="0" w:type="dxa"/>
              <w:right w:w="53" w:type="dxa"/>
            </w:tcMar>
            <w:hideMark/>
          </w:tcPr>
          <w:p w14:paraId="6B6E3662"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Net income from financial instruments measured at fair value</w:t>
            </w:r>
          </w:p>
        </w:tc>
        <w:tc>
          <w:tcPr>
            <w:tcW w:w="2096" w:type="dxa"/>
            <w:tcMar>
              <w:top w:w="0" w:type="dxa"/>
              <w:left w:w="0" w:type="dxa"/>
              <w:bottom w:w="0" w:type="dxa"/>
              <w:right w:w="15" w:type="dxa"/>
            </w:tcMar>
            <w:hideMark/>
          </w:tcPr>
          <w:p w14:paraId="7E294E06"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3,432  </w:t>
            </w:r>
          </w:p>
        </w:tc>
        <w:tc>
          <w:tcPr>
            <w:tcW w:w="2153" w:type="dxa"/>
            <w:tcMar>
              <w:top w:w="0" w:type="dxa"/>
              <w:left w:w="0" w:type="dxa"/>
              <w:bottom w:w="0" w:type="dxa"/>
              <w:right w:w="15" w:type="dxa"/>
            </w:tcMar>
            <w:hideMark/>
          </w:tcPr>
          <w:p w14:paraId="11A34946"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2,314 </w:t>
            </w:r>
          </w:p>
        </w:tc>
      </w:tr>
      <w:tr w:rsidR="00213543" w14:paraId="29C49F02" w14:textId="77777777" w:rsidTr="005F3B38">
        <w:trPr>
          <w:trHeight w:val="278"/>
          <w:jc w:val="center"/>
        </w:trPr>
        <w:tc>
          <w:tcPr>
            <w:tcW w:w="4649" w:type="dxa"/>
            <w:tcMar>
              <w:top w:w="0" w:type="dxa"/>
              <w:left w:w="53" w:type="dxa"/>
              <w:bottom w:w="0" w:type="dxa"/>
              <w:right w:w="53" w:type="dxa"/>
            </w:tcMar>
            <w:hideMark/>
          </w:tcPr>
          <w:p w14:paraId="410354E2"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Gains fewer losses from financial investments</w:t>
            </w:r>
          </w:p>
        </w:tc>
        <w:tc>
          <w:tcPr>
            <w:tcW w:w="2096" w:type="dxa"/>
            <w:tcMar>
              <w:top w:w="0" w:type="dxa"/>
              <w:left w:w="0" w:type="dxa"/>
              <w:bottom w:w="0" w:type="dxa"/>
              <w:right w:w="15" w:type="dxa"/>
            </w:tcMar>
            <w:hideMark/>
          </w:tcPr>
          <w:p w14:paraId="37DC4648"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60 </w:t>
            </w:r>
          </w:p>
        </w:tc>
        <w:tc>
          <w:tcPr>
            <w:tcW w:w="2153" w:type="dxa"/>
            <w:tcMar>
              <w:top w:w="0" w:type="dxa"/>
              <w:left w:w="0" w:type="dxa"/>
              <w:bottom w:w="0" w:type="dxa"/>
              <w:right w:w="15" w:type="dxa"/>
            </w:tcMar>
            <w:hideMark/>
          </w:tcPr>
          <w:p w14:paraId="18810C61"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95</w:t>
            </w:r>
          </w:p>
        </w:tc>
      </w:tr>
      <w:tr w:rsidR="00213543" w14:paraId="1A70280B" w14:textId="77777777" w:rsidTr="005F3B38">
        <w:trPr>
          <w:trHeight w:val="278"/>
          <w:jc w:val="center"/>
        </w:trPr>
        <w:tc>
          <w:tcPr>
            <w:tcW w:w="4649" w:type="dxa"/>
            <w:tcMar>
              <w:top w:w="0" w:type="dxa"/>
              <w:left w:w="53" w:type="dxa"/>
              <w:bottom w:w="0" w:type="dxa"/>
              <w:right w:w="53" w:type="dxa"/>
            </w:tcMar>
            <w:vAlign w:val="center"/>
            <w:hideMark/>
          </w:tcPr>
          <w:p w14:paraId="7714EB49"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lastRenderedPageBreak/>
              <w:t>Net insurance premium income</w:t>
            </w:r>
          </w:p>
        </w:tc>
        <w:tc>
          <w:tcPr>
            <w:tcW w:w="2096" w:type="dxa"/>
            <w:tcMar>
              <w:top w:w="0" w:type="dxa"/>
              <w:left w:w="0" w:type="dxa"/>
              <w:bottom w:w="0" w:type="dxa"/>
              <w:right w:w="15" w:type="dxa"/>
            </w:tcMar>
            <w:hideMark/>
          </w:tcPr>
          <w:p w14:paraId="78934E5F"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1,906  </w:t>
            </w:r>
          </w:p>
        </w:tc>
        <w:tc>
          <w:tcPr>
            <w:tcW w:w="2153" w:type="dxa"/>
            <w:tcMar>
              <w:top w:w="0" w:type="dxa"/>
              <w:left w:w="0" w:type="dxa"/>
              <w:bottom w:w="0" w:type="dxa"/>
              <w:right w:w="15" w:type="dxa"/>
            </w:tcMar>
            <w:hideMark/>
          </w:tcPr>
          <w:p w14:paraId="46328048"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1,559 </w:t>
            </w:r>
          </w:p>
        </w:tc>
      </w:tr>
      <w:tr w:rsidR="00213543" w14:paraId="21AAB8F6" w14:textId="77777777" w:rsidTr="005F3B38">
        <w:trPr>
          <w:trHeight w:val="278"/>
          <w:jc w:val="center"/>
        </w:trPr>
        <w:tc>
          <w:tcPr>
            <w:tcW w:w="4649" w:type="dxa"/>
            <w:tcMar>
              <w:top w:w="0" w:type="dxa"/>
              <w:left w:w="53" w:type="dxa"/>
              <w:bottom w:w="0" w:type="dxa"/>
              <w:right w:w="53" w:type="dxa"/>
            </w:tcMar>
            <w:vAlign w:val="center"/>
            <w:hideMark/>
          </w:tcPr>
          <w:p w14:paraId="5BBCF853"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Other operating income</w:t>
            </w:r>
          </w:p>
        </w:tc>
        <w:tc>
          <w:tcPr>
            <w:tcW w:w="2096" w:type="dxa"/>
            <w:tcMar>
              <w:top w:w="0" w:type="dxa"/>
              <w:left w:w="0" w:type="dxa"/>
              <w:bottom w:w="0" w:type="dxa"/>
              <w:right w:w="15" w:type="dxa"/>
            </w:tcMar>
            <w:hideMark/>
          </w:tcPr>
          <w:p w14:paraId="7B8F692E"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594 </w:t>
            </w:r>
          </w:p>
        </w:tc>
        <w:tc>
          <w:tcPr>
            <w:tcW w:w="2153" w:type="dxa"/>
            <w:tcMar>
              <w:top w:w="0" w:type="dxa"/>
              <w:left w:w="0" w:type="dxa"/>
              <w:bottom w:w="0" w:type="dxa"/>
              <w:right w:w="15" w:type="dxa"/>
            </w:tcMar>
            <w:hideMark/>
          </w:tcPr>
          <w:p w14:paraId="47C31288"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417</w:t>
            </w:r>
          </w:p>
        </w:tc>
      </w:tr>
      <w:tr w:rsidR="00213543" w14:paraId="4271B79E" w14:textId="77777777" w:rsidTr="005F3B38">
        <w:trPr>
          <w:trHeight w:val="278"/>
          <w:jc w:val="center"/>
        </w:trPr>
        <w:tc>
          <w:tcPr>
            <w:tcW w:w="4649" w:type="dxa"/>
            <w:tcMar>
              <w:top w:w="0" w:type="dxa"/>
              <w:left w:w="53" w:type="dxa"/>
              <w:bottom w:w="0" w:type="dxa"/>
              <w:right w:w="53" w:type="dxa"/>
            </w:tcMar>
            <w:hideMark/>
          </w:tcPr>
          <w:p w14:paraId="2D8668C5" w14:textId="77777777" w:rsidR="005F3B38" w:rsidRPr="005F3B38" w:rsidRDefault="00881BD2" w:rsidP="005F3B38">
            <w:pPr>
              <w:spacing w:line="360" w:lineRule="auto"/>
              <w:rPr>
                <w:rFonts w:ascii="Times New Roman" w:eastAsia="Times New Roman" w:hAnsi="Times New Roman" w:cs="Times New Roman"/>
                <w:b/>
                <w:bCs/>
                <w:color w:val="000000" w:themeColor="text1"/>
                <w:sz w:val="24"/>
                <w:szCs w:val="24"/>
                <w:lang w:val="en-US"/>
              </w:rPr>
            </w:pPr>
            <w:r w:rsidRPr="005F3B38">
              <w:rPr>
                <w:rFonts w:ascii="Times New Roman" w:eastAsia="Times New Roman" w:hAnsi="Times New Roman" w:cs="Times New Roman"/>
                <w:b/>
                <w:bCs/>
                <w:color w:val="000000" w:themeColor="text1"/>
                <w:sz w:val="24"/>
                <w:szCs w:val="24"/>
                <w:lang w:val="en-US"/>
              </w:rPr>
              <w:t>Total operating income</w:t>
            </w:r>
            <w:r w:rsidRPr="005F3B38">
              <w:rPr>
                <w:rFonts w:ascii="Times New Roman" w:eastAsia="Times New Roman" w:hAnsi="Times New Roman" w:cs="Times New Roman"/>
                <w:b/>
                <w:bCs/>
                <w:color w:val="000000" w:themeColor="text1"/>
                <w:sz w:val="24"/>
                <w:szCs w:val="24"/>
                <w:vertAlign w:val="superscript"/>
                <w:lang w:val="en-US"/>
              </w:rPr>
              <w:t>1</w:t>
            </w:r>
          </w:p>
        </w:tc>
        <w:tc>
          <w:tcPr>
            <w:tcW w:w="2096" w:type="dxa"/>
            <w:tcMar>
              <w:top w:w="0" w:type="dxa"/>
              <w:left w:w="0" w:type="dxa"/>
              <w:bottom w:w="0" w:type="dxa"/>
              <w:right w:w="15" w:type="dxa"/>
            </w:tcMar>
            <w:hideMark/>
          </w:tcPr>
          <w:p w14:paraId="186E1846"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9,159  </w:t>
            </w:r>
          </w:p>
        </w:tc>
        <w:tc>
          <w:tcPr>
            <w:tcW w:w="2153" w:type="dxa"/>
            <w:tcMar>
              <w:top w:w="0" w:type="dxa"/>
              <w:left w:w="0" w:type="dxa"/>
              <w:bottom w:w="0" w:type="dxa"/>
              <w:right w:w="15" w:type="dxa"/>
            </w:tcMar>
            <w:hideMark/>
          </w:tcPr>
          <w:p w14:paraId="52A5EC93"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7,683 </w:t>
            </w:r>
          </w:p>
        </w:tc>
      </w:tr>
      <w:tr w:rsidR="00213543" w14:paraId="4941C234" w14:textId="77777777" w:rsidTr="005F3B38">
        <w:trPr>
          <w:trHeight w:val="278"/>
          <w:jc w:val="center"/>
        </w:trPr>
        <w:tc>
          <w:tcPr>
            <w:tcW w:w="4649" w:type="dxa"/>
            <w:tcMar>
              <w:top w:w="0" w:type="dxa"/>
              <w:left w:w="53" w:type="dxa"/>
              <w:bottom w:w="0" w:type="dxa"/>
              <w:right w:w="53" w:type="dxa"/>
            </w:tcMar>
            <w:vAlign w:val="center"/>
            <w:hideMark/>
          </w:tcPr>
          <w:p w14:paraId="1F9DF7AD"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Net insurance claims, benefits paid, and movement in liabilities to policyholders</w:t>
            </w:r>
          </w:p>
        </w:tc>
        <w:tc>
          <w:tcPr>
            <w:tcW w:w="2096" w:type="dxa"/>
            <w:tcMar>
              <w:top w:w="0" w:type="dxa"/>
              <w:left w:w="0" w:type="dxa"/>
              <w:bottom w:w="0" w:type="dxa"/>
              <w:right w:w="15" w:type="dxa"/>
            </w:tcMar>
            <w:hideMark/>
          </w:tcPr>
          <w:p w14:paraId="0A336212"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(3,039)</w:t>
            </w:r>
          </w:p>
        </w:tc>
        <w:tc>
          <w:tcPr>
            <w:tcW w:w="2153" w:type="dxa"/>
            <w:tcMar>
              <w:top w:w="0" w:type="dxa"/>
              <w:left w:w="0" w:type="dxa"/>
              <w:bottom w:w="0" w:type="dxa"/>
              <w:right w:w="15" w:type="dxa"/>
            </w:tcMar>
            <w:hideMark/>
          </w:tcPr>
          <w:p w14:paraId="7046052F"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(1,783)</w:t>
            </w:r>
          </w:p>
        </w:tc>
      </w:tr>
      <w:tr w:rsidR="00213543" w14:paraId="43C70132" w14:textId="77777777" w:rsidTr="005F3B38">
        <w:trPr>
          <w:trHeight w:val="278"/>
          <w:jc w:val="center"/>
        </w:trPr>
        <w:tc>
          <w:tcPr>
            <w:tcW w:w="4649" w:type="dxa"/>
            <w:tcMar>
              <w:top w:w="0" w:type="dxa"/>
              <w:left w:w="53" w:type="dxa"/>
              <w:bottom w:w="0" w:type="dxa"/>
              <w:right w:w="53" w:type="dxa"/>
            </w:tcMar>
            <w:vAlign w:val="center"/>
            <w:hideMark/>
          </w:tcPr>
          <w:p w14:paraId="7AC40E8B" w14:textId="77777777" w:rsidR="005F3B38" w:rsidRPr="005F3B38" w:rsidRDefault="00881BD2" w:rsidP="005F3B38">
            <w:pPr>
              <w:spacing w:line="360" w:lineRule="auto"/>
              <w:rPr>
                <w:rFonts w:ascii="Times New Roman" w:eastAsia="Times New Roman" w:hAnsi="Times New Roman" w:cs="Times New Roman"/>
                <w:b/>
                <w:bCs/>
                <w:color w:val="000000" w:themeColor="text1"/>
                <w:sz w:val="24"/>
                <w:szCs w:val="24"/>
                <w:lang w:val="en-US"/>
              </w:rPr>
            </w:pPr>
            <w:r w:rsidRPr="005F3B38">
              <w:rPr>
                <w:rFonts w:ascii="Times New Roman" w:eastAsia="Times New Roman" w:hAnsi="Times New Roman" w:cs="Times New Roman"/>
                <w:b/>
                <w:bCs/>
                <w:color w:val="000000" w:themeColor="text1"/>
                <w:sz w:val="24"/>
                <w:szCs w:val="24"/>
                <w:lang w:val="en-US"/>
              </w:rPr>
              <w:t>Net operating income before the change in expected credit losses and other credit impairment charges</w:t>
            </w:r>
            <w:r w:rsidRPr="005F3B38">
              <w:rPr>
                <w:rFonts w:ascii="Times New Roman" w:eastAsia="Times New Roman" w:hAnsi="Times New Roman" w:cs="Times New Roman"/>
                <w:b/>
                <w:bCs/>
                <w:color w:val="000000" w:themeColor="text1"/>
                <w:sz w:val="24"/>
                <w:szCs w:val="24"/>
                <w:vertAlign w:val="superscript"/>
                <w:lang w:val="en-US"/>
              </w:rPr>
              <w:t>1</w:t>
            </w:r>
          </w:p>
        </w:tc>
        <w:tc>
          <w:tcPr>
            <w:tcW w:w="2096" w:type="dxa"/>
            <w:tcMar>
              <w:top w:w="0" w:type="dxa"/>
              <w:left w:w="0" w:type="dxa"/>
              <w:bottom w:w="0" w:type="dxa"/>
              <w:right w:w="15" w:type="dxa"/>
            </w:tcMar>
            <w:hideMark/>
          </w:tcPr>
          <w:p w14:paraId="4E6ED98A"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6,120  </w:t>
            </w:r>
          </w:p>
        </w:tc>
        <w:tc>
          <w:tcPr>
            <w:tcW w:w="2153" w:type="dxa"/>
            <w:tcMar>
              <w:top w:w="0" w:type="dxa"/>
              <w:left w:w="0" w:type="dxa"/>
              <w:bottom w:w="0" w:type="dxa"/>
              <w:right w:w="15" w:type="dxa"/>
            </w:tcMar>
            <w:hideMark/>
          </w:tcPr>
          <w:p w14:paraId="0D9C6478"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5,900 </w:t>
            </w:r>
          </w:p>
        </w:tc>
      </w:tr>
      <w:tr w:rsidR="00213543" w14:paraId="7D95062A" w14:textId="77777777" w:rsidTr="005F3B38">
        <w:trPr>
          <w:trHeight w:val="278"/>
          <w:jc w:val="center"/>
        </w:trPr>
        <w:tc>
          <w:tcPr>
            <w:tcW w:w="4649" w:type="dxa"/>
            <w:tcMar>
              <w:top w:w="0" w:type="dxa"/>
              <w:left w:w="53" w:type="dxa"/>
              <w:bottom w:w="0" w:type="dxa"/>
              <w:right w:w="53" w:type="dxa"/>
            </w:tcMar>
            <w:hideMark/>
          </w:tcPr>
          <w:p w14:paraId="4485BE72"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Change in expected credit losses and other credit impairment charges</w:t>
            </w:r>
          </w:p>
        </w:tc>
        <w:tc>
          <w:tcPr>
            <w:tcW w:w="2096" w:type="dxa"/>
            <w:tcMar>
              <w:top w:w="0" w:type="dxa"/>
              <w:left w:w="0" w:type="dxa"/>
              <w:bottom w:w="0" w:type="dxa"/>
              <w:right w:w="15" w:type="dxa"/>
            </w:tcMar>
            <w:hideMark/>
          </w:tcPr>
          <w:p w14:paraId="59E7E8BD"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174 </w:t>
            </w:r>
          </w:p>
        </w:tc>
        <w:tc>
          <w:tcPr>
            <w:tcW w:w="2153" w:type="dxa"/>
            <w:tcMar>
              <w:top w:w="0" w:type="dxa"/>
              <w:left w:w="0" w:type="dxa"/>
              <w:bottom w:w="0" w:type="dxa"/>
              <w:right w:w="15" w:type="dxa"/>
            </w:tcMar>
            <w:hideMark/>
          </w:tcPr>
          <w:p w14:paraId="30D885E2"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(808)</w:t>
            </w:r>
          </w:p>
        </w:tc>
      </w:tr>
      <w:tr w:rsidR="00213543" w14:paraId="4540DBB1" w14:textId="77777777" w:rsidTr="005F3B38">
        <w:trPr>
          <w:trHeight w:val="278"/>
          <w:jc w:val="center"/>
        </w:trPr>
        <w:tc>
          <w:tcPr>
            <w:tcW w:w="4649" w:type="dxa"/>
            <w:tcMar>
              <w:top w:w="0" w:type="dxa"/>
              <w:left w:w="53" w:type="dxa"/>
              <w:bottom w:w="0" w:type="dxa"/>
              <w:right w:w="53" w:type="dxa"/>
            </w:tcMar>
            <w:vAlign w:val="center"/>
            <w:hideMark/>
          </w:tcPr>
          <w:p w14:paraId="591A7C02" w14:textId="77777777" w:rsidR="005F3B38" w:rsidRPr="005F3B38" w:rsidRDefault="00881BD2" w:rsidP="005F3B38">
            <w:pPr>
              <w:spacing w:line="360" w:lineRule="auto"/>
              <w:rPr>
                <w:rFonts w:ascii="Times New Roman" w:eastAsia="Times New Roman" w:hAnsi="Times New Roman" w:cs="Times New Roman"/>
                <w:b/>
                <w:bCs/>
                <w:color w:val="000000" w:themeColor="text1"/>
                <w:sz w:val="24"/>
                <w:szCs w:val="24"/>
                <w:lang w:val="en-US"/>
              </w:rPr>
            </w:pPr>
            <w:r w:rsidRPr="005F3B38">
              <w:rPr>
                <w:rFonts w:ascii="Times New Roman" w:eastAsia="Times New Roman" w:hAnsi="Times New Roman" w:cs="Times New Roman"/>
                <w:b/>
                <w:bCs/>
                <w:color w:val="000000" w:themeColor="text1"/>
                <w:sz w:val="24"/>
                <w:szCs w:val="24"/>
                <w:lang w:val="en-US"/>
              </w:rPr>
              <w:t>Net operating income</w:t>
            </w:r>
          </w:p>
        </w:tc>
        <w:tc>
          <w:tcPr>
            <w:tcW w:w="2096" w:type="dxa"/>
            <w:tcMar>
              <w:top w:w="0" w:type="dxa"/>
              <w:left w:w="0" w:type="dxa"/>
              <w:bottom w:w="0" w:type="dxa"/>
              <w:right w:w="15" w:type="dxa"/>
            </w:tcMar>
            <w:vAlign w:val="center"/>
            <w:hideMark/>
          </w:tcPr>
          <w:p w14:paraId="68143137"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6,294  </w:t>
            </w:r>
          </w:p>
        </w:tc>
        <w:tc>
          <w:tcPr>
            <w:tcW w:w="2153" w:type="dxa"/>
            <w:tcMar>
              <w:top w:w="0" w:type="dxa"/>
              <w:left w:w="0" w:type="dxa"/>
              <w:bottom w:w="0" w:type="dxa"/>
              <w:right w:w="15" w:type="dxa"/>
            </w:tcMar>
            <w:hideMark/>
          </w:tcPr>
          <w:p w14:paraId="69B0F8AC"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5,092 </w:t>
            </w:r>
          </w:p>
        </w:tc>
      </w:tr>
      <w:tr w:rsidR="00213543" w14:paraId="68C145A0" w14:textId="77777777" w:rsidTr="005F3B38">
        <w:trPr>
          <w:trHeight w:val="278"/>
          <w:jc w:val="center"/>
        </w:trPr>
        <w:tc>
          <w:tcPr>
            <w:tcW w:w="4649" w:type="dxa"/>
            <w:tcMar>
              <w:top w:w="0" w:type="dxa"/>
              <w:left w:w="53" w:type="dxa"/>
              <w:bottom w:w="0" w:type="dxa"/>
              <w:right w:w="53" w:type="dxa"/>
            </w:tcMar>
            <w:vAlign w:val="center"/>
            <w:hideMark/>
          </w:tcPr>
          <w:p w14:paraId="6438DCC8" w14:textId="77777777" w:rsidR="005F3B38" w:rsidRPr="005F3B38" w:rsidRDefault="00881BD2" w:rsidP="005F3B38">
            <w:pPr>
              <w:spacing w:line="360" w:lineRule="auto"/>
              <w:rPr>
                <w:rFonts w:ascii="Times New Roman" w:eastAsia="Times New Roman" w:hAnsi="Times New Roman" w:cs="Times New Roman"/>
                <w:b/>
                <w:bCs/>
                <w:color w:val="000000" w:themeColor="text1"/>
                <w:sz w:val="24"/>
                <w:szCs w:val="24"/>
                <w:lang w:val="en-US"/>
              </w:rPr>
            </w:pPr>
            <w:r w:rsidRPr="005F3B38">
              <w:rPr>
                <w:rFonts w:ascii="Times New Roman" w:eastAsia="Times New Roman" w:hAnsi="Times New Roman" w:cs="Times New Roman"/>
                <w:b/>
                <w:bCs/>
                <w:color w:val="000000" w:themeColor="text1"/>
                <w:sz w:val="24"/>
                <w:szCs w:val="24"/>
                <w:lang w:val="en-US"/>
              </w:rPr>
              <w:t>Total operating expenses excluding impairment of goodwill and other intangible assets</w:t>
            </w:r>
            <w:r w:rsidRPr="005F3B38">
              <w:rPr>
                <w:rFonts w:ascii="Times New Roman" w:eastAsia="Times New Roman" w:hAnsi="Times New Roman" w:cs="Times New Roman"/>
                <w:b/>
                <w:bCs/>
                <w:color w:val="000000" w:themeColor="text1"/>
                <w:sz w:val="24"/>
                <w:szCs w:val="24"/>
                <w:vertAlign w:val="superscript"/>
                <w:lang w:val="en-US"/>
              </w:rPr>
              <w:t>2</w:t>
            </w:r>
          </w:p>
        </w:tc>
        <w:tc>
          <w:tcPr>
            <w:tcW w:w="2096" w:type="dxa"/>
            <w:tcMar>
              <w:top w:w="0" w:type="dxa"/>
              <w:left w:w="0" w:type="dxa"/>
              <w:bottom w:w="0" w:type="dxa"/>
              <w:right w:w="15" w:type="dxa"/>
            </w:tcMar>
            <w:vAlign w:val="center"/>
            <w:hideMark/>
          </w:tcPr>
          <w:p w14:paraId="747AC96F"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(5,416)</w:t>
            </w:r>
          </w:p>
        </w:tc>
        <w:tc>
          <w:tcPr>
            <w:tcW w:w="2153" w:type="dxa"/>
            <w:tcMar>
              <w:top w:w="0" w:type="dxa"/>
              <w:left w:w="0" w:type="dxa"/>
              <w:bottom w:w="0" w:type="dxa"/>
              <w:right w:w="15" w:type="dxa"/>
            </w:tcMar>
            <w:hideMark/>
          </w:tcPr>
          <w:p w14:paraId="258E8CEE"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(5,903)</w:t>
            </w:r>
          </w:p>
        </w:tc>
      </w:tr>
      <w:tr w:rsidR="00213543" w14:paraId="24676933" w14:textId="77777777" w:rsidTr="005F3B38">
        <w:trPr>
          <w:trHeight w:val="278"/>
          <w:jc w:val="center"/>
        </w:trPr>
        <w:tc>
          <w:tcPr>
            <w:tcW w:w="4649" w:type="dxa"/>
            <w:tcMar>
              <w:top w:w="0" w:type="dxa"/>
              <w:left w:w="53" w:type="dxa"/>
              <w:bottom w:w="0" w:type="dxa"/>
              <w:right w:w="53" w:type="dxa"/>
            </w:tcMar>
            <w:vAlign w:val="center"/>
            <w:hideMark/>
          </w:tcPr>
          <w:p w14:paraId="5998E9AF"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Impairment of goodwill and other intangible assets</w:t>
            </w:r>
          </w:p>
        </w:tc>
        <w:tc>
          <w:tcPr>
            <w:tcW w:w="2096" w:type="dxa"/>
            <w:tcMar>
              <w:top w:w="0" w:type="dxa"/>
              <w:left w:w="0" w:type="dxa"/>
              <w:bottom w:w="0" w:type="dxa"/>
              <w:right w:w="15" w:type="dxa"/>
            </w:tcMar>
            <w:vAlign w:val="center"/>
            <w:hideMark/>
          </w:tcPr>
          <w:p w14:paraId="5A49C141"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(46)</w:t>
            </w:r>
          </w:p>
        </w:tc>
        <w:tc>
          <w:tcPr>
            <w:tcW w:w="2153" w:type="dxa"/>
            <w:tcMar>
              <w:top w:w="0" w:type="dxa"/>
              <w:left w:w="0" w:type="dxa"/>
              <w:bottom w:w="0" w:type="dxa"/>
              <w:right w:w="15" w:type="dxa"/>
            </w:tcMar>
            <w:hideMark/>
          </w:tcPr>
          <w:p w14:paraId="5A87BCEB"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(802)</w:t>
            </w:r>
          </w:p>
        </w:tc>
      </w:tr>
      <w:tr w:rsidR="00213543" w14:paraId="657EBCD2" w14:textId="77777777" w:rsidTr="005F3B38">
        <w:trPr>
          <w:trHeight w:val="278"/>
          <w:jc w:val="center"/>
        </w:trPr>
        <w:tc>
          <w:tcPr>
            <w:tcW w:w="4649" w:type="dxa"/>
            <w:tcMar>
              <w:top w:w="0" w:type="dxa"/>
              <w:left w:w="53" w:type="dxa"/>
              <w:bottom w:w="0" w:type="dxa"/>
              <w:right w:w="53" w:type="dxa"/>
            </w:tcMar>
            <w:vAlign w:val="center"/>
            <w:hideMark/>
          </w:tcPr>
          <w:p w14:paraId="2E3B9D99" w14:textId="77777777" w:rsidR="005F3B38" w:rsidRPr="005F3B38" w:rsidRDefault="00881BD2" w:rsidP="005F3B38">
            <w:pPr>
              <w:spacing w:line="360" w:lineRule="auto"/>
              <w:rPr>
                <w:rFonts w:ascii="Times New Roman" w:eastAsia="Times New Roman" w:hAnsi="Times New Roman" w:cs="Times New Roman"/>
                <w:b/>
                <w:bCs/>
                <w:color w:val="000000" w:themeColor="text1"/>
                <w:sz w:val="24"/>
                <w:szCs w:val="24"/>
                <w:lang w:val="en-US"/>
              </w:rPr>
            </w:pPr>
            <w:r w:rsidRPr="005F3B38">
              <w:rPr>
                <w:rFonts w:ascii="Times New Roman" w:eastAsia="Times New Roman" w:hAnsi="Times New Roman" w:cs="Times New Roman"/>
                <w:b/>
                <w:bCs/>
                <w:color w:val="000000" w:themeColor="text1"/>
                <w:sz w:val="24"/>
                <w:szCs w:val="24"/>
                <w:lang w:val="en-US"/>
              </w:rPr>
              <w:t>Operating profit/(loss)</w:t>
            </w:r>
          </w:p>
        </w:tc>
        <w:tc>
          <w:tcPr>
            <w:tcW w:w="2096" w:type="dxa"/>
            <w:tcMar>
              <w:top w:w="0" w:type="dxa"/>
              <w:left w:w="0" w:type="dxa"/>
              <w:bottom w:w="0" w:type="dxa"/>
              <w:right w:w="15" w:type="dxa"/>
            </w:tcMar>
            <w:vAlign w:val="center"/>
            <w:hideMark/>
          </w:tcPr>
          <w:p w14:paraId="4019C8C7"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832 </w:t>
            </w:r>
          </w:p>
        </w:tc>
        <w:tc>
          <w:tcPr>
            <w:tcW w:w="2153" w:type="dxa"/>
            <w:tcMar>
              <w:top w:w="0" w:type="dxa"/>
              <w:left w:w="0" w:type="dxa"/>
              <w:bottom w:w="0" w:type="dxa"/>
              <w:right w:w="15" w:type="dxa"/>
            </w:tcMar>
            <w:hideMark/>
          </w:tcPr>
          <w:p w14:paraId="38385E19"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(1,613)</w:t>
            </w:r>
          </w:p>
        </w:tc>
      </w:tr>
      <w:tr w:rsidR="00213543" w14:paraId="3587930A" w14:textId="77777777" w:rsidTr="005F3B38">
        <w:trPr>
          <w:trHeight w:val="278"/>
          <w:jc w:val="center"/>
        </w:trPr>
        <w:tc>
          <w:tcPr>
            <w:tcW w:w="4649" w:type="dxa"/>
            <w:tcMar>
              <w:top w:w="0" w:type="dxa"/>
              <w:left w:w="53" w:type="dxa"/>
              <w:bottom w:w="0" w:type="dxa"/>
              <w:right w:w="53" w:type="dxa"/>
            </w:tcMar>
            <w:vAlign w:val="center"/>
            <w:hideMark/>
          </w:tcPr>
          <w:p w14:paraId="4A1EB907"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Share of profit/(loss) in associates and joint ventures</w:t>
            </w:r>
          </w:p>
        </w:tc>
        <w:tc>
          <w:tcPr>
            <w:tcW w:w="2096" w:type="dxa"/>
            <w:tcMar>
              <w:top w:w="0" w:type="dxa"/>
              <w:left w:w="0" w:type="dxa"/>
              <w:bottom w:w="0" w:type="dxa"/>
              <w:right w:w="15" w:type="dxa"/>
            </w:tcMar>
            <w:vAlign w:val="center"/>
            <w:hideMark/>
          </w:tcPr>
          <w:p w14:paraId="17AD1B3C"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191 </w:t>
            </w:r>
          </w:p>
        </w:tc>
        <w:tc>
          <w:tcPr>
            <w:tcW w:w="2153" w:type="dxa"/>
            <w:tcMar>
              <w:top w:w="0" w:type="dxa"/>
              <w:left w:w="0" w:type="dxa"/>
              <w:bottom w:w="0" w:type="dxa"/>
              <w:right w:w="15" w:type="dxa"/>
            </w:tcMar>
            <w:hideMark/>
          </w:tcPr>
          <w:p w14:paraId="66FA9088"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w:t>
            </w:r>
          </w:p>
        </w:tc>
      </w:tr>
      <w:tr w:rsidR="00213543" w14:paraId="7DBAD481" w14:textId="77777777" w:rsidTr="005F3B38">
        <w:trPr>
          <w:trHeight w:val="278"/>
          <w:jc w:val="center"/>
        </w:trPr>
        <w:tc>
          <w:tcPr>
            <w:tcW w:w="4649" w:type="dxa"/>
            <w:tcMar>
              <w:top w:w="0" w:type="dxa"/>
              <w:left w:w="53" w:type="dxa"/>
              <w:bottom w:w="0" w:type="dxa"/>
              <w:right w:w="53" w:type="dxa"/>
            </w:tcMar>
            <w:vAlign w:val="center"/>
            <w:hideMark/>
          </w:tcPr>
          <w:p w14:paraId="2D20B41C" w14:textId="77777777" w:rsidR="005F3B38" w:rsidRPr="005F3B38" w:rsidRDefault="00881BD2" w:rsidP="005F3B38">
            <w:pPr>
              <w:spacing w:line="360" w:lineRule="auto"/>
              <w:rPr>
                <w:rFonts w:ascii="Times New Roman" w:eastAsia="Times New Roman" w:hAnsi="Times New Roman" w:cs="Times New Roman"/>
                <w:b/>
                <w:bCs/>
                <w:color w:val="000000" w:themeColor="text1"/>
                <w:sz w:val="24"/>
                <w:szCs w:val="24"/>
                <w:lang w:val="en-US"/>
              </w:rPr>
            </w:pPr>
            <w:r w:rsidRPr="005F3B38">
              <w:rPr>
                <w:rFonts w:ascii="Times New Roman" w:eastAsia="Times New Roman" w:hAnsi="Times New Roman" w:cs="Times New Roman"/>
                <w:b/>
                <w:bCs/>
                <w:color w:val="000000" w:themeColor="text1"/>
                <w:sz w:val="24"/>
                <w:szCs w:val="24"/>
                <w:lang w:val="en-US"/>
              </w:rPr>
              <w:t>Profit/(loss) before tax</w:t>
            </w:r>
          </w:p>
        </w:tc>
        <w:tc>
          <w:tcPr>
            <w:tcW w:w="2096" w:type="dxa"/>
            <w:tcMar>
              <w:top w:w="0" w:type="dxa"/>
              <w:left w:w="0" w:type="dxa"/>
              <w:bottom w:w="0" w:type="dxa"/>
              <w:right w:w="15" w:type="dxa"/>
            </w:tcMar>
            <w:vAlign w:val="center"/>
            <w:hideMark/>
          </w:tcPr>
          <w:p w14:paraId="5AAA68F7"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1,023  </w:t>
            </w:r>
          </w:p>
        </w:tc>
        <w:tc>
          <w:tcPr>
            <w:tcW w:w="2153" w:type="dxa"/>
            <w:tcMar>
              <w:top w:w="0" w:type="dxa"/>
              <w:left w:w="0" w:type="dxa"/>
              <w:bottom w:w="0" w:type="dxa"/>
              <w:right w:w="15" w:type="dxa"/>
            </w:tcMar>
            <w:hideMark/>
          </w:tcPr>
          <w:p w14:paraId="5689C0EB"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(1,614)</w:t>
            </w:r>
          </w:p>
        </w:tc>
      </w:tr>
      <w:tr w:rsidR="00213543" w14:paraId="41F7ADCD" w14:textId="77777777" w:rsidTr="005F3B38">
        <w:trPr>
          <w:trHeight w:val="278"/>
          <w:jc w:val="center"/>
        </w:trPr>
        <w:tc>
          <w:tcPr>
            <w:tcW w:w="4649" w:type="dxa"/>
            <w:tcMar>
              <w:top w:w="0" w:type="dxa"/>
              <w:left w:w="53" w:type="dxa"/>
              <w:bottom w:w="0" w:type="dxa"/>
              <w:right w:w="53" w:type="dxa"/>
            </w:tcMar>
            <w:vAlign w:val="center"/>
            <w:hideMark/>
          </w:tcPr>
          <w:p w14:paraId="0377509A"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Tax credit</w:t>
            </w:r>
          </w:p>
        </w:tc>
        <w:tc>
          <w:tcPr>
            <w:tcW w:w="2096" w:type="dxa"/>
            <w:tcMar>
              <w:top w:w="0" w:type="dxa"/>
              <w:left w:w="0" w:type="dxa"/>
              <w:bottom w:w="0" w:type="dxa"/>
              <w:right w:w="15" w:type="dxa"/>
            </w:tcMar>
            <w:vAlign w:val="center"/>
            <w:hideMark/>
          </w:tcPr>
          <w:p w14:paraId="135BE19D"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23 </w:t>
            </w:r>
          </w:p>
        </w:tc>
        <w:tc>
          <w:tcPr>
            <w:tcW w:w="2153" w:type="dxa"/>
            <w:tcMar>
              <w:top w:w="0" w:type="dxa"/>
              <w:left w:w="0" w:type="dxa"/>
              <w:bottom w:w="0" w:type="dxa"/>
              <w:right w:w="15" w:type="dxa"/>
            </w:tcMar>
            <w:hideMark/>
          </w:tcPr>
          <w:p w14:paraId="46EB0A51"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136</w:t>
            </w:r>
          </w:p>
        </w:tc>
      </w:tr>
      <w:tr w:rsidR="00213543" w14:paraId="0CF4E6CD" w14:textId="77777777" w:rsidTr="005F3B38">
        <w:trPr>
          <w:trHeight w:val="278"/>
          <w:jc w:val="center"/>
        </w:trPr>
        <w:tc>
          <w:tcPr>
            <w:tcW w:w="4649" w:type="dxa"/>
            <w:tcMar>
              <w:top w:w="0" w:type="dxa"/>
              <w:left w:w="53" w:type="dxa"/>
              <w:bottom w:w="0" w:type="dxa"/>
              <w:right w:w="53" w:type="dxa"/>
            </w:tcMar>
            <w:vAlign w:val="center"/>
            <w:hideMark/>
          </w:tcPr>
          <w:p w14:paraId="55D36C49" w14:textId="77777777" w:rsidR="005F3B38" w:rsidRPr="005F3B38" w:rsidRDefault="00881BD2" w:rsidP="005F3B38">
            <w:pPr>
              <w:spacing w:line="360" w:lineRule="auto"/>
              <w:rPr>
                <w:rFonts w:ascii="Times New Roman" w:eastAsia="Times New Roman" w:hAnsi="Times New Roman" w:cs="Times New Roman"/>
                <w:b/>
                <w:bCs/>
                <w:color w:val="000000" w:themeColor="text1"/>
                <w:sz w:val="24"/>
                <w:szCs w:val="24"/>
                <w:lang w:val="en-US"/>
              </w:rPr>
            </w:pPr>
            <w:r w:rsidRPr="005F3B38">
              <w:rPr>
                <w:rFonts w:ascii="Times New Roman" w:eastAsia="Times New Roman" w:hAnsi="Times New Roman" w:cs="Times New Roman"/>
                <w:b/>
                <w:bCs/>
                <w:color w:val="000000" w:themeColor="text1"/>
                <w:sz w:val="24"/>
                <w:szCs w:val="24"/>
                <w:lang w:val="en-US"/>
              </w:rPr>
              <w:t>Profit/(loss) for the year</w:t>
            </w:r>
          </w:p>
        </w:tc>
        <w:tc>
          <w:tcPr>
            <w:tcW w:w="2096" w:type="dxa"/>
            <w:tcMar>
              <w:top w:w="0" w:type="dxa"/>
              <w:left w:w="0" w:type="dxa"/>
              <w:bottom w:w="0" w:type="dxa"/>
              <w:right w:w="15" w:type="dxa"/>
            </w:tcMar>
            <w:vAlign w:val="center"/>
            <w:hideMark/>
          </w:tcPr>
          <w:p w14:paraId="2AEE0C0E"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1,046  </w:t>
            </w:r>
          </w:p>
        </w:tc>
        <w:tc>
          <w:tcPr>
            <w:tcW w:w="2153" w:type="dxa"/>
            <w:tcMar>
              <w:top w:w="0" w:type="dxa"/>
              <w:left w:w="0" w:type="dxa"/>
              <w:bottom w:w="0" w:type="dxa"/>
              <w:right w:w="15" w:type="dxa"/>
            </w:tcMar>
            <w:hideMark/>
          </w:tcPr>
          <w:p w14:paraId="09513F45"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(1,478)</w:t>
            </w:r>
          </w:p>
        </w:tc>
      </w:tr>
      <w:tr w:rsidR="00213543" w14:paraId="6A3172F8" w14:textId="77777777" w:rsidTr="005F3B38">
        <w:trPr>
          <w:trHeight w:val="278"/>
          <w:jc w:val="center"/>
        </w:trPr>
        <w:tc>
          <w:tcPr>
            <w:tcW w:w="4649" w:type="dxa"/>
            <w:tcMar>
              <w:top w:w="0" w:type="dxa"/>
              <w:left w:w="53" w:type="dxa"/>
              <w:bottom w:w="0" w:type="dxa"/>
              <w:right w:w="53" w:type="dxa"/>
            </w:tcMar>
            <w:vAlign w:val="center"/>
            <w:hideMark/>
          </w:tcPr>
          <w:p w14:paraId="2A470ACF" w14:textId="77777777" w:rsidR="005F3B38" w:rsidRPr="005F3B38" w:rsidRDefault="00881BD2" w:rsidP="005F3B38">
            <w:pPr>
              <w:spacing w:line="360" w:lineRule="auto"/>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Profit/(loss) attributable to the parent company</w:t>
            </w:r>
          </w:p>
        </w:tc>
        <w:tc>
          <w:tcPr>
            <w:tcW w:w="2096" w:type="dxa"/>
            <w:tcMar>
              <w:top w:w="0" w:type="dxa"/>
              <w:left w:w="0" w:type="dxa"/>
              <w:bottom w:w="0" w:type="dxa"/>
              <w:right w:w="15" w:type="dxa"/>
            </w:tcMar>
            <w:vAlign w:val="center"/>
            <w:hideMark/>
          </w:tcPr>
          <w:p w14:paraId="027673DB"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1,041  </w:t>
            </w:r>
          </w:p>
        </w:tc>
        <w:tc>
          <w:tcPr>
            <w:tcW w:w="2153" w:type="dxa"/>
            <w:tcMar>
              <w:top w:w="0" w:type="dxa"/>
              <w:left w:w="0" w:type="dxa"/>
              <w:bottom w:w="0" w:type="dxa"/>
              <w:right w:w="15" w:type="dxa"/>
            </w:tcMar>
            <w:hideMark/>
          </w:tcPr>
          <w:p w14:paraId="15474512" w14:textId="77777777" w:rsidR="005F3B38" w:rsidRPr="005F3B38" w:rsidRDefault="00881BD2" w:rsidP="005F3B38">
            <w:pPr>
              <w:spacing w:line="360" w:lineRule="auto"/>
              <w:jc w:val="right"/>
              <w:rPr>
                <w:rFonts w:ascii="Times New Roman" w:eastAsia="Times New Roman" w:hAnsi="Times New Roman" w:cs="Times New Roman"/>
                <w:color w:val="000000" w:themeColor="text1"/>
                <w:sz w:val="24"/>
                <w:szCs w:val="24"/>
                <w:lang w:val="en-US"/>
              </w:rPr>
            </w:pPr>
            <w:r w:rsidRPr="005F3B38">
              <w:rPr>
                <w:rFonts w:ascii="Times New Roman" w:eastAsia="Times New Roman" w:hAnsi="Times New Roman" w:cs="Times New Roman"/>
                <w:color w:val="000000" w:themeColor="text1"/>
                <w:sz w:val="24"/>
                <w:szCs w:val="24"/>
                <w:lang w:val="en-US"/>
              </w:rPr>
              <w:t>                        (1,488)</w:t>
            </w:r>
          </w:p>
        </w:tc>
      </w:tr>
    </w:tbl>
    <w:p w14:paraId="4ECEF25C" w14:textId="40192AA6" w:rsidR="00BD197D" w:rsidRDefault="00881BD2" w:rsidP="005F3B38">
      <w:pPr>
        <w:spacing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sz w:val="24"/>
          <w:szCs w:val="24"/>
          <w:highlight w:val="white"/>
        </w:rPr>
        <w:t>Table 2: Income statement of HSBC</w:t>
      </w:r>
    </w:p>
    <w:p w14:paraId="2085ED76" w14:textId="368A5CB1" w:rsidR="005F3B38" w:rsidRPr="00DC1B0B" w:rsidRDefault="00881BD2" w:rsidP="00DC1B0B">
      <w:pPr>
        <w:spacing w:line="360" w:lineRule="auto"/>
        <w:jc w:val="center"/>
        <w:rPr>
          <w:rFonts w:ascii="Times New Roman" w:eastAsia="Times New Roman" w:hAnsi="Times New Roman" w:cs="Times New Roman"/>
          <w:sz w:val="24"/>
          <w:szCs w:val="24"/>
          <w:highlight w:val="white"/>
        </w:rPr>
      </w:pPr>
      <w:r w:rsidRPr="00DC1B0B">
        <w:rPr>
          <w:rFonts w:ascii="Times New Roman" w:eastAsia="Times New Roman" w:hAnsi="Times New Roman" w:cs="Times New Roman"/>
          <w:sz w:val="24"/>
          <w:szCs w:val="24"/>
          <w:highlight w:val="white"/>
        </w:rPr>
        <w:t xml:space="preserve">(Source: </w:t>
      </w:r>
      <w:r w:rsidR="00DC1B0B" w:rsidRPr="00DC1B0B">
        <w:rPr>
          <w:rFonts w:ascii="Times New Roman" w:hAnsi="Times New Roman" w:cs="Times New Roman"/>
          <w:color w:val="000000" w:themeColor="text1"/>
          <w:sz w:val="24"/>
          <w:szCs w:val="24"/>
        </w:rPr>
        <w:t>HSBC, 2022</w:t>
      </w:r>
      <w:r w:rsidRPr="00DC1B0B">
        <w:rPr>
          <w:rFonts w:ascii="Times New Roman" w:eastAsia="Times New Roman" w:hAnsi="Times New Roman" w:cs="Times New Roman"/>
          <w:sz w:val="24"/>
          <w:szCs w:val="24"/>
          <w:highlight w:val="white"/>
        </w:rPr>
        <w:t>)</w:t>
      </w:r>
    </w:p>
    <w:p w14:paraId="39786880" w14:textId="010CBD19" w:rsidR="004529AC" w:rsidRPr="00DC1B0B" w:rsidRDefault="00881BD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Net operating income, operating profit, and overall profit for the year 2021 all have been reduced in comparison to the covid. The company has to work harder to improve these stats. </w:t>
      </w:r>
      <w:r>
        <w:rPr>
          <w:rFonts w:ascii="Times New Roman" w:eastAsia="Times New Roman" w:hAnsi="Times New Roman" w:cs="Times New Roman"/>
          <w:b/>
          <w:sz w:val="24"/>
          <w:szCs w:val="24"/>
        </w:rPr>
        <w:t xml:space="preserve"> </w:t>
      </w:r>
    </w:p>
    <w:p w14:paraId="5B4DC267" w14:textId="77777777" w:rsidR="004529AC" w:rsidRDefault="00881BD2" w:rsidP="00DC1B0B">
      <w:pPr>
        <w:pStyle w:val="Heading1"/>
      </w:pPr>
      <w:bookmarkStart w:id="5" w:name="_Toc109910319"/>
      <w:r>
        <w:t>Challenges faced by the MNC</w:t>
      </w:r>
      <w:bookmarkEnd w:id="5"/>
    </w:p>
    <w:p w14:paraId="5127C355" w14:textId="77777777" w:rsidR="004529AC" w:rsidRDefault="00881B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MNCs operate in various financial markets on a global basis, the are certain issues that the corporations face which have been discussed below-</w:t>
      </w:r>
    </w:p>
    <w:p w14:paraId="7D7D6C84" w14:textId="4D8746E7" w:rsidR="004529AC" w:rsidRDefault="00881BD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Existence of imperfect markets: </w:t>
      </w:r>
      <w:r>
        <w:rPr>
          <w:rFonts w:ascii="Times New Roman" w:eastAsia="Times New Roman" w:hAnsi="Times New Roman" w:cs="Times New Roman"/>
          <w:sz w:val="24"/>
          <w:szCs w:val="24"/>
        </w:rPr>
        <w:t>Every financial market may not be perfect in terms of local customs, demography, rules, laws, etc. This imperfect information about the markets decreases the ability of a manager to predict the business surroundings</w:t>
      </w:r>
      <w:r w:rsidR="00DC1B0B">
        <w:rPr>
          <w:rFonts w:ascii="Times New Roman" w:eastAsia="Times New Roman" w:hAnsi="Times New Roman" w:cs="Times New Roman"/>
          <w:sz w:val="24"/>
          <w:szCs w:val="24"/>
        </w:rPr>
        <w:t xml:space="preserve"> (</w:t>
      </w:r>
      <w:r w:rsidR="00DC1B0B" w:rsidRPr="009A6640">
        <w:rPr>
          <w:rFonts w:ascii="Times New Roman" w:hAnsi="Times New Roman" w:cs="Times New Roman"/>
          <w:color w:val="000000" w:themeColor="text1"/>
          <w:sz w:val="24"/>
          <w:szCs w:val="24"/>
          <w:shd w:val="clear" w:color="auto" w:fill="FFFFFF"/>
        </w:rPr>
        <w:t>Neale and McElroy, 2004</w:t>
      </w:r>
      <w:r w:rsidR="00DC1B0B">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sz w:val="24"/>
          <w:szCs w:val="24"/>
        </w:rPr>
        <w:t xml:space="preserve">. </w:t>
      </w:r>
    </w:p>
    <w:p w14:paraId="4FB8FF96" w14:textId="51491A6A" w:rsidR="004529AC" w:rsidRDefault="00881BD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Competition regarding taxes: </w:t>
      </w:r>
      <w:r>
        <w:rPr>
          <w:rFonts w:ascii="Times New Roman" w:eastAsia="Times New Roman" w:hAnsi="Times New Roman" w:cs="Times New Roman"/>
          <w:sz w:val="24"/>
          <w:szCs w:val="24"/>
        </w:rPr>
        <w:t xml:space="preserve">Unstable tax structure can hurt an MNC in terms of its economic </w:t>
      </w:r>
      <w:r w:rsidR="00A546E8">
        <w:rPr>
          <w:rFonts w:ascii="Times New Roman" w:eastAsia="Times New Roman" w:hAnsi="Times New Roman" w:cs="Times New Roman"/>
          <w:sz w:val="24"/>
          <w:szCs w:val="24"/>
        </w:rPr>
        <w:t>activities. Incentives</w:t>
      </w:r>
      <w:r>
        <w:rPr>
          <w:rFonts w:ascii="Times New Roman" w:eastAsia="Times New Roman" w:hAnsi="Times New Roman" w:cs="Times New Roman"/>
          <w:sz w:val="24"/>
          <w:szCs w:val="24"/>
        </w:rPr>
        <w:t xml:space="preserve"> must be offered by the countries and states to the MNC to compete with other nations or regions. The burden of tax is also an indicator of the existence of an MNC.</w:t>
      </w:r>
    </w:p>
    <w:p w14:paraId="0731EC3F" w14:textId="7DECAFFD" w:rsidR="004529AC" w:rsidRDefault="00881BD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Political issues:</w:t>
      </w:r>
      <w:r>
        <w:rPr>
          <w:rFonts w:ascii="Times New Roman" w:eastAsia="Times New Roman" w:hAnsi="Times New Roman" w:cs="Times New Roman"/>
          <w:sz w:val="24"/>
          <w:szCs w:val="24"/>
        </w:rPr>
        <w:t xml:space="preserve"> MNCs often face issues regarding political instability. This can arise due to not having a reliable government. As a result, the cost of business increases alongside higher risks. Corruption and fragile legal framework also are barriers to foreign direct investments</w:t>
      </w:r>
      <w:r w:rsidR="00DC1B0B">
        <w:rPr>
          <w:rFonts w:ascii="Times New Roman" w:eastAsia="Times New Roman" w:hAnsi="Times New Roman" w:cs="Times New Roman"/>
          <w:sz w:val="24"/>
          <w:szCs w:val="24"/>
        </w:rPr>
        <w:t xml:space="preserve"> (</w:t>
      </w:r>
      <w:r w:rsidR="00DC1B0B" w:rsidRPr="009A6640">
        <w:rPr>
          <w:rFonts w:ascii="Times New Roman" w:hAnsi="Times New Roman" w:cs="Times New Roman"/>
          <w:color w:val="000000" w:themeColor="text1"/>
          <w:sz w:val="24"/>
          <w:szCs w:val="24"/>
          <w:shd w:val="clear" w:color="auto" w:fill="FFFFFF"/>
        </w:rPr>
        <w:t>McLaney, 2005</w:t>
      </w:r>
      <w:r w:rsidR="00DC1B0B">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sz w:val="24"/>
          <w:szCs w:val="24"/>
        </w:rPr>
        <w:t>.</w:t>
      </w:r>
    </w:p>
    <w:p w14:paraId="2140DCB1" w14:textId="247F58C5" w:rsidR="004529AC" w:rsidRDefault="00881B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HSBC has been mainly affected by Brexit. HSBC used to operate in other regions of the European Union but now the importers and exporters are refusing to work with HSBC. The company also feels that some of the trade flows will get changed because of Brexit. Also, the global reduction in trade has left HSBC to focus only on the domestic market. The company is also expected to lose investments in several international markets because of covid as people are left with little liquidity in their hands. In China, the company has not been able to expand because of the rise of local banks and provisions from the Chinese government as well (</w:t>
      </w:r>
      <w:r w:rsidR="00DC1B0B" w:rsidRPr="009A6640">
        <w:rPr>
          <w:rFonts w:ascii="Times New Roman" w:hAnsi="Times New Roman" w:cs="Times New Roman"/>
          <w:color w:val="000000" w:themeColor="text1"/>
          <w:sz w:val="24"/>
          <w:szCs w:val="24"/>
        </w:rPr>
        <w:t>Ft</w:t>
      </w:r>
      <w:r w:rsidR="00DC1B0B">
        <w:rPr>
          <w:rFonts w:ascii="Times New Roman" w:hAnsi="Times New Roman" w:cs="Times New Roman"/>
          <w:color w:val="000000" w:themeColor="text1"/>
          <w:sz w:val="24"/>
          <w:szCs w:val="24"/>
        </w:rPr>
        <w:t>,</w:t>
      </w:r>
      <w:r w:rsidR="00DC1B0B" w:rsidRPr="009A6640">
        <w:rPr>
          <w:rFonts w:ascii="Times New Roman" w:hAnsi="Times New Roman" w:cs="Times New Roman"/>
          <w:color w:val="000000" w:themeColor="text1"/>
          <w:sz w:val="24"/>
          <w:szCs w:val="24"/>
        </w:rPr>
        <w:t xml:space="preserve"> 2022</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p w14:paraId="6868E53E" w14:textId="77777777" w:rsidR="00A546E8" w:rsidRDefault="00881BD2" w:rsidP="00DC1B0B">
      <w:pPr>
        <w:pStyle w:val="Heading1"/>
      </w:pPr>
      <w:bookmarkStart w:id="6" w:name="_Toc109910320"/>
      <w:r>
        <w:t>Conclusion</w:t>
      </w:r>
      <w:bookmarkEnd w:id="6"/>
    </w:p>
    <w:p w14:paraId="505F47CB" w14:textId="352B1011" w:rsidR="004529AC" w:rsidRPr="00A546E8" w:rsidRDefault="00881BD2">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importance of IFM has been analyzed. HSBC </w:t>
      </w:r>
      <w:r w:rsidR="00973765">
        <w:rPr>
          <w:rFonts w:ascii="Times New Roman" w:eastAsia="Times New Roman" w:hAnsi="Times New Roman" w:cs="Times New Roman"/>
          <w:bCs/>
          <w:sz w:val="24"/>
          <w:szCs w:val="24"/>
        </w:rPr>
        <w:t xml:space="preserve">has been hugely benefited by IFM as it is mentioned. The dividend distribution policy of the company has been expressed in detail as well. Adding to it, the EMH here showed the weak, semi-strong, and strong forms considering HSBC's performances and policies. </w:t>
      </w:r>
      <w:r w:rsidR="009631D8">
        <w:rPr>
          <w:rFonts w:ascii="Times New Roman" w:eastAsia="Times New Roman" w:hAnsi="Times New Roman" w:cs="Times New Roman"/>
          <w:bCs/>
          <w:sz w:val="24"/>
          <w:szCs w:val="24"/>
        </w:rPr>
        <w:t xml:space="preserve"> On t</w:t>
      </w:r>
      <w:r w:rsidR="00973765">
        <w:rPr>
          <w:rFonts w:ascii="Times New Roman" w:eastAsia="Times New Roman" w:hAnsi="Times New Roman" w:cs="Times New Roman"/>
          <w:bCs/>
          <w:sz w:val="24"/>
          <w:szCs w:val="24"/>
        </w:rPr>
        <w:t xml:space="preserve">he income statement of the company says </w:t>
      </w:r>
      <w:r w:rsidR="00766A59">
        <w:rPr>
          <w:rFonts w:ascii="Times New Roman" w:eastAsia="Times New Roman" w:hAnsi="Times New Roman" w:cs="Times New Roman"/>
          <w:bCs/>
          <w:sz w:val="24"/>
          <w:szCs w:val="24"/>
        </w:rPr>
        <w:t>,</w:t>
      </w:r>
      <w:r w:rsidR="00973765">
        <w:rPr>
          <w:rFonts w:ascii="Times New Roman" w:eastAsia="Times New Roman" w:hAnsi="Times New Roman" w:cs="Times New Roman"/>
          <w:bCs/>
          <w:sz w:val="24"/>
          <w:szCs w:val="24"/>
        </w:rPr>
        <w:t xml:space="preserve"> the company has to do a lot of things in 2022 to improve its income. The reasons behind this dropdown in performance is can be the recent political or global issues that the company faces but HSBC needs to overcome those challenges to improve the income statement.  </w:t>
      </w:r>
    </w:p>
    <w:p w14:paraId="3AEA8D42" w14:textId="77777777" w:rsidR="00973765" w:rsidRDefault="00881BD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2521A40" w14:textId="73910204" w:rsidR="004529AC" w:rsidRDefault="00881BD2" w:rsidP="00DC1B0B">
      <w:pPr>
        <w:pStyle w:val="Heading1"/>
      </w:pPr>
      <w:bookmarkStart w:id="7" w:name="_Toc109910321"/>
      <w:r>
        <w:lastRenderedPageBreak/>
        <w:t>Reference List</w:t>
      </w:r>
      <w:bookmarkEnd w:id="7"/>
    </w:p>
    <w:p w14:paraId="73165F8C" w14:textId="77777777" w:rsidR="009A6640" w:rsidRPr="009A6640" w:rsidRDefault="00881BD2" w:rsidP="00480140">
      <w:pPr>
        <w:spacing w:line="360" w:lineRule="auto"/>
        <w:jc w:val="both"/>
        <w:rPr>
          <w:rFonts w:ascii="Times New Roman" w:hAnsi="Times New Roman" w:cs="Times New Roman"/>
          <w:color w:val="000000" w:themeColor="text1"/>
          <w:sz w:val="24"/>
          <w:szCs w:val="24"/>
          <w:shd w:val="clear" w:color="auto" w:fill="FFFFFF"/>
        </w:rPr>
      </w:pPr>
      <w:r w:rsidRPr="009A6640">
        <w:rPr>
          <w:rFonts w:ascii="Times New Roman" w:hAnsi="Times New Roman" w:cs="Times New Roman"/>
          <w:color w:val="000000" w:themeColor="text1"/>
          <w:sz w:val="24"/>
          <w:szCs w:val="24"/>
          <w:shd w:val="clear" w:color="auto" w:fill="FFFFFF"/>
        </w:rPr>
        <w:t>Arnold, G., 2013. Corporate financial management (pp. 849-902). Harlow: Pearson.</w:t>
      </w:r>
    </w:p>
    <w:p w14:paraId="3C5C61D0" w14:textId="77777777" w:rsidR="009A6640" w:rsidRPr="009A6640" w:rsidRDefault="00881BD2" w:rsidP="00480140">
      <w:pPr>
        <w:spacing w:line="360" w:lineRule="auto"/>
        <w:jc w:val="both"/>
        <w:rPr>
          <w:rFonts w:ascii="Times New Roman" w:hAnsi="Times New Roman" w:cs="Times New Roman"/>
          <w:color w:val="000000" w:themeColor="text1"/>
          <w:sz w:val="24"/>
          <w:szCs w:val="24"/>
          <w:shd w:val="clear" w:color="auto" w:fill="FFFFFF"/>
        </w:rPr>
      </w:pPr>
      <w:r w:rsidRPr="009A6640">
        <w:rPr>
          <w:rFonts w:ascii="Times New Roman" w:hAnsi="Times New Roman" w:cs="Times New Roman"/>
          <w:color w:val="000000" w:themeColor="text1"/>
          <w:sz w:val="24"/>
          <w:szCs w:val="24"/>
          <w:shd w:val="clear" w:color="auto" w:fill="FFFFFF"/>
        </w:rPr>
        <w:t>Bekaert, G. and Hodrick, R., 2017. International financial management. Cambridge University Press.</w:t>
      </w:r>
    </w:p>
    <w:p w14:paraId="3F214E64" w14:textId="77777777" w:rsidR="009A6640" w:rsidRPr="009A6640" w:rsidRDefault="00881BD2" w:rsidP="00480140">
      <w:pPr>
        <w:pStyle w:val="NormalWeb"/>
        <w:spacing w:before="0" w:beforeAutospacing="0" w:after="180" w:afterAutospacing="0" w:line="360" w:lineRule="auto"/>
        <w:jc w:val="both"/>
        <w:rPr>
          <w:color w:val="000000" w:themeColor="text1"/>
        </w:rPr>
      </w:pPr>
      <w:r w:rsidRPr="009A6640">
        <w:rPr>
          <w:color w:val="000000" w:themeColor="text1"/>
        </w:rPr>
        <w:t>Fidelity.co.uk. 2022. HSBC Holdings PLC Share Dividends | HSBA | GB0005405286 | Fidelity. [online] Available at: &lt;https://www.fidelity.co.uk/factsheet-data/factsheet/GB0005405286-hsbc-holdings-plc/dividends&gt; [Accessed 28 July 2022].</w:t>
      </w:r>
    </w:p>
    <w:p w14:paraId="7BC92665" w14:textId="77777777" w:rsidR="009A6640" w:rsidRPr="009A6640" w:rsidRDefault="00881BD2" w:rsidP="00480140">
      <w:pPr>
        <w:pStyle w:val="NormalWeb"/>
        <w:spacing w:before="0" w:beforeAutospacing="0" w:after="180" w:afterAutospacing="0" w:line="360" w:lineRule="auto"/>
        <w:jc w:val="both"/>
        <w:rPr>
          <w:color w:val="000000" w:themeColor="text1"/>
        </w:rPr>
      </w:pPr>
      <w:r w:rsidRPr="009A6640">
        <w:rPr>
          <w:color w:val="000000" w:themeColor="text1"/>
        </w:rPr>
        <w:t>Ft.com. 2022. HSBC’s past may not help its future. [online] Available at: &lt;https://www.ft.com/content/8b408b6b-7c91-49ae-a616-ee54f3557387&gt; [Accessed 28 July 2022].</w:t>
      </w:r>
    </w:p>
    <w:p w14:paraId="6ED2E940" w14:textId="77777777" w:rsidR="009A6640" w:rsidRPr="009A6640" w:rsidRDefault="00881BD2" w:rsidP="00480140">
      <w:pPr>
        <w:pStyle w:val="NormalWeb"/>
        <w:spacing w:before="0" w:beforeAutospacing="0" w:after="180" w:afterAutospacing="0" w:line="360" w:lineRule="auto"/>
        <w:jc w:val="both"/>
        <w:rPr>
          <w:color w:val="000000" w:themeColor="text1"/>
        </w:rPr>
      </w:pPr>
      <w:r w:rsidRPr="009A6640">
        <w:rPr>
          <w:color w:val="000000" w:themeColor="text1"/>
        </w:rPr>
        <w:t>Hbsp.harvard.edu. 2022. Harvard Business Publishing Education. [online] Available at: &lt;https://hbsp.harvard.edu/product/HK1245-PDF-ENG&gt; [Accessed 28 July 2022].</w:t>
      </w:r>
    </w:p>
    <w:p w14:paraId="2C4B2022" w14:textId="0151E3EC" w:rsidR="009A6640" w:rsidRDefault="00881BD2" w:rsidP="00480140">
      <w:pPr>
        <w:pStyle w:val="NormalWeb"/>
        <w:spacing w:before="0" w:beforeAutospacing="0" w:after="180" w:afterAutospacing="0" w:line="360" w:lineRule="auto"/>
        <w:jc w:val="both"/>
        <w:rPr>
          <w:color w:val="000000" w:themeColor="text1"/>
        </w:rPr>
      </w:pPr>
      <w:r w:rsidRPr="009A6640">
        <w:rPr>
          <w:color w:val="000000" w:themeColor="text1"/>
        </w:rPr>
        <w:t>HSBC. 2022. Annual Report | HSBC Holdings plc. [online] HSBC. Available at: &lt;https://www.hsbc.com/investors/results-and-announcements/annual-report&gt; [Accessed 28 July 2022].</w:t>
      </w:r>
    </w:p>
    <w:p w14:paraId="3DA178ED" w14:textId="4966070A" w:rsidR="00DC1B0B" w:rsidRPr="009A6640" w:rsidRDefault="00881BD2" w:rsidP="00480140">
      <w:pPr>
        <w:pStyle w:val="NormalWeb"/>
        <w:spacing w:before="0" w:beforeAutospacing="0" w:after="180" w:afterAutospacing="0" w:line="360" w:lineRule="auto"/>
        <w:jc w:val="both"/>
        <w:rPr>
          <w:color w:val="000000" w:themeColor="text1"/>
        </w:rPr>
      </w:pPr>
      <w:r>
        <w:rPr>
          <w:color w:val="000000" w:themeColor="text1"/>
        </w:rPr>
        <w:t>HSBC.</w:t>
      </w:r>
      <w:r w:rsidRPr="009A6640">
        <w:rPr>
          <w:color w:val="000000" w:themeColor="text1"/>
        </w:rPr>
        <w:t xml:space="preserve"> 2022? Global Functions | HSBC Holdings plc. [online] HSBC. Available at: &lt;https://www.hsbc.com/careers/our-business-areas-and-teams/global-functions&gt; [Accessed 28 July 2022].</w:t>
      </w:r>
    </w:p>
    <w:p w14:paraId="591C70C5" w14:textId="77777777" w:rsidR="009A6640" w:rsidRPr="009A6640" w:rsidRDefault="00881BD2" w:rsidP="00480140">
      <w:pPr>
        <w:pStyle w:val="NormalWeb"/>
        <w:spacing w:before="0" w:beforeAutospacing="0" w:after="180" w:afterAutospacing="0" w:line="360" w:lineRule="auto"/>
        <w:jc w:val="both"/>
        <w:rPr>
          <w:color w:val="000000" w:themeColor="text1"/>
        </w:rPr>
      </w:pPr>
      <w:r w:rsidRPr="009A6640">
        <w:rPr>
          <w:color w:val="000000" w:themeColor="text1"/>
        </w:rPr>
        <w:t>London Stock exchange. 2022. [online] Available at: &lt;https://www.londonstockexchange.com/stock/HSBA/hsbc-holdings-plc/company-page&gt; [Accessed 28 July 2022].</w:t>
      </w:r>
    </w:p>
    <w:p w14:paraId="331F2D27" w14:textId="77777777" w:rsidR="009A6640" w:rsidRPr="009A6640" w:rsidRDefault="00881BD2" w:rsidP="00480140">
      <w:pPr>
        <w:spacing w:line="360" w:lineRule="auto"/>
        <w:jc w:val="both"/>
        <w:rPr>
          <w:rFonts w:ascii="Times New Roman" w:hAnsi="Times New Roman" w:cs="Times New Roman"/>
          <w:color w:val="000000" w:themeColor="text1"/>
          <w:sz w:val="24"/>
          <w:szCs w:val="24"/>
          <w:shd w:val="clear" w:color="auto" w:fill="FFFFFF"/>
        </w:rPr>
      </w:pPr>
      <w:r w:rsidRPr="009A6640">
        <w:rPr>
          <w:rFonts w:ascii="Times New Roman" w:hAnsi="Times New Roman" w:cs="Times New Roman"/>
          <w:color w:val="000000" w:themeColor="text1"/>
          <w:sz w:val="24"/>
          <w:szCs w:val="24"/>
          <w:shd w:val="clear" w:color="auto" w:fill="FFFFFF"/>
        </w:rPr>
        <w:t>McLaney, E., 2005. Business finance: theory and practice. Pearson education.</w:t>
      </w:r>
    </w:p>
    <w:p w14:paraId="4E14071C" w14:textId="77777777" w:rsidR="009A6640" w:rsidRPr="009A6640" w:rsidRDefault="00881BD2" w:rsidP="00480140">
      <w:pPr>
        <w:spacing w:line="360" w:lineRule="auto"/>
        <w:jc w:val="both"/>
        <w:rPr>
          <w:rFonts w:ascii="Times New Roman" w:hAnsi="Times New Roman" w:cs="Times New Roman"/>
          <w:color w:val="000000" w:themeColor="text1"/>
          <w:sz w:val="24"/>
          <w:szCs w:val="24"/>
          <w:shd w:val="clear" w:color="auto" w:fill="FFFFFF"/>
        </w:rPr>
      </w:pPr>
      <w:r w:rsidRPr="009A6640">
        <w:rPr>
          <w:rFonts w:ascii="Times New Roman" w:hAnsi="Times New Roman" w:cs="Times New Roman"/>
          <w:color w:val="000000" w:themeColor="text1"/>
          <w:sz w:val="24"/>
          <w:szCs w:val="24"/>
          <w:shd w:val="clear" w:color="auto" w:fill="FFFFFF"/>
        </w:rPr>
        <w:t>Neale, B. and McElroy, T., 2004. Business finance: a value-based approach. Pearson Education.</w:t>
      </w:r>
    </w:p>
    <w:p w14:paraId="223FE328" w14:textId="6F0C420A" w:rsidR="006E28D4" w:rsidRPr="006E28D4" w:rsidRDefault="00881BD2" w:rsidP="006E28D4">
      <w:pPr>
        <w:pStyle w:val="NormalWeb"/>
        <w:spacing w:before="0" w:beforeAutospacing="0" w:after="180" w:afterAutospacing="0" w:line="360" w:lineRule="auto"/>
        <w:jc w:val="both"/>
        <w:rPr>
          <w:color w:val="000000" w:themeColor="text1"/>
        </w:rPr>
      </w:pPr>
      <w:r w:rsidRPr="009A6640">
        <w:rPr>
          <w:color w:val="000000" w:themeColor="text1"/>
        </w:rPr>
        <w:t>QS Study. 2022. Three Forms of Efficient Market Hypothesis. [online] Available at: &lt;https://qsstudy.com/three-form-of-efficient-market-hypothesis/&gt; [Accessed 28 July 2022].</w:t>
      </w:r>
    </w:p>
    <w:p w14:paraId="07FA2EA1" w14:textId="0ACB6C04" w:rsidR="006E28D4" w:rsidRPr="006E28D4" w:rsidRDefault="00881BD2" w:rsidP="006E28D4">
      <w:pPr>
        <w:pStyle w:val="NormalWeb"/>
        <w:spacing w:before="0" w:beforeAutospacing="0" w:after="180" w:afterAutospacing="0" w:line="360" w:lineRule="auto"/>
        <w:jc w:val="both"/>
        <w:rPr>
          <w:color w:val="000000"/>
        </w:rPr>
      </w:pPr>
      <w:r w:rsidRPr="006E28D4">
        <w:rPr>
          <w:color w:val="000000"/>
        </w:rPr>
        <w:t>The Telegraph. 2022. Markets Hub - Live financial updates from The Telegraph. [online] Available at: &lt;https://www.telegraph.co.uk/markets-hub/share/S1037/HSBA/HSBCHoldings&gt; [Accessed 28 July 2022].</w:t>
      </w:r>
    </w:p>
    <w:p w14:paraId="30374C5F" w14:textId="77777777" w:rsidR="006E28D4" w:rsidRDefault="006E28D4" w:rsidP="00480140">
      <w:pPr>
        <w:pStyle w:val="NormalWeb"/>
        <w:spacing w:before="0" w:beforeAutospacing="0" w:after="180" w:afterAutospacing="0" w:line="360" w:lineRule="auto"/>
        <w:jc w:val="both"/>
        <w:rPr>
          <w:color w:val="000000" w:themeColor="text1"/>
        </w:rPr>
      </w:pPr>
    </w:p>
    <w:p w14:paraId="1140A98F" w14:textId="77777777" w:rsidR="00480140" w:rsidRPr="009A6640" w:rsidRDefault="00480140" w:rsidP="009A6640">
      <w:pPr>
        <w:pStyle w:val="NormalWeb"/>
        <w:spacing w:before="0" w:beforeAutospacing="0" w:after="180" w:afterAutospacing="0" w:line="360" w:lineRule="auto"/>
        <w:jc w:val="both"/>
        <w:rPr>
          <w:color w:val="000000" w:themeColor="text1"/>
        </w:rPr>
      </w:pPr>
    </w:p>
    <w:p w14:paraId="380B0BA3" w14:textId="77777777" w:rsidR="009A6640" w:rsidRPr="006D1629" w:rsidRDefault="009A6640" w:rsidP="006D1629">
      <w:pPr>
        <w:pStyle w:val="NormalWeb"/>
        <w:spacing w:before="0" w:beforeAutospacing="0" w:after="180" w:afterAutospacing="0" w:line="360" w:lineRule="auto"/>
        <w:jc w:val="both"/>
        <w:rPr>
          <w:color w:val="000000"/>
        </w:rPr>
      </w:pPr>
    </w:p>
    <w:p w14:paraId="3621AFD8" w14:textId="77777777" w:rsidR="006D1629" w:rsidRDefault="006D1629">
      <w:pPr>
        <w:spacing w:line="360" w:lineRule="auto"/>
        <w:jc w:val="both"/>
        <w:rPr>
          <w:rFonts w:ascii="Times New Roman" w:eastAsia="Times New Roman" w:hAnsi="Times New Roman" w:cs="Times New Roman"/>
          <w:b/>
          <w:sz w:val="24"/>
          <w:szCs w:val="24"/>
        </w:rPr>
      </w:pPr>
    </w:p>
    <w:p w14:paraId="52C5EB7B" w14:textId="77777777" w:rsidR="004529AC" w:rsidRDefault="004529AC">
      <w:pPr>
        <w:spacing w:line="360" w:lineRule="auto"/>
        <w:jc w:val="both"/>
        <w:rPr>
          <w:rFonts w:ascii="Times New Roman" w:eastAsia="Times New Roman" w:hAnsi="Times New Roman" w:cs="Times New Roman"/>
          <w:b/>
          <w:sz w:val="24"/>
          <w:szCs w:val="24"/>
        </w:rPr>
      </w:pPr>
    </w:p>
    <w:sectPr w:rsidR="004529AC" w:rsidSect="007D78AE">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28EA1" w14:textId="77777777" w:rsidR="003E1573" w:rsidRDefault="00881BD2">
      <w:pPr>
        <w:spacing w:line="240" w:lineRule="auto"/>
      </w:pPr>
      <w:r>
        <w:separator/>
      </w:r>
    </w:p>
  </w:endnote>
  <w:endnote w:type="continuationSeparator" w:id="0">
    <w:p w14:paraId="0F0751B9" w14:textId="77777777" w:rsidR="003E1573" w:rsidRDefault="00881B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68808"/>
      <w:docPartObj>
        <w:docPartGallery w:val="Page Numbers (Bottom of Page)"/>
        <w:docPartUnique/>
      </w:docPartObj>
    </w:sdtPr>
    <w:sdtEndPr>
      <w:rPr>
        <w:noProof/>
      </w:rPr>
    </w:sdtEndPr>
    <w:sdtContent>
      <w:p w14:paraId="7C539E53" w14:textId="007AC72C" w:rsidR="00DC1B0B" w:rsidRDefault="00881B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963CF6" w14:textId="77777777" w:rsidR="00DC1B0B" w:rsidRDefault="00DC1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BBE54" w14:textId="77777777" w:rsidR="003E1573" w:rsidRDefault="00881BD2">
      <w:pPr>
        <w:spacing w:line="240" w:lineRule="auto"/>
      </w:pPr>
      <w:r>
        <w:separator/>
      </w:r>
    </w:p>
  </w:footnote>
  <w:footnote w:type="continuationSeparator" w:id="0">
    <w:p w14:paraId="4BEF64E8" w14:textId="77777777" w:rsidR="003E1573" w:rsidRDefault="00881BD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D6765"/>
    <w:multiLevelType w:val="multilevel"/>
    <w:tmpl w:val="AB0463D6"/>
    <w:lvl w:ilvl="0">
      <w:start w:val="1"/>
      <w:numFmt w:val="decimal"/>
      <w:lvlText w:val="%1."/>
      <w:lvlJc w:val="left"/>
      <w:pPr>
        <w:ind w:left="720" w:hanging="360"/>
      </w:pPr>
      <w:rPr>
        <w:rFonts w:ascii="Arial" w:eastAsia="Arial" w:hAnsi="Arial" w:cs="Arial"/>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7B44F6D"/>
    <w:multiLevelType w:val="multilevel"/>
    <w:tmpl w:val="8D50A2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61501755">
    <w:abstractNumId w:val="1"/>
  </w:num>
  <w:num w:numId="2" w16cid:durableId="1845515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29AC"/>
    <w:rsid w:val="00034518"/>
    <w:rsid w:val="000B4DEF"/>
    <w:rsid w:val="00213543"/>
    <w:rsid w:val="002172B2"/>
    <w:rsid w:val="00293EB2"/>
    <w:rsid w:val="002A1A00"/>
    <w:rsid w:val="003E1573"/>
    <w:rsid w:val="004529AC"/>
    <w:rsid w:val="00480140"/>
    <w:rsid w:val="004B3C48"/>
    <w:rsid w:val="005F1E2B"/>
    <w:rsid w:val="005F3B38"/>
    <w:rsid w:val="006D1629"/>
    <w:rsid w:val="006E28D4"/>
    <w:rsid w:val="00717D65"/>
    <w:rsid w:val="00766A59"/>
    <w:rsid w:val="007D78AE"/>
    <w:rsid w:val="00813982"/>
    <w:rsid w:val="00881BD2"/>
    <w:rsid w:val="009631D8"/>
    <w:rsid w:val="009650C7"/>
    <w:rsid w:val="00973765"/>
    <w:rsid w:val="009855B1"/>
    <w:rsid w:val="009A6640"/>
    <w:rsid w:val="00A46142"/>
    <w:rsid w:val="00A546E8"/>
    <w:rsid w:val="00AA507F"/>
    <w:rsid w:val="00AB0431"/>
    <w:rsid w:val="00BD197D"/>
    <w:rsid w:val="00DC1B0B"/>
    <w:rsid w:val="00DE5721"/>
    <w:rsid w:val="00E83D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B7F01"/>
  <w15:docId w15:val="{3F6EF04F-DFD0-40AF-8AAB-815A37B45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DC1B0B"/>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customStyle="1" w:styleId="cis">
    <w:name w:val="cis"/>
    <w:basedOn w:val="Normal"/>
    <w:rsid w:val="005F3B38"/>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hv">
    <w:name w:val="chv"/>
    <w:basedOn w:val="DefaultParagraphFont"/>
    <w:rsid w:val="005F3B38"/>
  </w:style>
  <w:style w:type="paragraph" w:customStyle="1" w:styleId="cit">
    <w:name w:val="cit"/>
    <w:basedOn w:val="Normal"/>
    <w:rsid w:val="005F3B38"/>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fw">
    <w:name w:val="cfw"/>
    <w:basedOn w:val="DefaultParagraphFont"/>
    <w:rsid w:val="005F3B38"/>
  </w:style>
  <w:style w:type="paragraph" w:customStyle="1" w:styleId="cjc">
    <w:name w:val="cjc"/>
    <w:basedOn w:val="Normal"/>
    <w:rsid w:val="005F3B38"/>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hm">
    <w:name w:val="chm"/>
    <w:basedOn w:val="DefaultParagraphFont"/>
    <w:rsid w:val="005F3B38"/>
  </w:style>
  <w:style w:type="paragraph" w:customStyle="1" w:styleId="cir">
    <w:name w:val="cir"/>
    <w:basedOn w:val="Normal"/>
    <w:rsid w:val="005F3B3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rmalWeb">
    <w:name w:val="Normal (Web)"/>
    <w:basedOn w:val="Normal"/>
    <w:uiPriority w:val="99"/>
    <w:unhideWhenUsed/>
    <w:rsid w:val="006D162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DC1B0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C1B0B"/>
    <w:pPr>
      <w:spacing w:after="100"/>
    </w:pPr>
  </w:style>
  <w:style w:type="character" w:styleId="Hyperlink">
    <w:name w:val="Hyperlink"/>
    <w:basedOn w:val="DefaultParagraphFont"/>
    <w:uiPriority w:val="99"/>
    <w:unhideWhenUsed/>
    <w:rsid w:val="00DC1B0B"/>
    <w:rPr>
      <w:color w:val="0000FF" w:themeColor="hyperlink"/>
      <w:u w:val="single"/>
    </w:rPr>
  </w:style>
  <w:style w:type="paragraph" w:styleId="Header">
    <w:name w:val="header"/>
    <w:basedOn w:val="Normal"/>
    <w:link w:val="HeaderChar"/>
    <w:uiPriority w:val="99"/>
    <w:unhideWhenUsed/>
    <w:rsid w:val="00DC1B0B"/>
    <w:pPr>
      <w:tabs>
        <w:tab w:val="center" w:pos="4680"/>
        <w:tab w:val="right" w:pos="9360"/>
      </w:tabs>
      <w:spacing w:line="240" w:lineRule="auto"/>
    </w:pPr>
  </w:style>
  <w:style w:type="character" w:customStyle="1" w:styleId="HeaderChar">
    <w:name w:val="Header Char"/>
    <w:basedOn w:val="DefaultParagraphFont"/>
    <w:link w:val="Header"/>
    <w:uiPriority w:val="99"/>
    <w:rsid w:val="00DC1B0B"/>
  </w:style>
  <w:style w:type="paragraph" w:styleId="Footer">
    <w:name w:val="footer"/>
    <w:basedOn w:val="Normal"/>
    <w:link w:val="FooterChar"/>
    <w:uiPriority w:val="99"/>
    <w:unhideWhenUsed/>
    <w:rsid w:val="00DC1B0B"/>
    <w:pPr>
      <w:tabs>
        <w:tab w:val="center" w:pos="4680"/>
        <w:tab w:val="right" w:pos="9360"/>
      </w:tabs>
      <w:spacing w:line="240" w:lineRule="auto"/>
    </w:pPr>
  </w:style>
  <w:style w:type="character" w:customStyle="1" w:styleId="FooterChar">
    <w:name w:val="Footer Char"/>
    <w:basedOn w:val="DefaultParagraphFont"/>
    <w:link w:val="Footer"/>
    <w:uiPriority w:val="99"/>
    <w:rsid w:val="00DC1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C3B3DF-E64F-49A0-9921-7E88454D3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10</Pages>
  <Words>2051</Words>
  <Characters>11694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GHitiu</cp:lastModifiedBy>
  <cp:revision>17</cp:revision>
  <dcterms:created xsi:type="dcterms:W3CDTF">2022-07-28T06:35:00Z</dcterms:created>
  <dcterms:modified xsi:type="dcterms:W3CDTF">2022-08-03T18:18:00Z</dcterms:modified>
</cp:coreProperties>
</file>