
<file path=[Content_Types].xml><?xml version="1.0" encoding="utf-8"?>
<Types xmlns="http://schemas.openxmlformats.org/package/2006/content-types">
  <Default Extension="rels" ContentType="application/vnd.openxmlformats-package.relationships+xml"/>
  <Default Extension="xml" ContentType="application/xml"/>
  <Default Extension="emf" ContentType="image/x-emf"/>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Override PartName="/word/intelligence2.xml" ContentType="application/vnd.ms-office.intelligence2+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7397C3BB" w:rsidRDefault="7397C3BB" w14:paraId="0768D6E7" w14:textId="1962375C" w:rsidP="7397C3BB">
      <w:pPr>
        <w:jc w:val="center"/>
        <w:spacing w:line="360" w:lineRule="auto"/>
        <w:rPr>
          <w:bCs/>
          <w:b/>
          <w:color w:val="000000"/>
          <w:rFonts w:ascii="Arial" w:cs="Arial" w:eastAsia="Arial" w:hAnsi="Arial"/>
          <w:sz w:val="24"/>
          <w:szCs w:val="24"/>
        </w:rPr>
      </w:pPr>
    </w:p>
    <w:p w:rsidR="7397C3BB" w:rsidRDefault="7397C3BB" w14:paraId="2E9562E3" w14:textId="103F69FA" w:rsidP="7397C3BB">
      <w:pPr>
        <w:jc w:val="center"/>
        <w:spacing w:line="360" w:lineRule="auto"/>
        <w:rPr>
          <w:bCs/>
          <w:b/>
          <w:color w:val="000000"/>
          <w:rFonts w:ascii="Arial" w:cs="Arial" w:eastAsia="Arial" w:hAnsi="Arial"/>
          <w:sz w:val="24"/>
          <w:szCs w:val="24"/>
        </w:rPr>
      </w:pPr>
    </w:p>
    <w:p w:rsidR="7397C3BB" w:rsidRDefault="7397C3BB" w14:paraId="0A2271C5" w14:textId="6B3A464C" w:rsidP="7397C3BB">
      <w:pPr>
        <w:jc w:val="center"/>
        <w:spacing w:line="360" w:lineRule="auto"/>
        <w:rPr>
          <w:bCs/>
          <w:b/>
          <w:color w:val="000000"/>
          <w:rFonts w:ascii="Arial" w:cs="Arial" w:eastAsia="Arial" w:hAnsi="Arial"/>
          <w:sz w:val="24"/>
          <w:szCs w:val="24"/>
        </w:rPr>
      </w:pPr>
    </w:p>
    <w:p w:rsidR="53912764" w:rsidRDefault="7397C3BB" w14:paraId="2C17DAA6" w14:textId="048DFE33" w:rsidP="7397C3BB">
      <w:pPr>
        <w:jc w:val="center"/>
        <w:spacing w:line="360" w:lineRule="auto"/>
        <w:rPr>
          <w:bCs/>
          <w:b/>
          <w:color w:val="000000"/>
          <w:rFonts w:ascii="Arial" w:cs="Arial" w:eastAsia="Arial" w:hAnsi="Arial"/>
          <w:sz w:val="36"/>
          <w:szCs w:val="24"/>
        </w:rPr>
      </w:pPr>
      <w:r w:rsidRPr="7397C3BB">
        <w:rPr>
          <w:bCs/>
          <w:b/>
          <w:color w:val="000000"/>
          <w:rFonts w:ascii="Arial" w:cs="Arial" w:eastAsia="Arial" w:hAnsi="Arial"/>
          <w:sz w:val="36"/>
          <w:szCs w:val="24"/>
        </w:rPr>
        <w:t>HOSPITALITY &amp; TOURISM MANAGEMENT</w:t>
      </w:r>
    </w:p>
    <w:p w:rsidR="53912764" w:rsidRDefault="7397C3BB" w14:paraId="1F1DEDFE" w14:textId="20A160CD" w:rsidP="7397C3BB">
      <w:pPr>
        <w:jc w:val="center"/>
        <w:spacing w:line="360" w:lineRule="auto"/>
        <w:rPr>
          <w:bCs/>
          <w:b/>
          <w:color w:val="000000"/>
          <w:rFonts w:ascii="Arial" w:cs="Arial" w:eastAsia="Arial" w:hAnsi="Arial"/>
          <w:sz w:val="36"/>
          <w:szCs w:val="24"/>
        </w:rPr>
      </w:pPr>
      <w:r w:rsidRPr="7397C3BB">
        <w:rPr>
          <w:bCs/>
          <w:b/>
          <w:color w:val="000000"/>
          <w:rFonts w:ascii="Arial" w:cs="Arial" w:eastAsia="Arial" w:hAnsi="Arial"/>
          <w:sz w:val="36"/>
          <w:szCs w:val="24"/>
        </w:rPr>
        <w:t>BA INTERNATIONAL HOTEL MANAGEMENT</w:t>
      </w:r>
    </w:p>
    <w:p>
      <w:pPr>
        <w:jc w:val="center"/>
        <w:spacing w:line="360" w:lineRule="auto"/>
        <w:rPr>
          <w:sz w:val="36"/>
        </w:rPr>
      </w:pPr>
      <w:r>
        <w:rPr>
          <w:b/>
          <w:color w:val="000000"/>
          <w:rFonts w:ascii="Arial"/>
          <w:sz w:val="36"/>
        </w:rPr>
        <w:t>Food and Beverage-BMIH4002</w:t>
      </w:r>
    </w:p>
    <w:p w:rsidR="53912764" w:rsidRDefault="53912764" w14:paraId="27ED76F7" w14:textId="755E5D5D" w:rsidP="7397C3BB">
      <w:pPr>
        <w:jc w:val="center"/>
        <w:spacing w:line="360" w:lineRule="auto"/>
        <w:rPr>
          <w:bCs/>
          <w:b/>
          <w:color w:val="000000"/>
          <w:rFonts w:ascii="Arial" w:cs="Arial" w:eastAsia="Arial" w:hAnsi="Arial"/>
          <w:sz w:val="24"/>
          <w:szCs w:val="24"/>
        </w:rPr>
      </w:pPr>
    </w:p>
    <w:p w:rsidR="53912764" w:rsidRDefault="7397C3BB" w14:paraId="77CBB090" w14:textId="3EA396FE" w:rsidP="7397C3BB">
      <w:pPr>
        <w:jc w:val="center"/>
        <w:spacing w:line="360" w:lineRule="auto"/>
        <w:rPr>
          <w:bCs/>
          <w:b/>
          <w:color w:val="000000"/>
          <w:rFonts w:ascii="Arial" w:cs="Arial" w:eastAsia="Arial" w:hAnsi="Arial"/>
          <w:sz w:val="24"/>
          <w:szCs w:val="24"/>
        </w:rPr>
      </w:pPr>
      <w:r w:rsidRPr="7397C3BB">
        <w:rPr>
          <w:bCs/>
          <w:b/>
          <w:color w:val="000000"/>
          <w:rFonts w:ascii="Arial" w:cs="Arial" w:eastAsia="Arial" w:hAnsi="Arial"/>
          <w:sz w:val="24"/>
          <w:szCs w:val="24"/>
        </w:rPr>
        <w:t xml:space="preserve"> </w:t>
      </w:r>
      <w:r>
        <w:rPr>
          <w:b/>
          <w:color w:val="000000"/>
          <w:rFonts w:ascii="Arial"/>
          <w:sz w:val="48"/>
        </w:rPr>
        <w:t>HOTEL TRINITY MENU</w:t>
      </w:r>
    </w:p>
    <w:p>
      <w:pPr>
        <w:jc w:val="left"/>
        <w:spacing w:line="360" w:lineRule="auto"/>
        <w:rPr>
          <w:b w:val="0"/>
        </w:rPr>
      </w:pPr>
      <w:r>
        <w:rPr>
          <w:b w:val="0"/>
          <w:color w:val="000000"/>
          <w:rFonts w:ascii="Arial"/>
          <w:sz w:val="24"/>
        </w:rPr>
      </w:r>
    </w:p>
    <w:p>
      <w:pPr>
        <w:jc w:val="left"/>
        <w:spacing w:line="360" w:lineRule="auto"/>
        <w:rPr>
          <w:b w:val="0"/>
        </w:rPr>
      </w:pPr>
      <w:r>
        <w:rPr>
          <w:b w:val="0"/>
          <w:color w:val="000000"/>
          <w:rFonts w:ascii="Arial"/>
          <w:sz w:val="24"/>
        </w:rPr>
      </w:r>
    </w:p>
    <w:p>
      <w:pPr>
        <w:jc w:val="left"/>
        <w:spacing w:line="360" w:lineRule="auto"/>
        <w:rPr>
          <w:b w:val="0"/>
        </w:rPr>
      </w:pPr>
      <w:r>
        <w:rPr>
          <w:b w:val="0"/>
          <w:color w:val="000000"/>
          <w:rFonts w:ascii="Arial"/>
          <w:sz w:val="24"/>
        </w:rPr>
      </w:r>
    </w:p>
    <w:p>
      <w:pPr>
        <w:jc w:val="left"/>
        <w:spacing w:line="360" w:lineRule="auto"/>
        <w:rPr>
          <w:b w:val="0"/>
        </w:rPr>
      </w:pPr>
      <w:r>
        <w:rPr>
          <w:b w:val="0"/>
          <w:color w:val="000000"/>
          <w:rFonts w:ascii="Arial"/>
          <w:sz w:val="24"/>
        </w:rPr>
      </w:r>
    </w:p>
    <w:p w:rsidR="53912764" w:rsidRDefault="7397C3BB" w14:paraId="6E4DD934" w14:textId="02D95891" w:rsidP="7397C3BB">
      <w:pPr>
        <w:jc w:val="left"/>
        <w:spacing w:line="360" w:lineRule="auto"/>
        <w:rPr>
          <w:bCs/>
          <w:b w:val="0"/>
          <w:color w:val="000000"/>
          <w:rFonts w:ascii="Arial" w:cs="Arial" w:eastAsia="Arial" w:hAnsi="Arial"/>
          <w:sz w:val="24"/>
          <w:szCs w:val="24"/>
        </w:rPr>
      </w:pPr>
      <w:r w:rsidRPr="7397C3BB">
        <w:rPr>
          <w:bCs/>
          <w:b w:val="0"/>
          <w:color w:val="000000"/>
          <w:rFonts w:ascii="Arial" w:cs="Arial" w:eastAsia="Arial" w:hAnsi="Arial"/>
          <w:sz w:val="24"/>
          <w:szCs w:val="24"/>
        </w:rPr>
        <w:t>STUD</w:t>
      </w:r>
      <w:r>
        <w:rPr>
          <w:b w:val="0"/>
          <w:color w:val="000000"/>
          <w:rFonts w:ascii="Arial"/>
          <w:sz w:val="24"/>
        </w:rPr>
        <w:t xml:space="preserve">ENT NAME: </w:t>
      </w:r>
      <w:r>
        <w:rPr>
          <w:b/>
          <w:color w:val="000000"/>
          <w:rFonts w:ascii="Arial"/>
          <w:sz w:val="24"/>
        </w:rPr>
        <w:t>Florin Ionut NItu</w:t>
      </w:r>
      <w:r>
        <w:rPr>
          <w:b w:val="0"/>
          <w:color w:val="000000"/>
          <w:rFonts w:ascii="Arial"/>
          <w:sz w:val="24"/>
        </w:rPr>
        <w:t xml:space="preserve">                              LECTURER:</w:t>
      </w:r>
      <w:r>
        <w:rPr>
          <w:b/>
          <w:color w:val="000000"/>
          <w:rFonts w:ascii="Arial"/>
          <w:sz w:val="24"/>
        </w:rPr>
        <w:t>Ka Po Chong</w:t>
      </w:r>
    </w:p>
    <w:p w:rsidR="53912764" w:rsidRDefault="7397C3BB" w14:paraId="76B4B819" w14:textId="6ECBF28C" w:rsidP="7397C3BB">
      <w:pPr>
        <w:jc w:val="left"/>
        <w:spacing w:line="360" w:lineRule="auto"/>
        <w:rPr>
          <w:bCs/>
          <w:b w:val="0"/>
          <w:color w:val="000000"/>
          <w:rFonts w:ascii="Arial" w:cs="Arial" w:eastAsia="Arial" w:hAnsi="Arial"/>
          <w:sz w:val="24"/>
          <w:szCs w:val="24"/>
        </w:rPr>
      </w:pPr>
      <w:r w:rsidRPr="7397C3BB">
        <w:rPr>
          <w:bCs/>
          <w:b w:val="0"/>
          <w:color w:val="000000"/>
          <w:rFonts w:ascii="Arial" w:cs="Arial" w:eastAsia="Arial" w:hAnsi="Arial"/>
          <w:sz w:val="24"/>
          <w:szCs w:val="24"/>
        </w:rPr>
        <w:t>STUDENT ID:</w:t>
      </w:r>
      <w:r>
        <w:rPr>
          <w:b/>
          <w:color w:val="000000"/>
          <w:rFonts w:ascii="Arial"/>
          <w:sz w:val="24"/>
        </w:rPr>
        <w:t xml:space="preserve">2240772  </w:t>
      </w:r>
      <w:r>
        <w:rPr>
          <w:b w:val="0"/>
          <w:color w:val="000000"/>
          <w:rFonts w:ascii="Arial"/>
          <w:sz w:val="24"/>
        </w:rPr>
        <w:t xml:space="preserve">                                                   SUBMISSION DATE:</w:t>
      </w:r>
      <w:r>
        <w:rPr>
          <w:b/>
          <w:color w:val="000000"/>
          <w:rFonts w:ascii="Arial"/>
          <w:sz w:val="24"/>
        </w:rPr>
        <w:t>11/nov/2023</w:t>
      </w:r>
      <w:r>
        <w:rPr>
          <w:b w:val="0"/>
          <w:color w:val="000000"/>
          <w:rFonts w:ascii="Arial"/>
          <w:sz w:val="24"/>
        </w:rPr>
      </w:r>
    </w:p>
    <w:p w:rsidR="53912764" w:rsidRDefault="7397C3BB" w14:paraId="7286A925" w14:textId="6C9308AA" w:rsidP="7397C3BB">
      <w:pPr>
        <w:jc w:val="center"/>
        <w:spacing w:line="360" w:lineRule="auto"/>
        <w:rPr>
          <w:bCs/>
          <w:b w:val="0"/>
          <w:color w:val="000000"/>
          <w:rFonts w:ascii="Arial" w:cs="Arial" w:eastAsia="Arial" w:hAnsi="Arial"/>
          <w:sz w:val="24"/>
          <w:szCs w:val="24"/>
        </w:rPr>
      </w:pPr>
      <w:r w:rsidRPr="7397C3BB">
        <w:rPr>
          <w:bCs/>
          <w:b w:val="0"/>
          <w:color w:val="000000"/>
          <w:rFonts w:ascii="Arial" w:cs="Arial" w:eastAsia="Arial" w:hAnsi="Arial"/>
          <w:sz w:val="24"/>
          <w:szCs w:val="24"/>
        </w:rPr>
      </w:r>
    </w:p>
    <w:p w:rsidR="53912764" w:rsidRDefault="53912764" w14:paraId="14C68835" w14:textId="251A55BD" w:rsidP="7397C3BB">
      <w:pPr>
        <w:spacing w:line="360" w:lineRule="auto"/>
        <w:rPr>
          <w:rFonts w:ascii="Arial" w:cs="Arial" w:eastAsia="Arial" w:hAnsi="Arial"/>
          <w:sz w:val="24"/>
          <w:szCs w:val="24"/>
        </w:rPr>
      </w:pPr>
    </w:p>
    <w:p w:rsidR="53912764" w:rsidRDefault="53912764" w14:paraId="0D2D8165" w14:textId="086F5A0A" w:rsidP="7397C3BB">
      <w:pPr>
        <w:spacing w:line="360" w:lineRule="auto"/>
        <w:rPr>
          <w:rFonts w:ascii="Arial" w:cs="Arial" w:eastAsia="Arial" w:hAnsi="Arial"/>
          <w:sz w:val="24"/>
          <w:szCs w:val="24"/>
        </w:rPr>
      </w:pPr>
      <w:r>
        <w:rPr>
          <w:rFonts w:ascii="Arial" w:cs="Arial" w:eastAsia="Arial" w:hAnsi="Arial"/>
          <w:sz w:val="24"/>
          <w:szCs w:val="24"/>
        </w:rPr>
        <w:br w:type="page"/>
      </w:r>
    </w:p>
    <w:p w:rsidR="53912764" w:rsidRDefault="5F0EF5E4" w14:paraId="19780C42" w14:textId="4B5C103E" w:rsidP="5F0EF5E4">
      <w:pPr>
        <w:jc w:val="both"/>
        <w:spacing w:line="360" w:lineRule="auto"/>
        <w:rPr>
          <w:rFonts w:ascii="Arial" w:cs="Arial" w:eastAsia="Arial" w:hAnsi="Arial"/>
          <w:sz w:val="24"/>
          <w:szCs w:val="24"/>
        </w:rPr>
      </w:pPr>
      <w:r w:rsidRPr="5F0EF5E4">
        <w:rPr>
          <w:rFonts w:ascii="Arial" w:cs="Arial" w:eastAsia="Arial" w:hAnsi="Arial"/>
          <w:sz w:val="24"/>
          <w:szCs w:val="24"/>
        </w:rPr>
        <w:t>Welcome to Hotel Trinity, a gastronomic haven where a warm, refined stylistic theme joins with culinary creativity. Our restaurant's concept combines with present-day flavours, and its varied menu is intended to entice the faculties.</w:t>
        <w:lastRenderedPageBreak/>
      </w:r>
    </w:p>
    <w:p w:rsidR="5F0EF5E4" w:rsidRDefault="5F0EF5E4" w14:paraId="3FA2E278" w14:textId="4BFF8A6C" w:rsidP="5F0EF5E4">
      <w:pPr>
        <w:jc w:val="both"/>
        <w:spacing w:line="360" w:lineRule="auto"/>
        <w:rPr>
          <w:rFonts w:ascii="Arial" w:cs="Arial" w:eastAsia="Arial" w:hAnsi="Arial"/>
          <w:sz w:val="24"/>
          <w:szCs w:val="24"/>
        </w:rPr>
      </w:pPr>
    </w:p>
    <w:p w:rsidR="53912764" w:rsidRDefault="5F0EF5E4" w14:paraId="477401FE" w14:textId="76BAAD72" w:rsidP="5F0EF5E4">
      <w:pPr>
        <w:jc w:val="both"/>
        <w:spacing w:line="360" w:lineRule="auto"/>
        <w:rPr>
          <w:rFonts w:ascii="Arial" w:cs="Arial" w:eastAsia="Arial" w:hAnsi="Arial"/>
          <w:sz w:val="24"/>
          <w:szCs w:val="24"/>
        </w:rPr>
      </w:pPr>
      <w:bookmarkStart w:id="0" w:name="_Toc1917048852"/>
      <w:r w:rsidRPr="5F0EF5E4">
        <w:rPr>
          <w:bCs/>
          <w:rStyle w:val="Heading1Char"/>
          <w:b/>
          <w:color w:val="auto"/>
          <w:rFonts w:ascii="Arial" w:cs="Arial" w:eastAsia="Arial" w:hAnsi="Arial"/>
          <w:sz w:val="24"/>
          <w:szCs w:val="24"/>
        </w:rPr>
        <w:t>Principle</w:t>
      </w:r>
      <w:bookmarkEnd w:id="0"/>
    </w:p>
    <w:p w:rsidR="53912764" w:rsidRDefault="5F0EF5E4" w14:paraId="124B6293" w14:textId="033CB697" w:rsidP="5F0EF5E4">
      <w:pPr>
        <w:jc w:val="both"/>
        <w:spacing w:line="360" w:lineRule="auto"/>
        <w:rPr>
          <w:rFonts w:ascii="Arial" w:cs="Arial" w:eastAsia="Arial" w:hAnsi="Arial"/>
          <w:sz w:val="24"/>
          <w:szCs w:val="24"/>
        </w:rPr>
      </w:pPr>
      <w:r w:rsidRPr="5F0EF5E4">
        <w:rPr>
          <w:rFonts w:ascii="Arial" w:cs="Arial" w:eastAsia="Arial" w:hAnsi="Arial"/>
          <w:sz w:val="24"/>
          <w:szCs w:val="24"/>
        </w:rPr>
        <w:t>The Hotel Trinity has been designed to act as an adaptable setting for eating, taking care of both informal and more sophisticated patrons. Our thought is to create a warm, welcoming space where guests can enjoy a variety of very well-chosen meals, each with a distinct combination of flavours and textures (Cousins et al., 2018).</w:t>
      </w:r>
    </w:p>
    <w:p w:rsidR="5F0EF5E4" w:rsidRDefault="5F0EF5E4" w14:paraId="711F3F61" w14:textId="35651A7A" w:rsidP="5F0EF5E4">
      <w:pPr>
        <w:jc w:val="both"/>
        <w:spacing w:line="360" w:lineRule="auto"/>
        <w:rPr>
          <w:rFonts w:ascii="Arial" w:cs="Arial" w:eastAsia="Arial" w:hAnsi="Arial"/>
          <w:sz w:val="24"/>
          <w:szCs w:val="24"/>
        </w:rPr>
      </w:pPr>
    </w:p>
    <w:p w:rsidR="53912764" w:rsidRDefault="5F0EF5E4" w14:paraId="197297A5" w14:textId="404D830A" w:rsidP="5F0EF5E4">
      <w:pPr>
        <w:pStyle w:val="Heading1"/>
        <w:jc w:val="both"/>
        <w:spacing w:line="360" w:lineRule="auto"/>
        <w:rPr>
          <w:bCs/>
          <w:b/>
          <w:color w:val="auto"/>
          <w:rFonts w:ascii="Arial" w:cs="Arial" w:eastAsia="Arial" w:hAnsi="Arial"/>
          <w:sz w:val="24"/>
          <w:szCs w:val="24"/>
        </w:rPr>
      </w:pPr>
      <w:bookmarkStart w:id="1" w:name="_Toc75545225"/>
      <w:r w:rsidRPr="5F0EF5E4">
        <w:rPr>
          <w:bCs/>
          <w:b/>
          <w:color w:val="auto"/>
          <w:rFonts w:ascii="Arial" w:cs="Arial" w:eastAsia="Arial" w:hAnsi="Arial"/>
          <w:sz w:val="24"/>
          <w:szCs w:val="24"/>
        </w:rPr>
        <w:t>Goal Audience</w:t>
      </w:r>
      <w:bookmarkEnd w:id="1"/>
    </w:p>
    <w:p w:rsidR="53912764" w:rsidRDefault="5F0EF5E4" w14:paraId="05A14313" w14:textId="7AE6BACA" w:rsidP="5F0EF5E4">
      <w:pPr>
        <w:jc w:val="both"/>
        <w:spacing w:line="480" w:lineRule="auto"/>
        <w:rPr>
          <w:rFonts w:ascii="Arial" w:cs="Arial" w:eastAsia="Arial" w:hAnsi="Arial"/>
          <w:sz w:val="24"/>
          <w:szCs w:val="24"/>
        </w:rPr>
      </w:pPr>
      <w:r w:rsidRPr="5F0EF5E4">
        <w:rPr>
          <w:rFonts w:ascii="Arial" w:cs="Arial" w:eastAsia="Arial" w:hAnsi="Arial"/>
          <w:sz w:val="24"/>
          <w:szCs w:val="24"/>
        </w:rPr>
        <w:t>Our target market is broad and includes both individuals and families searching for a special eating experience. From business professionals searching for a modern lunch scene to couples desiring a romantic dinner, Hotel Trinity expects to be the go-to choose for people who value culinary excellence in a relaxed environment. The menu variety guarantees there is something for everybody, from seafood enthusiasts to those craving hearty classics (</w:t>
      </w:r>
      <w:proofErr w:type="spellStart"/>
      <w:r w:rsidRPr="5F0EF5E4">
        <w:rPr>
          <w:rFonts w:ascii="Arial" w:cs="Arial" w:eastAsia="Arial" w:hAnsi="Arial"/>
          <w:sz w:val="24"/>
          <w:szCs w:val="24"/>
        </w:rPr>
        <w:t>Foskett</w:t>
      </w:r>
      <w:proofErr w:type="spellEnd"/>
      <w:r w:rsidRPr="5F0EF5E4">
        <w:rPr>
          <w:rFonts w:ascii="Arial" w:cs="Arial" w:eastAsia="Arial" w:hAnsi="Arial"/>
          <w:sz w:val="24"/>
          <w:szCs w:val="24"/>
        </w:rPr>
        <w:t xml:space="preserve"> et al., 2021).</w:t>
      </w:r>
    </w:p>
    <w:p w:rsidR="5F0EF5E4" w:rsidRDefault="5F0EF5E4" w14:paraId="02E0585A" w14:textId="472F9C7B" w:rsidP="5F0EF5E4">
      <w:pPr>
        <w:jc w:val="both"/>
        <w:spacing w:line="480" w:lineRule="auto"/>
        <w:rPr>
          <w:rFonts w:ascii="Arial" w:cs="Arial" w:eastAsia="Arial" w:hAnsi="Arial"/>
          <w:sz w:val="24"/>
          <w:szCs w:val="24"/>
        </w:rPr>
      </w:pPr>
    </w:p>
    <w:p w:rsidR="53912764" w:rsidRDefault="5F0EF5E4" w14:paraId="178371FF" w14:textId="3E4754CB" w:rsidP="5F0EF5E4">
      <w:pPr>
        <w:pStyle w:val="Heading1"/>
        <w:jc w:val="both"/>
        <w:spacing w:line="480" w:lineRule="auto"/>
        <w:rPr>
          <w:bCs/>
          <w:b/>
          <w:color w:val="auto"/>
          <w:rFonts w:ascii="Arial" w:cs="Arial" w:eastAsia="Arial" w:hAnsi="Arial"/>
          <w:sz w:val="24"/>
          <w:szCs w:val="24"/>
        </w:rPr>
      </w:pPr>
      <w:bookmarkStart w:id="2" w:name="_Toc682817677"/>
      <w:r w:rsidRPr="5F0EF5E4">
        <w:rPr>
          <w:bCs/>
          <w:b/>
          <w:color w:val="auto"/>
          <w:rFonts w:ascii="Arial" w:cs="Arial" w:eastAsia="Arial" w:hAnsi="Arial"/>
          <w:sz w:val="24"/>
          <w:szCs w:val="24"/>
        </w:rPr>
        <w:t>Menu Rationale</w:t>
      </w:r>
      <w:bookmarkEnd w:id="2"/>
    </w:p>
    <w:p w:rsidR="53912764" w:rsidRDefault="5F0EF5E4" w14:paraId="28DA1CF1" w14:textId="03C303A1" w:rsidP="5F0EF5E4">
      <w:pPr>
        <w:jc w:val="both"/>
        <w:spacing w:line="360" w:lineRule="auto"/>
        <w:rPr>
          <w:rFonts w:ascii="Arial" w:cs="Arial" w:eastAsia="Arial" w:hAnsi="Arial"/>
          <w:sz w:val="24"/>
          <w:szCs w:val="24"/>
        </w:rPr>
      </w:pPr>
      <w:r w:rsidRPr="5F0EF5E4">
        <w:rPr>
          <w:rFonts w:ascii="Arial" w:cs="Arial" w:eastAsia="Arial" w:hAnsi="Arial"/>
          <w:sz w:val="24"/>
          <w:szCs w:val="24"/>
        </w:rPr>
        <w:t>The menu at Inn Trinity mirrors a guarantee of quality fixings, creative pairings, and a sign of approval for both global and local culinary impacts. Here is the reasoning behind a portion of our key menu decisions:</w:t>
      </w:r>
    </w:p>
    <w:p w:rsidR="53912764" w:rsidRDefault="5F0EF5E4" w14:paraId="0952F8F3" w14:textId="23313C02" w:rsidP="5F0EF5E4">
      <w:pPr>
        <w:jc w:val="both"/>
        <w:spacing w:after="0" w:line="360" w:lineRule="auto"/>
        <w:rPr>
          <w:rFonts w:ascii="Arial" w:cs="Arial" w:eastAsia="Arial" w:hAnsi="Arial"/>
          <w:sz w:val="24"/>
          <w:szCs w:val="24"/>
        </w:rPr>
      </w:pPr>
      <w:r w:rsidRPr="5F0EF5E4">
        <w:rPr>
          <w:bCs/>
          <w:b/>
          <w:rFonts w:ascii="Arial" w:cs="Arial" w:eastAsia="Arial" w:hAnsi="Arial"/>
          <w:sz w:val="24"/>
          <w:szCs w:val="24"/>
        </w:rPr>
        <w:t>Starters</w:t>
      </w:r>
      <w:r w:rsidRPr="5F0EF5E4">
        <w:rPr>
          <w:rFonts w:ascii="Arial" w:cs="Arial" w:eastAsia="Arial" w:hAnsi="Arial"/>
          <w:sz w:val="24"/>
          <w:szCs w:val="24"/>
        </w:rPr>
        <w:t xml:space="preserve">: With their blend of crunchy textures and flavours, the deep-fried brie and calamari make for amazing starting points. For individuals who enjoy fish, the appetisers </w:t>
      </w:r>
      <w:r w:rsidRPr="5F0EF5E4">
        <w:rPr>
          <w:rFonts w:ascii="Arial" w:cs="Arial" w:eastAsia="Arial" w:hAnsi="Arial"/>
          <w:sz w:val="24"/>
          <w:szCs w:val="24"/>
        </w:rPr>
        <w:t>of smoked salmon and trout offer a tasty and nutritious decision. The cheddar streak presents a fun blend of flavours and textures (Davis et al., 2018).</w:t>
        <w:lastRenderedPageBreak/>
      </w:r>
    </w:p>
    <w:p w:rsidR="53912764" w:rsidRDefault="5F0EF5E4" w14:paraId="66691DA4" w14:textId="4E4A6D6A" w:rsidP="5F0EF5E4">
      <w:pPr>
        <w:jc w:val="both"/>
        <w:spacing w:line="360" w:lineRule="auto"/>
        <w:rPr>
          <w:rFonts w:ascii="Arial" w:cs="Arial" w:eastAsia="Arial" w:hAnsi="Arial"/>
          <w:sz w:val="24"/>
          <w:szCs w:val="24"/>
        </w:rPr>
      </w:pPr>
      <w:r w:rsidRPr="5F0EF5E4">
        <w:rPr>
          <w:bCs/>
          <w:b/>
          <w:rFonts w:ascii="Arial" w:cs="Arial" w:eastAsia="Arial" w:hAnsi="Arial"/>
          <w:sz w:val="24"/>
          <w:szCs w:val="24"/>
        </w:rPr>
        <w:t>Side Orders</w:t>
      </w:r>
      <w:r w:rsidRPr="5F0EF5E4">
        <w:rPr>
          <w:rFonts w:ascii="Arial" w:cs="Arial" w:eastAsia="Arial" w:hAnsi="Arial"/>
          <w:sz w:val="24"/>
          <w:szCs w:val="24"/>
        </w:rPr>
        <w:t>: Served close by the main dishes, our side orders are intended to make your dining experience significantly more pleasant. Each side dish, whether the high-quality chips and tomato fries or the garlic bread and mixed salad, is designed to enhance the entire meal.</w:t>
      </w:r>
    </w:p>
    <w:p w:rsidR="53912764" w:rsidRDefault="5F0EF5E4" w14:paraId="7A337F53" w14:textId="4114C0D2" w:rsidP="5F0EF5E4">
      <w:pPr>
        <w:jc w:val="both"/>
        <w:spacing w:line="360" w:lineRule="auto"/>
        <w:rPr>
          <w:rFonts w:ascii="Arial" w:cs="Arial" w:eastAsia="Arial" w:hAnsi="Arial"/>
          <w:sz w:val="24"/>
          <w:szCs w:val="24"/>
        </w:rPr>
      </w:pPr>
      <w:r w:rsidRPr="5F0EF5E4">
        <w:rPr>
          <w:bCs/>
          <w:b/>
          <w:rFonts w:ascii="Arial" w:cs="Arial" w:eastAsia="Arial" w:hAnsi="Arial"/>
          <w:sz w:val="24"/>
          <w:szCs w:val="24"/>
        </w:rPr>
        <w:t>Platters</w:t>
      </w:r>
      <w:r w:rsidRPr="5F0EF5E4">
        <w:rPr>
          <w:rFonts w:ascii="Arial" w:cs="Arial" w:eastAsia="Arial" w:hAnsi="Arial"/>
          <w:sz w:val="24"/>
          <w:szCs w:val="24"/>
        </w:rPr>
        <w:t>: We have a scope of choices on our platters, from Fish and Chips to Tuna Streak, for those looking for a more significant dinner. Each dish includes a nicely picked mix of flavours and textures to give a satisfying</w:t>
      </w:r>
    </w:p>
    <w:p w:rsidR="53912764" w:rsidRDefault="5F0EF5E4" w14:paraId="76E5D99F" w14:textId="2DD3378D" w:rsidP="5F0EF5E4">
      <w:pPr>
        <w:jc w:val="both"/>
        <w:spacing w:after="0" w:line="360" w:lineRule="auto"/>
        <w:rPr>
          <w:rFonts w:ascii="Arial" w:cs="Arial" w:eastAsia="Arial" w:hAnsi="Arial"/>
          <w:sz w:val="24"/>
          <w:szCs w:val="24"/>
        </w:rPr>
      </w:pPr>
      <w:r w:rsidRPr="5F0EF5E4">
        <w:rPr>
          <w:rFonts w:ascii="Arial" w:cs="Arial" w:eastAsia="Arial" w:hAnsi="Arial"/>
          <w:sz w:val="24"/>
          <w:szCs w:val="24"/>
        </w:rPr>
        <w:t>Drinks: We give various refreshments to suit various preferences, going from the traditional cup of tea to the decadent vanilla coffee flavour shot. Carefully chosen to coordinate with specific courses, the wine pairings raise the whole dining experience (</w:t>
      </w:r>
      <w:proofErr w:type="spellStart"/>
      <w:r w:rsidRPr="5F0EF5E4">
        <w:rPr>
          <w:rFonts w:ascii="Arial" w:cs="Arial" w:eastAsia="Arial" w:hAnsi="Arial"/>
          <w:sz w:val="24"/>
          <w:szCs w:val="24"/>
        </w:rPr>
        <w:t>Motarjemi</w:t>
      </w:r>
      <w:proofErr w:type="spellEnd"/>
      <w:r w:rsidRPr="5F0EF5E4">
        <w:rPr>
          <w:rFonts w:ascii="Arial" w:cs="Arial" w:eastAsia="Arial" w:hAnsi="Arial"/>
          <w:sz w:val="24"/>
          <w:szCs w:val="24"/>
        </w:rPr>
        <w:t xml:space="preserve"> et al., 2012).</w:t>
      </w:r>
    </w:p>
    <w:p w:rsidR="53912764" w:rsidRDefault="5F0EF5E4" w14:paraId="38DAAD4B" w14:textId="561C9200" w:rsidP="5F0EF5E4">
      <w:pPr>
        <w:jc w:val="both"/>
        <w:spacing w:after="0" w:line="360" w:lineRule="auto"/>
        <w:rPr>
          <w:rFonts w:ascii="Arial" w:cs="Arial" w:eastAsia="Arial" w:hAnsi="Arial"/>
          <w:sz w:val="24"/>
          <w:szCs w:val="24"/>
        </w:rPr>
      </w:pPr>
      <w:r w:rsidRPr="5F0EF5E4">
        <w:rPr>
          <w:rFonts w:ascii="Arial" w:cs="Arial" w:eastAsia="Arial" w:hAnsi="Arial"/>
          <w:sz w:val="24"/>
          <w:szCs w:val="24"/>
        </w:rPr>
        <w:t>Sodas: We offer a variety of traditional soda drink options, for example, lemon-lime, grape pop, and root lager, to help soothe the taste.</w:t>
      </w:r>
    </w:p>
    <w:p w:rsidR="53912764" w:rsidRDefault="5F0EF5E4" w14:paraId="31F38CC2" w14:textId="07C55A8E" w:rsidP="5F0EF5E4">
      <w:pPr>
        <w:jc w:val="both"/>
        <w:spacing w:after="0" w:line="360" w:lineRule="auto"/>
        <w:rPr>
          <w:rFonts w:ascii="Arial" w:cs="Arial" w:eastAsia="Arial" w:hAnsi="Arial"/>
          <w:sz w:val="24"/>
          <w:szCs w:val="24"/>
        </w:rPr>
      </w:pPr>
      <w:r w:rsidRPr="5F0EF5E4">
        <w:rPr>
          <w:rFonts w:ascii="Arial" w:cs="Arial" w:eastAsia="Arial" w:hAnsi="Arial"/>
          <w:sz w:val="24"/>
          <w:szCs w:val="24"/>
        </w:rPr>
        <w:t xml:space="preserve"> </w:t>
      </w:r>
    </w:p>
    <w:p w:rsidR="53912764" w:rsidRDefault="5F0EF5E4" w14:paraId="327CF59B" w14:textId="0425F672" w:rsidP="5F0EF5E4">
      <w:pPr>
        <w:jc w:val="both"/>
        <w:spacing w:after="0" w:line="360" w:lineRule="auto"/>
        <w:rPr>
          <w:rFonts w:ascii="Arial" w:cs="Arial" w:eastAsia="Arial" w:hAnsi="Arial"/>
          <w:sz w:val="24"/>
          <w:szCs w:val="24"/>
        </w:rPr>
      </w:pPr>
      <w:r w:rsidRPr="5F0EF5E4">
        <w:rPr>
          <w:rFonts w:ascii="Arial" w:cs="Arial" w:eastAsia="Arial" w:hAnsi="Arial"/>
          <w:sz w:val="24"/>
          <w:szCs w:val="24"/>
        </w:rPr>
        <w:t xml:space="preserve">Here at Hotel Trinity, our visitors' guests start things out. The disclaimer on dietary limitations features our commitment to meeting a range of dietary prerequisites and preferences. </w:t>
      </w:r>
    </w:p>
    <w:p w:rsidR="53912764" w:rsidRDefault="5F0EF5E4" w14:paraId="58353CA8" w14:textId="07703DAA" w:rsidP="5F0EF5E4">
      <w:pPr>
        <w:jc w:val="both"/>
        <w:spacing w:after="0" w:line="360" w:lineRule="auto"/>
        <w:rPr>
          <w:rFonts w:ascii="Arial" w:cs="Arial" w:eastAsia="Arial" w:hAnsi="Arial"/>
          <w:sz w:val="24"/>
          <w:szCs w:val="24"/>
        </w:rPr>
      </w:pPr>
      <w:r w:rsidRPr="5F0EF5E4">
        <w:rPr>
          <w:rFonts w:ascii="Arial" w:cs="Arial" w:eastAsia="Arial" w:hAnsi="Arial"/>
          <w:sz w:val="24"/>
          <w:szCs w:val="24"/>
        </w:rPr>
        <w:t>With a warm, welcoming environment, a menu made with affection, and a commitment to offering first-rate support, Hotel Trinity is more than just a dining establishment—a remarkable encounter has an enduring effect on our esteemed patrons. See us at Swansea's 25 Pacific Street.</w:t>
      </w:r>
    </w:p>
    <w:p w:rsidR="53912764" w:rsidRDefault="53912764" w14:paraId="699F08EE" w14:textId="066C2396" w:rsidP="5F0EF5E4">
      <w:pPr>
        <w:jc w:val="both"/>
        <w:spacing w:after="0" w:line="360" w:lineRule="auto"/>
        <w:rPr>
          <w:rFonts w:ascii="Arial" w:cs="Arial" w:eastAsia="Arial" w:hAnsi="Arial"/>
          <w:sz w:val="24"/>
          <w:szCs w:val="24"/>
        </w:rPr>
      </w:pPr>
    </w:p>
    <w:p w:rsidR="53912764" w:rsidRDefault="53912764" w14:paraId="17E28E5C" w14:textId="342AEE1A" w:rsidP="5F0EF5E4">
      <w:pPr>
        <w:jc w:val="both"/>
        <w:spacing w:line="360" w:lineRule="auto"/>
        <w:rPr>
          <w:rFonts w:ascii="Arial" w:cs="Arial" w:eastAsia="Arial" w:hAnsi="Arial"/>
          <w:sz w:val="24"/>
          <w:szCs w:val="24"/>
        </w:rPr>
      </w:pPr>
      <w:r>
        <w:rPr>
          <w:rFonts w:ascii="Arial" w:cs="Arial" w:eastAsia="Arial" w:hAnsi="Arial"/>
          <w:sz w:val="24"/>
          <w:szCs w:val="24"/>
        </w:rPr>
        <w:br w:type="page"/>
      </w:r>
    </w:p>
    <w:p w:rsidR="53912764" w:rsidRDefault="5F0EF5E4" w14:paraId="40EF666D" w14:textId="068F4FD5" w:rsidP="5F0EF5E4">
      <w:pPr>
        <w:pStyle w:val="Heading1"/>
        <w:jc w:val="both"/>
        <w:spacing w:line="360" w:lineRule="auto"/>
        <w:rPr>
          <w:bCs/>
          <w:b/>
          <w:color w:val="000000"/>
          <w:rFonts w:ascii="Arial" w:cs="Arial" w:eastAsia="Arial" w:hAnsi="Arial"/>
          <w:sz w:val="24"/>
          <w:szCs w:val="24"/>
        </w:rPr>
      </w:pPr>
      <w:bookmarkStart w:id="3" w:name="_Toc108903030"/>
      <w:r w:rsidRPr="5F0EF5E4">
        <w:rPr>
          <w:bCs/>
          <w:b/>
          <w:color w:val="auto"/>
          <w:rFonts w:ascii="Arial" w:cs="Arial" w:eastAsia="Arial" w:hAnsi="Arial"/>
          <w:sz w:val="24"/>
          <w:szCs w:val="24"/>
        </w:rPr>
        <w:t>REFERENCES</w:t>
        <w:lastRenderedPageBreak/>
      </w:r>
      <w:bookmarkEnd w:id="3"/>
      <w:r w:rsidRPr="5F0EF5E4">
        <w:rPr>
          <w:bCs/>
          <w:b/>
          <w:color w:val="auto"/>
          <w:rFonts w:ascii="Arial" w:cs="Arial" w:eastAsia="Arial" w:hAnsi="Arial"/>
          <w:sz w:val="24"/>
          <w:szCs w:val="24"/>
        </w:rPr>
        <w:t xml:space="preserve"> </w:t>
      </w:r>
    </w:p>
    <w:p w:rsidR="53912764" w:rsidRDefault="5F0EF5E4" w14:paraId="06769251" w14:textId="0514F73B" w:rsidP="5F0EF5E4">
      <w:pPr>
        <w:jc w:val="both"/>
        <w:ind w:left="720"/>
        <w:ind w:hanging="720"/>
        <w:spacing w:after="0" w:line="360" w:lineRule="auto"/>
        <w:rPr>
          <w:rFonts w:ascii="Arial" w:cs="Arial" w:eastAsia="Arial" w:hAnsi="Arial"/>
          <w:sz w:val="24"/>
          <w:szCs w:val="24"/>
        </w:rPr>
      </w:pPr>
      <w:proofErr w:type="spellStart"/>
      <w:r w:rsidRPr="5F0EF5E4">
        <w:rPr>
          <w:rFonts w:ascii="Arial" w:cs="Arial" w:eastAsia="Arial" w:hAnsi="Arial"/>
          <w:sz w:val="24"/>
          <w:szCs w:val="24"/>
        </w:rPr>
        <w:t>Boussard</w:t>
      </w:r>
      <w:proofErr w:type="spellEnd"/>
      <w:r w:rsidRPr="5F0EF5E4">
        <w:rPr>
          <w:rFonts w:ascii="Arial" w:cs="Arial" w:eastAsia="Arial" w:hAnsi="Arial"/>
          <w:sz w:val="24"/>
          <w:szCs w:val="24"/>
        </w:rPr>
        <w:t>, S (2021) Food and Beverage Management in the Luxury Hotel Industry. New York: Business Expert Press**</w:t>
      </w:r>
    </w:p>
    <w:p w:rsidR="53912764" w:rsidRDefault="5F0EF5E4" w14:paraId="56B06CFC" w14:textId="467CFCCF" w:rsidP="5F0EF5E4">
      <w:pPr>
        <w:jc w:val="both"/>
        <w:ind w:left="720"/>
        <w:ind w:hanging="720"/>
        <w:spacing w:after="0" w:line="360" w:lineRule="auto"/>
        <w:rPr>
          <w:rFonts w:ascii="Arial" w:cs="Arial" w:eastAsia="Arial" w:hAnsi="Arial"/>
          <w:sz w:val="24"/>
          <w:szCs w:val="24"/>
        </w:rPr>
      </w:pPr>
      <w:r w:rsidRPr="5F0EF5E4">
        <w:rPr>
          <w:rFonts w:ascii="Arial" w:cs="Arial" w:eastAsia="Arial" w:hAnsi="Arial"/>
          <w:sz w:val="24"/>
          <w:szCs w:val="24"/>
        </w:rPr>
        <w:t xml:space="preserve">Brown, D. R., </w:t>
      </w:r>
      <w:proofErr w:type="spellStart"/>
      <w:r w:rsidRPr="5F0EF5E4">
        <w:rPr>
          <w:rFonts w:ascii="Arial" w:cs="Arial" w:eastAsia="Arial" w:hAnsi="Arial"/>
          <w:sz w:val="24"/>
          <w:szCs w:val="24"/>
        </w:rPr>
        <w:t>TotalBoox</w:t>
      </w:r>
      <w:proofErr w:type="spellEnd"/>
      <w:r w:rsidRPr="5F0EF5E4">
        <w:rPr>
          <w:rFonts w:ascii="Arial" w:cs="Arial" w:eastAsia="Arial" w:hAnsi="Arial"/>
          <w:sz w:val="24"/>
          <w:szCs w:val="24"/>
        </w:rPr>
        <w:t xml:space="preserve"> and TBX (2013) The Restaurant Manager’s Handbook: How to Set Up, Operate, and Manage a Financially Successful Food Service Operation. 4th Edition. Atlantic Publishing Group*</w:t>
      </w:r>
    </w:p>
    <w:p w:rsidR="53912764" w:rsidRDefault="5F0EF5E4" w14:paraId="03445B0D" w14:textId="266AE80A" w:rsidP="5F0EF5E4">
      <w:pPr>
        <w:jc w:val="both"/>
        <w:ind w:left="720"/>
        <w:ind w:hanging="720"/>
        <w:spacing w:after="0" w:line="360" w:lineRule="auto"/>
        <w:rPr>
          <w:rFonts w:ascii="Arial" w:cs="Arial" w:eastAsia="Arial" w:hAnsi="Arial"/>
          <w:sz w:val="24"/>
          <w:szCs w:val="24"/>
        </w:rPr>
      </w:pPr>
      <w:r w:rsidRPr="5F0EF5E4">
        <w:rPr>
          <w:rFonts w:ascii="Arial" w:cs="Arial" w:eastAsia="Arial" w:hAnsi="Arial"/>
          <w:sz w:val="24"/>
          <w:szCs w:val="24"/>
        </w:rPr>
        <w:t>Cousins, J. (2020) Food and beverage service. 9th ed. London: Hodder Education Group. **</w:t>
      </w:r>
    </w:p>
    <w:p w:rsidR="53912764" w:rsidRDefault="5F0EF5E4" w14:paraId="2FF93CB4" w14:textId="38CDDFAB" w:rsidP="5F0EF5E4">
      <w:pPr>
        <w:jc w:val="both"/>
        <w:ind w:left="720"/>
        <w:ind w:hanging="720"/>
        <w:spacing w:after="0" w:line="360" w:lineRule="auto"/>
        <w:rPr>
          <w:rFonts w:ascii="Arial" w:cs="Arial" w:eastAsia="Arial" w:hAnsi="Arial"/>
          <w:sz w:val="24"/>
          <w:szCs w:val="24"/>
        </w:rPr>
      </w:pPr>
      <w:r w:rsidRPr="5F0EF5E4">
        <w:rPr>
          <w:rFonts w:ascii="Arial" w:cs="Arial" w:eastAsia="Arial" w:hAnsi="Arial"/>
          <w:sz w:val="24"/>
          <w:szCs w:val="24"/>
        </w:rPr>
        <w:t xml:space="preserve">Cousins et al. (2011) Food and beverage management: For the hospitality, tourism, and event industries. 3rd </w:t>
      </w:r>
      <w:proofErr w:type="spellStart"/>
      <w:r w:rsidRPr="5F0EF5E4">
        <w:rPr>
          <w:rFonts w:ascii="Arial" w:cs="Arial" w:eastAsia="Arial" w:hAnsi="Arial"/>
          <w:sz w:val="24"/>
          <w:szCs w:val="24"/>
        </w:rPr>
        <w:t>edn</w:t>
      </w:r>
      <w:proofErr w:type="spellEnd"/>
      <w:r w:rsidRPr="5F0EF5E4">
        <w:rPr>
          <w:rFonts w:ascii="Arial" w:cs="Arial" w:eastAsia="Arial" w:hAnsi="Arial"/>
          <w:sz w:val="24"/>
          <w:szCs w:val="24"/>
        </w:rPr>
        <w:t>. Oxford: Goodfellow.</w:t>
      </w:r>
    </w:p>
    <w:p w:rsidR="53912764" w:rsidRDefault="5F0EF5E4" w14:paraId="526D1891" w14:textId="73B40F75" w:rsidP="5F0EF5E4">
      <w:pPr>
        <w:jc w:val="both"/>
        <w:ind w:left="720"/>
        <w:ind w:hanging="720"/>
        <w:spacing w:after="0" w:line="360" w:lineRule="auto"/>
        <w:rPr>
          <w:rFonts w:ascii="Arial" w:cs="Arial" w:eastAsia="Arial" w:hAnsi="Arial"/>
          <w:sz w:val="24"/>
          <w:szCs w:val="24"/>
        </w:rPr>
      </w:pPr>
      <w:r w:rsidRPr="5F0EF5E4">
        <w:rPr>
          <w:rFonts w:ascii="Arial" w:cs="Arial" w:eastAsia="Arial" w:hAnsi="Arial"/>
          <w:sz w:val="24"/>
          <w:szCs w:val="24"/>
        </w:rPr>
        <w:t xml:space="preserve">Davis, B et al. (2018) Food and Beverage Management. 6 </w:t>
      </w:r>
      <w:proofErr w:type="spellStart"/>
      <w:r w:rsidRPr="5F0EF5E4">
        <w:rPr>
          <w:rFonts w:ascii="Arial" w:cs="Arial" w:eastAsia="Arial" w:hAnsi="Arial"/>
          <w:sz w:val="24"/>
          <w:szCs w:val="24"/>
        </w:rPr>
        <w:t>edn</w:t>
      </w:r>
      <w:proofErr w:type="spellEnd"/>
      <w:r w:rsidRPr="5F0EF5E4">
        <w:rPr>
          <w:rFonts w:ascii="Arial" w:cs="Arial" w:eastAsia="Arial" w:hAnsi="Arial"/>
          <w:sz w:val="24"/>
          <w:szCs w:val="24"/>
        </w:rPr>
        <w:t xml:space="preserve"> London: Routledge. **</w:t>
      </w:r>
    </w:p>
    <w:p w:rsidR="53912764" w:rsidRDefault="5F0EF5E4" w14:paraId="7CFFEEB2" w14:textId="447DC4C8" w:rsidP="5F0EF5E4">
      <w:pPr>
        <w:jc w:val="both"/>
        <w:ind w:left="720"/>
        <w:ind w:hanging="720"/>
        <w:spacing w:after="0" w:line="360" w:lineRule="auto"/>
        <w:rPr>
          <w:rFonts w:ascii="Arial" w:cs="Arial" w:eastAsia="Arial" w:hAnsi="Arial"/>
          <w:sz w:val="24"/>
          <w:szCs w:val="24"/>
        </w:rPr>
      </w:pPr>
      <w:proofErr w:type="spellStart"/>
      <w:r w:rsidRPr="5F0EF5E4">
        <w:rPr>
          <w:rFonts w:ascii="Arial" w:cs="Arial" w:eastAsia="Arial" w:hAnsi="Arial"/>
          <w:sz w:val="24"/>
          <w:szCs w:val="24"/>
        </w:rPr>
        <w:t>Foskett</w:t>
      </w:r>
      <w:proofErr w:type="spellEnd"/>
      <w:r w:rsidRPr="5F0EF5E4">
        <w:rPr>
          <w:rFonts w:ascii="Arial" w:cs="Arial" w:eastAsia="Arial" w:hAnsi="Arial"/>
          <w:sz w:val="24"/>
          <w:szCs w:val="24"/>
        </w:rPr>
        <w:t>, D. et al. (2021) The Theory of Hospitality and Catering. 14th Edition. London: Hodder Education Group. *</w:t>
      </w:r>
    </w:p>
    <w:p w:rsidR="53912764" w:rsidRDefault="5F0EF5E4" w14:paraId="37780757" w14:textId="3C679404" w:rsidP="5F0EF5E4">
      <w:pPr>
        <w:jc w:val="both"/>
        <w:ind w:left="720"/>
        <w:ind w:hanging="720"/>
        <w:spacing w:after="0" w:line="360" w:lineRule="auto"/>
        <w:rPr>
          <w:rFonts w:ascii="Arial" w:cs="Arial" w:eastAsia="Arial" w:hAnsi="Arial"/>
          <w:sz w:val="24"/>
          <w:szCs w:val="24"/>
        </w:rPr>
      </w:pPr>
      <w:r w:rsidRPr="5F0EF5E4">
        <w:rPr>
          <w:rFonts w:ascii="Arial" w:cs="Arial" w:eastAsia="Arial" w:hAnsi="Arial"/>
          <w:sz w:val="24"/>
          <w:szCs w:val="24"/>
        </w:rPr>
        <w:t>Johnston, R. (2012) Service operations management: improving service delivery. 4th ed. Harlow, England: Pearson. *</w:t>
      </w:r>
    </w:p>
    <w:p w:rsidR="53912764" w:rsidRDefault="5F0EF5E4" w14:paraId="797B8524" w14:textId="32A8E642" w:rsidP="5F0EF5E4">
      <w:pPr>
        <w:jc w:val="both"/>
        <w:ind w:left="720"/>
        <w:ind w:hanging="720"/>
        <w:spacing w:after="0" w:line="360" w:lineRule="auto"/>
        <w:rPr>
          <w:rFonts w:ascii="Arial" w:cs="Arial" w:eastAsia="Arial" w:hAnsi="Arial"/>
          <w:sz w:val="24"/>
          <w:szCs w:val="24"/>
        </w:rPr>
      </w:pPr>
      <w:proofErr w:type="spellStart"/>
      <w:r w:rsidRPr="5F0EF5E4">
        <w:rPr>
          <w:rFonts w:ascii="Arial" w:cs="Arial" w:eastAsia="Arial" w:hAnsi="Arial"/>
          <w:sz w:val="24"/>
          <w:szCs w:val="24"/>
        </w:rPr>
        <w:t>Motarjemi</w:t>
      </w:r>
      <w:proofErr w:type="spellEnd"/>
      <w:r w:rsidRPr="5F0EF5E4">
        <w:rPr>
          <w:rFonts w:ascii="Arial" w:cs="Arial" w:eastAsia="Arial" w:hAnsi="Arial"/>
          <w:sz w:val="24"/>
          <w:szCs w:val="24"/>
        </w:rPr>
        <w:t xml:space="preserve">, Y and </w:t>
      </w:r>
      <w:proofErr w:type="spellStart"/>
      <w:r w:rsidRPr="5F0EF5E4">
        <w:rPr>
          <w:rFonts w:ascii="Arial" w:cs="Arial" w:eastAsia="Arial" w:hAnsi="Arial"/>
          <w:sz w:val="24"/>
          <w:szCs w:val="24"/>
        </w:rPr>
        <w:t>Lelieveld</w:t>
      </w:r>
      <w:proofErr w:type="spellEnd"/>
      <w:r w:rsidRPr="5F0EF5E4">
        <w:rPr>
          <w:rFonts w:ascii="Arial" w:cs="Arial" w:eastAsia="Arial" w:hAnsi="Arial"/>
          <w:sz w:val="24"/>
          <w:szCs w:val="24"/>
        </w:rPr>
        <w:t>, H (2014) Food safety management: a practical guide for the food industry. Illustrated edition. Amsterdam: Academic Press. *</w:t>
      </w:r>
    </w:p>
    <w:p w:rsidR="53912764" w:rsidRDefault="5F0EF5E4" w14:paraId="552AC54F" w14:textId="658EA312" w:rsidP="5F0EF5E4">
      <w:pPr>
        <w:jc w:val="both"/>
        <w:ind w:left="720"/>
        <w:ind w:hanging="720"/>
        <w:spacing w:after="0" w:line="360" w:lineRule="auto"/>
        <w:rPr>
          <w:rFonts w:ascii="Arial" w:cs="Arial" w:eastAsia="Arial" w:hAnsi="Arial"/>
          <w:sz w:val="24"/>
          <w:szCs w:val="24"/>
        </w:rPr>
      </w:pPr>
      <w:r w:rsidRPr="5F0EF5E4">
        <w:rPr>
          <w:rFonts w:ascii="Arial" w:cs="Arial" w:eastAsia="Arial" w:hAnsi="Arial"/>
          <w:sz w:val="24"/>
          <w:szCs w:val="24"/>
        </w:rPr>
        <w:t>Walker, J (2017) Introduction to Hospitality. Harlow: Pearson Education Limited. *</w:t>
      </w:r>
    </w:p>
    <w:p w:rsidR="53912764" w:rsidRDefault="5F0EF5E4" w14:paraId="30885399" w14:textId="7D5981DC" w:rsidP="5F0EF5E4">
      <w:pPr>
        <w:jc w:val="both"/>
        <w:ind w:left="720"/>
        <w:ind w:hanging="720"/>
        <w:spacing w:after="0" w:line="360" w:lineRule="auto"/>
        <w:rPr>
          <w:rFonts w:ascii="Arial" w:cs="Arial" w:eastAsia="Arial" w:hAnsi="Arial"/>
          <w:sz w:val="24"/>
          <w:szCs w:val="24"/>
        </w:rPr>
      </w:pPr>
      <w:r w:rsidRPr="5F0EF5E4">
        <w:rPr>
          <w:rFonts w:ascii="Arial" w:cs="Arial" w:eastAsia="Arial" w:hAnsi="Arial"/>
          <w:sz w:val="24"/>
          <w:szCs w:val="24"/>
        </w:rPr>
        <w:t>Wood, R. (2013) Key Concepts in Hospitality Management. London: Sage*</w:t>
      </w:r>
    </w:p>
    <w:p w:rsidR="53912764" w:rsidRDefault="5F0EF5E4" w14:paraId="1E3C8F0A" w14:textId="4EECB61A" w:rsidP="5F0EF5E4">
      <w:pPr>
        <w:jc w:val="both"/>
        <w:ind w:left="720"/>
        <w:ind w:hanging="720"/>
        <w:spacing w:after="0" w:line="360" w:lineRule="auto"/>
        <w:rPr>
          <w:rFonts w:ascii="Arial" w:cs="Arial" w:eastAsia="Arial" w:hAnsi="Arial"/>
          <w:sz w:val="24"/>
          <w:szCs w:val="24"/>
        </w:rPr>
      </w:pPr>
      <w:proofErr w:type="spellStart"/>
      <w:r w:rsidRPr="5F0EF5E4">
        <w:rPr>
          <w:rFonts w:ascii="Arial" w:cs="Arial" w:eastAsia="Arial" w:hAnsi="Arial"/>
          <w:sz w:val="24"/>
          <w:szCs w:val="24"/>
        </w:rPr>
        <w:t>Zutshi</w:t>
      </w:r>
      <w:proofErr w:type="spellEnd"/>
      <w:r w:rsidRPr="5F0EF5E4">
        <w:rPr>
          <w:rFonts w:ascii="Arial" w:cs="Arial" w:eastAsia="Arial" w:hAnsi="Arial"/>
          <w:sz w:val="24"/>
          <w:szCs w:val="24"/>
        </w:rPr>
        <w:t>, A. (2019) 'How to develop well-informed and assured teams to embed food safety compliance in the UK catering and hospitality industry', Perspectives in Public Health, 139(6), pp. 294–295. *)</w:t>
      </w:r>
    </w:p>
    <w:p w:rsidR="007F4794" w:rsidRDefault="007F4794" w14:paraId="4418F2DE" w14:textId="77777777" w:rsidP="5F0EF5E4">
      <w:pPr>
        <w:jc w:val="both"/>
        <w:ind w:left="720"/>
        <w:ind w:hanging="720"/>
        <w:spacing w:after="0" w:line="360" w:lineRule="auto"/>
        <w:rPr>
          <w:rFonts w:ascii="Arial" w:cs="Arial" w:eastAsia="Arial" w:hAnsi="Arial"/>
          <w:sz w:val="24"/>
          <w:szCs w:val="24"/>
        </w:rPr>
      </w:pPr>
    </w:p>
    <w:p w:rsidR="007F4794" w:rsidRDefault="007F4794" w14:paraId="45189AA0" w14:textId="77777777" w:rsidP="5F0EF5E4">
      <w:pPr>
        <w:jc w:val="both"/>
        <w:ind w:left="720"/>
        <w:ind w:hanging="720"/>
        <w:spacing w:after="0" w:line="360" w:lineRule="auto"/>
        <w:rPr>
          <w:rFonts w:ascii="Arial" w:cs="Arial" w:eastAsia="Arial" w:hAnsi="Arial"/>
          <w:sz w:val="24"/>
          <w:szCs w:val="24"/>
        </w:rPr>
      </w:pPr>
    </w:p>
    <w:p w:rsidR="007F4794" w:rsidRDefault="007F4794" w14:paraId="405755D9" w14:textId="77777777" w:rsidP="5F0EF5E4">
      <w:pPr>
        <w:jc w:val="both"/>
        <w:ind w:left="720"/>
        <w:ind w:hanging="720"/>
        <w:spacing w:after="0" w:line="360" w:lineRule="auto"/>
        <w:rPr>
          <w:rFonts w:ascii="Arial" w:cs="Arial" w:eastAsia="Arial" w:hAnsi="Arial"/>
          <w:sz w:val="24"/>
          <w:szCs w:val="24"/>
        </w:rPr>
      </w:pPr>
    </w:p>
    <w:p w:rsidR="007F4794" w:rsidRDefault="007F4794" w14:paraId="21472B61" w14:textId="77777777" w:rsidP="5F0EF5E4">
      <w:pPr>
        <w:jc w:val="both"/>
        <w:ind w:left="720"/>
        <w:ind w:hanging="720"/>
        <w:spacing w:after="0" w:line="360" w:lineRule="auto"/>
        <w:rPr>
          <w:rFonts w:ascii="Arial" w:cs="Arial" w:eastAsia="Arial" w:hAnsi="Arial"/>
          <w:sz w:val="24"/>
          <w:szCs w:val="24"/>
        </w:rPr>
      </w:pPr>
    </w:p>
    <w:p w:rsidR="007F4794" w:rsidRDefault="007F4794" w14:paraId="44A812B2" w14:textId="77777777" w:rsidP="5F0EF5E4">
      <w:pPr>
        <w:jc w:val="both"/>
        <w:ind w:left="720"/>
        <w:ind w:hanging="720"/>
        <w:spacing w:after="0" w:line="360" w:lineRule="auto"/>
        <w:rPr>
          <w:rFonts w:ascii="Arial" w:cs="Arial" w:eastAsia="Arial" w:hAnsi="Arial"/>
          <w:sz w:val="24"/>
          <w:szCs w:val="24"/>
        </w:rPr>
      </w:pPr>
    </w:p>
    <w:p w:rsidR="007F4794" w:rsidRDefault="007F4794" w14:paraId="441E19D3" w14:textId="77777777" w:rsidP="5F0EF5E4">
      <w:pPr>
        <w:jc w:val="both"/>
        <w:ind w:left="720"/>
        <w:ind w:hanging="720"/>
        <w:spacing w:after="0" w:line="360" w:lineRule="auto"/>
        <w:rPr>
          <w:rFonts w:ascii="Arial" w:cs="Arial" w:eastAsia="Arial" w:hAnsi="Arial"/>
          <w:sz w:val="24"/>
          <w:szCs w:val="24"/>
        </w:rPr>
      </w:pPr>
    </w:p>
    <w:p w:rsidR="007F4794" w:rsidRDefault="007F4794" w14:paraId="6FFCE322" w14:textId="77777777" w:rsidP="5F0EF5E4">
      <w:pPr>
        <w:jc w:val="both"/>
        <w:ind w:left="720"/>
        <w:ind w:hanging="720"/>
        <w:spacing w:after="0" w:line="360" w:lineRule="auto"/>
        <w:rPr>
          <w:rFonts w:ascii="Arial" w:cs="Arial" w:eastAsia="Arial" w:hAnsi="Arial"/>
          <w:sz w:val="24"/>
          <w:szCs w:val="24"/>
        </w:rPr>
      </w:pPr>
    </w:p>
    <w:p w:rsidR="007F4794" w:rsidRDefault="007F4794" w14:paraId="1A1FFDBD" w14:textId="77777777" w:rsidP="5F0EF5E4">
      <w:pPr>
        <w:jc w:val="both"/>
        <w:ind w:left="720"/>
        <w:ind w:hanging="720"/>
        <w:spacing w:after="0" w:line="360" w:lineRule="auto"/>
        <w:rPr>
          <w:rFonts w:ascii="Arial" w:cs="Arial" w:eastAsia="Arial" w:hAnsi="Arial"/>
          <w:sz w:val="24"/>
          <w:szCs w:val="24"/>
        </w:rPr>
      </w:pPr>
    </w:p>
    <w:p w:rsidR="007F4794" w:rsidRDefault="007F4794" w14:paraId="74F1B5CE" w14:textId="77777777" w:rsidP="5F0EF5E4">
      <w:pPr>
        <w:jc w:val="both"/>
        <w:ind w:left="720"/>
        <w:ind w:hanging="720"/>
        <w:spacing w:after="0" w:line="360" w:lineRule="auto"/>
        <w:rPr>
          <w:rFonts w:ascii="Arial" w:cs="Arial" w:eastAsia="Arial" w:hAnsi="Arial"/>
          <w:sz w:val="24"/>
          <w:szCs w:val="24"/>
        </w:rPr>
      </w:pPr>
    </w:p>
    <w:p w:rsidR="007F4794" w:rsidRDefault="007F4794" w14:paraId="4AD424B9" w14:textId="77777777" w:rsidP="5F0EF5E4">
      <w:pPr>
        <w:jc w:val="both"/>
        <w:ind w:left="720"/>
        <w:ind w:hanging="720"/>
        <w:spacing w:after="0" w:line="360" w:lineRule="auto"/>
        <w:rPr>
          <w:rFonts w:ascii="Arial" w:cs="Arial" w:eastAsia="Arial" w:hAnsi="Arial"/>
          <w:sz w:val="24"/>
          <w:szCs w:val="24"/>
        </w:rPr>
      </w:pPr>
    </w:p>
    <w:p w:rsidR="007F4794" w:rsidRDefault="007F4794" w14:paraId="3BD3313C" w14:textId="0A839D6B" w:rsidP="5F0EF5E4">
      <w:pPr>
        <w:jc w:val="both"/>
        <w:ind w:left="720"/>
        <w:ind w:hanging="720"/>
        <w:spacing w:after="0" w:line="360" w:lineRule="auto"/>
        <w:rPr>
          <w:rFonts w:ascii="Arial" w:cs="Arial" w:eastAsia="Arial" w:hAnsi="Arial"/>
          <w:sz w:val="24"/>
          <w:szCs w:val="24"/>
        </w:rPr>
      </w:pPr>
      <w:r>
        <w:rPr>
          <w:noProof/>
        </w:rPr>
        <w:drawing>
          <wp:inline distB="0" distL="0" distR="0" distT="0" wp14:anchorId="763ADAA0" wp14:editId="3251FBEF">
            <wp:extent cx="5943600" cy="3343275"/>
            <wp:effectExtent l="0" t="0" r="0" b="0"/>
            <wp:docPr id="757219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219753" name=""/>
                    <pic:cNvPicPr/>
                  </pic:nvPicPr>
                  <pic:blipFill>
                    <a:blip r:embed="rId13"/>
                    <a:stretch>
                      <a:fillRect/>
                    </a:stretch>
                  </pic:blipFill>
                  <pic:spPr>
                    <a:xfrm>
                      <a:off x="0" y="0"/>
                      <a:ext cx="5943600" cy="3343275"/>
                    </a:xfrm>
                    <a:prstGeom prst="rect">
                      <a:avLst/>
                    </a:prstGeom>
                  </pic:spPr>
                </pic:pic>
              </a:graphicData>
            </a:graphic>
          </wp:inline>
        </w:drawing>
      </w:r>
    </w:p>
    <w:p w:rsidR="007F4794" w:rsidRDefault="007F4794" w14:paraId="7753E8CC" w14:textId="60185D9A" w:rsidP="5F0EF5E4">
      <w:pPr>
        <w:jc w:val="both"/>
        <w:ind w:left="720"/>
        <w:ind w:hanging="720"/>
        <w:spacing w:after="0" w:line="360" w:lineRule="auto"/>
        <w:rPr>
          <w:rFonts w:ascii="Arial" w:cs="Arial" w:eastAsia="Arial" w:hAnsi="Arial"/>
          <w:sz w:val="24"/>
          <w:szCs w:val="24"/>
        </w:rPr>
      </w:pPr>
      <w:r>
        <w:rPr>
          <w:noProof/>
        </w:rPr>
        <w:drawing>
          <wp:inline distB="0" distL="0" distR="0" distT="0" wp14:anchorId="21CBC938" wp14:editId="225E5C92">
            <wp:extent cx="5943600" cy="3343275"/>
            <wp:effectExtent l="0" t="0" r="0" b="0"/>
            <wp:docPr id="1587432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432272" name=""/>
                    <pic:cNvPicPr/>
                  </pic:nvPicPr>
                  <pic:blipFill>
                    <a:blip r:embed="rId12"/>
                    <a:stretch>
                      <a:fillRect/>
                    </a:stretch>
                  </pic:blipFill>
                  <pic:spPr>
                    <a:xfrm>
                      <a:off x="0" y="0"/>
                      <a:ext cx="5943600" cy="3343275"/>
                    </a:xfrm>
                    <a:prstGeom prst="rect">
                      <a:avLst/>
                    </a:prstGeom>
                  </pic:spPr>
                </pic:pic>
              </a:graphicData>
            </a:graphic>
          </wp:inline>
        </w:drawing>
      </w:r>
    </w:p>
    <w:p w:rsidR="007F4794" w:rsidRDefault="007F4794" w14:paraId="4AB769C5" w14:textId="6353C683" w:rsidP="5F0EF5E4">
      <w:pPr>
        <w:jc w:val="both"/>
        <w:ind w:left="720"/>
        <w:ind w:hanging="720"/>
        <w:spacing w:after="0" w:line="360" w:lineRule="auto"/>
        <w:rPr>
          <w:rFonts w:ascii="Arial" w:cs="Arial" w:eastAsia="Arial" w:hAnsi="Arial"/>
          <w:sz w:val="24"/>
          <w:szCs w:val="24"/>
        </w:rPr>
      </w:pPr>
      <w:r>
        <w:rPr>
          <w:noProof/>
        </w:rPr>
        <w:drawing>
          <wp:inline distB="0" distL="0" distR="0" distT="0" wp14:anchorId="1FF378F1" wp14:editId="3646C8E3">
            <wp:extent cx="5943600" cy="3343275"/>
            <wp:effectExtent l="0" t="0" r="0" b="0"/>
            <wp:docPr id="1635048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048561" name=""/>
                    <pic:cNvPicPr/>
                  </pic:nvPicPr>
                  <pic:blipFill>
                    <a:blip r:embed="rId11"/>
                    <a:stretch>
                      <a:fillRect/>
                    </a:stretch>
                  </pic:blipFill>
                  <pic:spPr>
                    <a:xfrm>
                      <a:off x="0" y="0"/>
                      <a:ext cx="5943600" cy="3343275"/>
                    </a:xfrm>
                    <a:prstGeom prst="rect">
                      <a:avLst/>
                    </a:prstGeom>
                  </pic:spPr>
                </pic:pic>
              </a:graphicData>
            </a:graphic>
          </wp:inline>
        </w:drawing>
      </w:r>
    </w:p>
    <w:p w:rsidR="53912764" w:rsidRDefault="53912764" w14:paraId="4D44EC73" w14:textId="54E89D9A" w:rsidP="5F0EF5E4">
      <w:pPr>
        <w:jc w:val="both"/>
        <w:spacing w:line="360" w:lineRule="auto"/>
        <w:rPr>
          <w:color w:val="000000"/>
          <w:rFonts w:ascii="Arial" w:cs="Arial" w:eastAsia="Arial" w:hAnsi="Arial"/>
          <w:sz w:val="24"/>
          <w:szCs w:val="24"/>
        </w:rPr>
      </w:pPr>
    </w:p>
    <w:p w:rsidR="53912764" w:rsidRDefault="53912764" w14:paraId="54EBB6F2" w14:textId="24387B9B" w:rsidP="5F0EF5E4">
      <w:pPr>
        <w:jc w:val="both"/>
        <w:spacing w:after="0" w:line="360" w:lineRule="auto"/>
        <w:rPr>
          <w:rFonts w:ascii="Arial" w:cs="Arial" w:eastAsia="Arial" w:hAnsi="Arial"/>
          <w:sz w:val="24"/>
          <w:szCs w:val="24"/>
        </w:rPr>
      </w:pPr>
    </w:p>
    <w:sectPr w:rsidR="53912764">
      <w:docGrid w:linePitch="360"/>
      <w:pgSz w:w="12240" w:h="15840"/>
      <w:pgMar w:left="1440" w:right="1440" w:top="1440" w:bottom="1440" w:header="720" w:footer="720" w:gutter="0"/>
      <w:cols w:space="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fonts>
</file>

<file path=word/intelligence2.xml><?xml version="1.0" encoding="utf-8"?>
<int2:intelligence xmlns:int2="http://schemas.microsoft.com/office/intelligence/2020/intelligence" xmlns:oel="http://schemas.microsoft.com/office/2019/extlst">
  <int2:observations>
    <int2:textHash int2:hashCode="rIJNCqsfzzCBIw" int2:id="mW3xaGPT">
      <int2:state int2:value="Rejected" int2:type="AugLoop_Text_Critique"/>
    </int2:textHash>
    <int2:textHash int2:hashCode="Y7rxyEYEGk+h8X" int2:id="xxktUM9m">
      <int2:state int2:value="Rejected" int2:type="AugLoop_Text_Critique"/>
    </int2:textHash>
    <int2:textHash int2:hashCode="iINztqY/zrNWlw" int2:id="WF06WcLY">
      <int2:state int2:value="Rejected" int2:type="AugLoop_Text_Critique"/>
    </int2:textHash>
    <int2:textHash int2:hashCode="UBMg/mJIFHPN60" int2:id="GCXzXqla">
      <int2:state int2:value="Rejected" int2:type="AugLoop_Text_Critique"/>
    </int2:textHash>
    <int2:textHash int2:hashCode="oEq8M5r9m3gA+e" int2:id="rpY9IHmz">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5470DA6"/>
    <w:tmpl w:val="FFFFFFFF"/>
    <w:lvl w:ilvl="0" w:tplc="D36C55FE">
      <w:numFmt w:val="bullet"/>
      <w:lvlText w:val=""/>
      <w:start w:val="1"/>
      <w:rPr>
        <w:rFonts w:ascii="Symbol" w:hAnsi="Symbol" w:hint="default"/>
      </w:rPr>
      <w:pPr>
        <w:ind w:left="720"/>
        <w:ind w:hanging="360"/>
      </w:pPr>
      <w:lvlJc w:val="left"/>
    </w:lvl>
    <w:lvl w:ilvl="1" w:tplc="77CC62B4">
      <w:numFmt w:val="bullet"/>
      <w:lvlText w:val="o"/>
      <w:start w:val="1"/>
      <w:rPr>
        <w:rFonts w:ascii="Courier New" w:hAnsi="Courier New" w:hint="default"/>
      </w:rPr>
      <w:pPr>
        <w:ind w:left="1440"/>
        <w:ind w:hanging="360"/>
      </w:pPr>
      <w:lvlJc w:val="left"/>
    </w:lvl>
    <w:lvl w:ilvl="2" w:tplc="2EACCF0A">
      <w:numFmt w:val="bullet"/>
      <w:lvlText w:val=""/>
      <w:start w:val="1"/>
      <w:rPr>
        <w:rFonts w:ascii="Wingdings" w:hAnsi="Wingdings" w:hint="default"/>
      </w:rPr>
      <w:pPr>
        <w:ind w:left="2160"/>
        <w:ind w:hanging="360"/>
      </w:pPr>
      <w:lvlJc w:val="left"/>
    </w:lvl>
    <w:lvl w:ilvl="3" w:tplc="640A744C">
      <w:numFmt w:val="bullet"/>
      <w:lvlText w:val=""/>
      <w:start w:val="1"/>
      <w:rPr>
        <w:rFonts w:ascii="Symbol" w:hAnsi="Symbol" w:hint="default"/>
      </w:rPr>
      <w:pPr>
        <w:ind w:left="2880"/>
        <w:ind w:hanging="360"/>
      </w:pPr>
      <w:lvlJc w:val="left"/>
    </w:lvl>
    <w:lvl w:ilvl="4" w:tplc="EA52EDEA">
      <w:numFmt w:val="bullet"/>
      <w:lvlText w:val="o"/>
      <w:start w:val="1"/>
      <w:rPr>
        <w:rFonts w:ascii="Courier New" w:hAnsi="Courier New" w:hint="default"/>
      </w:rPr>
      <w:pPr>
        <w:ind w:left="3600"/>
        <w:ind w:hanging="360"/>
      </w:pPr>
      <w:lvlJc w:val="left"/>
    </w:lvl>
    <w:lvl w:ilvl="5" w:tplc="BFF6D5EC">
      <w:numFmt w:val="bullet"/>
      <w:lvlText w:val=""/>
      <w:start w:val="1"/>
      <w:rPr>
        <w:rFonts w:ascii="Wingdings" w:hAnsi="Wingdings" w:hint="default"/>
      </w:rPr>
      <w:pPr>
        <w:ind w:left="4320"/>
        <w:ind w:hanging="360"/>
      </w:pPr>
      <w:lvlJc w:val="left"/>
    </w:lvl>
    <w:lvl w:ilvl="6" w:tplc="6652BBDA">
      <w:numFmt w:val="bullet"/>
      <w:lvlText w:val=""/>
      <w:start w:val="1"/>
      <w:rPr>
        <w:rFonts w:ascii="Symbol" w:hAnsi="Symbol" w:hint="default"/>
      </w:rPr>
      <w:pPr>
        <w:ind w:left="5040"/>
        <w:ind w:hanging="360"/>
      </w:pPr>
      <w:lvlJc w:val="left"/>
    </w:lvl>
    <w:lvl w:ilvl="7" w:tplc="2834DDC0">
      <w:numFmt w:val="bullet"/>
      <w:lvlText w:val="o"/>
      <w:start w:val="1"/>
      <w:rPr>
        <w:rFonts w:ascii="Courier New" w:hAnsi="Courier New" w:hint="default"/>
      </w:rPr>
      <w:pPr>
        <w:ind w:left="5760"/>
        <w:ind w:hanging="360"/>
      </w:pPr>
      <w:lvlJc w:val="left"/>
    </w:lvl>
    <w:lvl w:ilvl="8" w:tplc="8C563CCE">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0806C"/>
  <w15:chartTrackingRefBased/>
  <w15:docId w15:val="{E0E7EBBC-B71C-4C0D-A158-9D5255E5A881}"/>
  <w:rsids>
    <w:rsidRoot val="7727F314"/>
    <w:rsid val="007F4794"/>
    <w:rsid val="00C97DE0"/>
    <w:rsid val="53912764"/>
    <w:rsid val="5F0EF5E4"/>
    <w:rsid val="6A80806C"/>
    <w:rsid val="7397C3BB"/>
    <w:rsid val="7727F314"/>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3912764"/>
    <w:rPr>
      <w:lang w:val="en-GB"/>
    </w:rPr>
  </w:style>
  <w:style w:type="paragraph" w:styleId="Heading1">
    <w:name w:val="heading 1"/>
    <w:basedOn w:val="Normal"/>
    <w:next w:val="Normal"/>
    <w:link w:val="Heading1Char"/>
    <w:uiPriority w:val="9"/>
    <w:qFormat/>
    <w:rsid w:val="539127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539127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53912764"/>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5391276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53912764"/>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53912764"/>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53912764"/>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53912764"/>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53912764"/>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53912764"/>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53912764"/>
    <w:rPr>
      <w:rFonts w:eastAsiaTheme="minorEastAsia"/>
      <w:color w:val="5A5A5A"/>
    </w:rPr>
  </w:style>
  <w:style w:type="paragraph" w:styleId="Quote">
    <w:name w:val="Quote"/>
    <w:basedOn w:val="Normal"/>
    <w:next w:val="Normal"/>
    <w:link w:val="QuoteChar"/>
    <w:uiPriority w:val="29"/>
    <w:qFormat/>
    <w:rsid w:val="53912764"/>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53912764"/>
    <w:pPr>
      <w:spacing w:before="360" w:after="360"/>
      <w:ind w:left="864" w:right="864"/>
      <w:jc w:val="center"/>
    </w:pPr>
    <w:rPr>
      <w:i/>
      <w:iCs/>
      <w:color w:val="4472C4" w:themeColor="accent1"/>
    </w:rPr>
  </w:style>
  <w:style w:type="paragraph" w:styleId="ListParagraph">
    <w:name w:val="List Paragraph"/>
    <w:basedOn w:val="Normal"/>
    <w:uiPriority w:val="34"/>
    <w:qFormat/>
    <w:rsid w:val="53912764"/>
    <w:pPr>
      <w:ind w:left="720"/>
      <w:contextualSpacing/>
    </w:pPr>
  </w:style>
  <w:style w:type="character" w:customStyle="1" w:styleId="Heading1Char">
    <w:name w:val="Heading 1 Char"/>
    <w:basedOn w:val="DefaultParagraphFont"/>
    <w:link w:val="Heading1"/>
    <w:uiPriority w:val="9"/>
    <w:rsid w:val="53912764"/>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53912764"/>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53912764"/>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53912764"/>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53912764"/>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53912764"/>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53912764"/>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53912764"/>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53912764"/>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53912764"/>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53912764"/>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53912764"/>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53912764"/>
    <w:rPr>
      <w:i/>
      <w:iCs/>
      <w:noProof w:val="0"/>
      <w:color w:val="4472C4" w:themeColor="accent1"/>
      <w:lang w:val="en-GB"/>
    </w:rPr>
  </w:style>
  <w:style w:type="paragraph" w:styleId="TOC1">
    <w:name w:val="toc 1"/>
    <w:basedOn w:val="Normal"/>
    <w:next w:val="Normal"/>
    <w:uiPriority w:val="39"/>
    <w:unhideWhenUsed/>
    <w:rsid w:val="53912764"/>
    <w:pPr>
      <w:spacing w:after="100"/>
    </w:pPr>
  </w:style>
  <w:style w:type="paragraph" w:styleId="TOC2">
    <w:name w:val="toc 2"/>
    <w:basedOn w:val="Normal"/>
    <w:next w:val="Normal"/>
    <w:uiPriority w:val="39"/>
    <w:unhideWhenUsed/>
    <w:rsid w:val="53912764"/>
    <w:pPr>
      <w:spacing w:after="100"/>
      <w:ind w:left="220"/>
    </w:pPr>
  </w:style>
  <w:style w:type="paragraph" w:styleId="TOC3">
    <w:name w:val="toc 3"/>
    <w:basedOn w:val="Normal"/>
    <w:next w:val="Normal"/>
    <w:uiPriority w:val="39"/>
    <w:unhideWhenUsed/>
    <w:rsid w:val="53912764"/>
    <w:pPr>
      <w:spacing w:after="100"/>
      <w:ind w:left="440"/>
    </w:pPr>
  </w:style>
  <w:style w:type="paragraph" w:styleId="TOC4">
    <w:name w:val="toc 4"/>
    <w:basedOn w:val="Normal"/>
    <w:next w:val="Normal"/>
    <w:uiPriority w:val="39"/>
    <w:unhideWhenUsed/>
    <w:rsid w:val="53912764"/>
    <w:pPr>
      <w:spacing w:after="100"/>
      <w:ind w:left="660"/>
    </w:pPr>
  </w:style>
  <w:style w:type="paragraph" w:styleId="TOC5">
    <w:name w:val="toc 5"/>
    <w:basedOn w:val="Normal"/>
    <w:next w:val="Normal"/>
    <w:uiPriority w:val="39"/>
    <w:unhideWhenUsed/>
    <w:rsid w:val="53912764"/>
    <w:pPr>
      <w:spacing w:after="100"/>
      <w:ind w:left="880"/>
    </w:pPr>
  </w:style>
  <w:style w:type="paragraph" w:styleId="TOC6">
    <w:name w:val="toc 6"/>
    <w:basedOn w:val="Normal"/>
    <w:next w:val="Normal"/>
    <w:uiPriority w:val="39"/>
    <w:unhideWhenUsed/>
    <w:rsid w:val="53912764"/>
    <w:pPr>
      <w:spacing w:after="100"/>
      <w:ind w:left="1100"/>
    </w:pPr>
  </w:style>
  <w:style w:type="paragraph" w:styleId="TOC7">
    <w:name w:val="toc 7"/>
    <w:basedOn w:val="Normal"/>
    <w:next w:val="Normal"/>
    <w:uiPriority w:val="39"/>
    <w:unhideWhenUsed/>
    <w:rsid w:val="53912764"/>
    <w:pPr>
      <w:spacing w:after="100"/>
      <w:ind w:left="1320"/>
    </w:pPr>
  </w:style>
  <w:style w:type="paragraph" w:styleId="TOC8">
    <w:name w:val="toc 8"/>
    <w:basedOn w:val="Normal"/>
    <w:next w:val="Normal"/>
    <w:uiPriority w:val="39"/>
    <w:unhideWhenUsed/>
    <w:rsid w:val="53912764"/>
    <w:pPr>
      <w:spacing w:after="100"/>
      <w:ind w:left="1540"/>
    </w:pPr>
  </w:style>
  <w:style w:type="paragraph" w:styleId="TOC9">
    <w:name w:val="toc 9"/>
    <w:basedOn w:val="Normal"/>
    <w:next w:val="Normal"/>
    <w:uiPriority w:val="39"/>
    <w:unhideWhenUsed/>
    <w:rsid w:val="53912764"/>
    <w:pPr>
      <w:spacing w:after="100"/>
      <w:ind w:left="1760"/>
    </w:pPr>
  </w:style>
  <w:style w:type="paragraph" w:styleId="EndnoteText">
    <w:name w:val="endnote text"/>
    <w:basedOn w:val="Normal"/>
    <w:link w:val="EndnoteTextChar"/>
    <w:uiPriority w:val="99"/>
    <w:semiHidden/>
    <w:unhideWhenUsed/>
    <w:rsid w:val="53912764"/>
    <w:pPr>
      <w:spacing w:after="0"/>
    </w:pPr>
    <w:rPr>
      <w:sz w:val="20"/>
      <w:szCs w:val="20"/>
    </w:rPr>
  </w:style>
  <w:style w:type="character" w:customStyle="1" w:styleId="EndnoteTextChar">
    <w:name w:val="Endnote Text Char"/>
    <w:basedOn w:val="DefaultParagraphFont"/>
    <w:link w:val="EndnoteText"/>
    <w:uiPriority w:val="99"/>
    <w:semiHidden/>
    <w:rsid w:val="53912764"/>
    <w:rPr>
      <w:noProof w:val="0"/>
      <w:sz w:val="20"/>
      <w:szCs w:val="20"/>
      <w:lang w:val="en-GB"/>
    </w:rPr>
  </w:style>
  <w:style w:type="paragraph" w:styleId="Footer">
    <w:name w:val="footer"/>
    <w:basedOn w:val="Normal"/>
    <w:link w:val="FooterChar"/>
    <w:uiPriority w:val="99"/>
    <w:unhideWhenUsed/>
    <w:rsid w:val="53912764"/>
    <w:pPr>
      <w:tabs>
        <w:tab w:val="center" w:pos="4680"/>
        <w:tab w:val="right" w:pos="9360"/>
      </w:tabs>
      <w:spacing w:after="0"/>
    </w:pPr>
  </w:style>
  <w:style w:type="character" w:customStyle="1" w:styleId="FooterChar">
    <w:name w:val="Footer Char"/>
    <w:basedOn w:val="DefaultParagraphFont"/>
    <w:link w:val="Footer"/>
    <w:uiPriority w:val="99"/>
    <w:rsid w:val="53912764"/>
    <w:rPr>
      <w:noProof w:val="0"/>
      <w:lang w:val="en-GB"/>
    </w:rPr>
  </w:style>
  <w:style w:type="paragraph" w:styleId="FootnoteText">
    <w:name w:val="footnote text"/>
    <w:basedOn w:val="Normal"/>
    <w:link w:val="FootnoteTextChar"/>
    <w:uiPriority w:val="99"/>
    <w:semiHidden/>
    <w:unhideWhenUsed/>
    <w:rsid w:val="53912764"/>
    <w:pPr>
      <w:spacing w:after="0"/>
    </w:pPr>
    <w:rPr>
      <w:sz w:val="20"/>
      <w:szCs w:val="20"/>
    </w:rPr>
  </w:style>
  <w:style w:type="character" w:customStyle="1" w:styleId="FootnoteTextChar">
    <w:name w:val="Footnote Text Char"/>
    <w:basedOn w:val="DefaultParagraphFont"/>
    <w:link w:val="FootnoteText"/>
    <w:uiPriority w:val="99"/>
    <w:semiHidden/>
    <w:rsid w:val="53912764"/>
    <w:rPr>
      <w:noProof w:val="0"/>
      <w:sz w:val="20"/>
      <w:szCs w:val="20"/>
      <w:lang w:val="en-GB"/>
    </w:rPr>
  </w:style>
  <w:style w:type="paragraph" w:styleId="Header">
    <w:name w:val="header"/>
    <w:basedOn w:val="Normal"/>
    <w:link w:val="HeaderChar"/>
    <w:uiPriority w:val="99"/>
    <w:unhideWhenUsed/>
    <w:rsid w:val="53912764"/>
    <w:pPr>
      <w:tabs>
        <w:tab w:val="center" w:pos="4680"/>
        <w:tab w:val="right" w:pos="9360"/>
      </w:tabs>
      <w:spacing w:after="0"/>
    </w:pPr>
  </w:style>
  <w:style w:type="character" w:customStyle="1" w:styleId="HeaderChar">
    <w:name w:val="Header Char"/>
    <w:basedOn w:val="DefaultParagraphFont"/>
    <w:link w:val="Header"/>
    <w:uiPriority w:val="99"/>
    <w:rsid w:val="53912764"/>
    <w:rPr>
      <w:noProof w:val="0"/>
      <w:lang w:val="en-GB"/>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emf"/><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 Id="rId11" Type="http://schemas.openxmlformats.org/officeDocument/2006/relationships/image" Target="media/image3.emf"/><Relationship Id="rId12" Type="http://schemas.openxmlformats.org/officeDocument/2006/relationships/image" Target="media/image2.emf"/><Relationship Id="rId13"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677</Words>
  <Characters>3861</Characters>
  <Application>Microsoft Office Word</Application>
  <DocSecurity>0</DocSecurity>
  <Lines>32</Lines>
  <Paragraphs>9</Paragraphs>
  <ScaleCrop>false</ScaleCrop>
  <Company/>
  <LinksUpToDate>false</LinksUpToDate>
  <CharactersWithSpaces>4529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Amos Odhiambo</dc:creator>
  <cp:keywords/>
  <dc:description/>
  <cp:lastModifiedBy>Sabrina Belcianu</cp:lastModifiedBy>
  <cp:revision>2</cp:revision>
  <dcterms:created xsi:type="dcterms:W3CDTF">2023-11-11T17:16:00Z</dcterms:created>
  <dcterms:modified xsi:type="dcterms:W3CDTF">2023-11-11T17:16:00Z</dcterms:modified>
</cp:coreProperties>
</file>