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2828968">
      <w:pPr>
        <w:jc w:val="center"/>
        <w:rPr>
          <w:b/>
          <w:sz w:val="32"/>
          <w:szCs w:val="32"/>
        </w:rPr>
      </w:pPr>
    </w:p>
    <w:p w14:paraId="34DE14C7">
      <w:pPr>
        <w:jc w:val="center"/>
        <w:rPr>
          <w:b/>
          <w:sz w:val="32"/>
          <w:szCs w:val="32"/>
        </w:rPr>
      </w:pPr>
    </w:p>
    <w:p w14:paraId="46CFE066">
      <w:pPr>
        <w:jc w:val="center"/>
        <w:rPr>
          <w:b/>
          <w:sz w:val="28"/>
          <w:szCs w:val="28"/>
        </w:rPr>
      </w:pPr>
      <w:r>
        <w:rPr>
          <w:b/>
          <w:sz w:val="28"/>
          <w:szCs w:val="28"/>
        </w:rPr>
        <w:t>Student Name: Kouadio Affoue Denise</w:t>
      </w:r>
    </w:p>
    <w:p w14:paraId="2FE0752F">
      <w:pPr>
        <w:jc w:val="center"/>
        <w:rPr>
          <w:b/>
          <w:sz w:val="28"/>
          <w:szCs w:val="28"/>
        </w:rPr>
      </w:pPr>
      <w:r>
        <w:rPr>
          <w:b/>
          <w:sz w:val="28"/>
          <w:szCs w:val="28"/>
        </w:rPr>
        <w:t>Student ID:</w:t>
      </w:r>
    </w:p>
    <w:p w14:paraId="50FC5487">
      <w:pPr>
        <w:jc w:val="center"/>
        <w:rPr>
          <w:b/>
          <w:sz w:val="32"/>
          <w:szCs w:val="32"/>
        </w:rPr>
      </w:pPr>
    </w:p>
    <w:p w14:paraId="7B43B1AE">
      <w:pPr>
        <w:jc w:val="center"/>
        <w:rPr>
          <w:sz w:val="24"/>
          <w:szCs w:val="24"/>
        </w:rPr>
      </w:pPr>
      <w:r>
        <w:rPr>
          <w:b/>
          <w:sz w:val="32"/>
          <w:szCs w:val="32"/>
        </w:rPr>
        <w:t>Module Code: BMHP5016</w:t>
      </w:r>
    </w:p>
    <w:p w14:paraId="6F045CF7">
      <w:pPr>
        <w:jc w:val="center"/>
        <w:rPr>
          <w:b/>
          <w:sz w:val="32"/>
          <w:szCs w:val="32"/>
        </w:rPr>
      </w:pPr>
      <w:r>
        <w:rPr>
          <w:b/>
          <w:sz w:val="32"/>
          <w:szCs w:val="32"/>
        </w:rPr>
        <w:t>Module Title: Principles of Health and Social Care Practice</w:t>
      </w:r>
    </w:p>
    <w:p w14:paraId="156F5A35">
      <w:pPr>
        <w:jc w:val="center"/>
        <w:rPr>
          <w:b/>
          <w:sz w:val="32"/>
          <w:szCs w:val="32"/>
        </w:rPr>
      </w:pPr>
    </w:p>
    <w:p w14:paraId="6BE45B13">
      <w:pPr>
        <w:jc w:val="center"/>
        <w:rPr>
          <w:b/>
          <w:sz w:val="32"/>
          <w:szCs w:val="32"/>
        </w:rPr>
      </w:pPr>
      <w:r>
        <w:rPr>
          <w:b/>
          <w:sz w:val="32"/>
          <w:szCs w:val="32"/>
        </w:rPr>
        <w:t>Assignment Title: Component 1: Reflective Report</w:t>
      </w:r>
    </w:p>
    <w:p w14:paraId="3286CE1B">
      <w:pPr>
        <w:jc w:val="center"/>
        <w:rPr>
          <w:b/>
          <w:sz w:val="32"/>
          <w:szCs w:val="32"/>
        </w:rPr>
      </w:pPr>
    </w:p>
    <w:p w14:paraId="789DB25A">
      <w:r>
        <w:br w:type="page"/>
      </w:r>
      <w:bookmarkStart w:id="25" w:name="_GoBack"/>
      <w:bookmarkEnd w:id="25"/>
    </w:p>
    <w:sdt>
      <w:sdtPr>
        <w:id w:val="-646890254"/>
        <w:docPartObj>
          <w:docPartGallery w:val="Table of Contents"/>
          <w:docPartUnique/>
        </w:docPartObj>
      </w:sdtPr>
      <w:sdtEndPr>
        <w:rPr>
          <w:b/>
          <w:bCs/>
        </w:rPr>
      </w:sdtEndPr>
      <w:sdtContent>
        <w:p w14:paraId="54D03103">
          <w:pPr>
            <w:jc w:val="center"/>
            <w:rPr>
              <w:b/>
              <w:bCs/>
              <w:sz w:val="28"/>
              <w:szCs w:val="28"/>
            </w:rPr>
          </w:pPr>
          <w:r>
            <w:rPr>
              <w:b/>
              <w:bCs/>
              <w:sz w:val="28"/>
              <w:szCs w:val="28"/>
            </w:rPr>
            <w:t>TABLE OF CONTENTS</w:t>
          </w:r>
        </w:p>
        <w:p w14:paraId="51F525EB">
          <w:pPr>
            <w:pStyle w:val="17"/>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TOC \o "1-3" \h \z \u </w:instrText>
          </w:r>
          <w:r>
            <w:fldChar w:fldCharType="separate"/>
          </w:r>
          <w:r>
            <w:fldChar w:fldCharType="begin"/>
          </w:r>
          <w:r>
            <w:instrText xml:space="preserve"> HYPERLINK \l "_Toc210751190" </w:instrText>
          </w:r>
          <w:r>
            <w:fldChar w:fldCharType="separate"/>
          </w:r>
          <w:r>
            <w:rPr>
              <w:rStyle w:val="13"/>
            </w:rPr>
            <w:t>Introduction</w:t>
          </w:r>
          <w:r>
            <w:tab/>
          </w:r>
          <w:r>
            <w:fldChar w:fldCharType="begin"/>
          </w:r>
          <w:r>
            <w:instrText xml:space="preserve"> PAGEREF _Toc210751190 \h </w:instrText>
          </w:r>
          <w:r>
            <w:fldChar w:fldCharType="separate"/>
          </w:r>
          <w:r>
            <w:t>4</w:t>
          </w:r>
          <w:r>
            <w:fldChar w:fldCharType="end"/>
          </w:r>
          <w:r>
            <w:fldChar w:fldCharType="end"/>
          </w:r>
        </w:p>
        <w:p w14:paraId="44BC7C71">
          <w:pPr>
            <w:pStyle w:val="17"/>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"_Toc210751191" </w:instrText>
          </w:r>
          <w:r>
            <w:fldChar w:fldCharType="separate"/>
          </w:r>
          <w:r>
            <w:rPr>
              <w:rStyle w:val="13"/>
            </w:rPr>
            <w:t>Task 1: Reflection on the Importance of Principle</w:t>
          </w:r>
          <w:r>
            <w:tab/>
          </w:r>
          <w:r>
            <w:fldChar w:fldCharType="begin"/>
          </w:r>
          <w:r>
            <w:instrText xml:space="preserve"> PAGEREF _Toc210751191 \h </w:instrText>
          </w:r>
          <w:r>
            <w:fldChar w:fldCharType="separate"/>
          </w:r>
          <w:r>
            <w:t>5</w:t>
          </w:r>
          <w:r>
            <w:fldChar w:fldCharType="end"/>
          </w:r>
          <w:r>
            <w:fldChar w:fldCharType="end"/>
          </w:r>
        </w:p>
        <w:p w14:paraId="0DFECD40">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"_Toc210751192" </w:instrText>
          </w:r>
          <w:r>
            <w:fldChar w:fldCharType="separate"/>
          </w:r>
          <w:r>
            <w:rPr>
              <w:rStyle w:val="13"/>
            </w:rPr>
            <w:t>Definition of principles</w:t>
          </w:r>
          <w:r>
            <w:tab/>
          </w:r>
          <w:r>
            <w:fldChar w:fldCharType="begin"/>
          </w:r>
          <w:r>
            <w:instrText xml:space="preserve"> PAGEREF _Toc210751192 \h </w:instrText>
          </w:r>
          <w:r>
            <w:fldChar w:fldCharType="separate"/>
          </w:r>
          <w:r>
            <w:t>5</w:t>
          </w:r>
          <w:r>
            <w:fldChar w:fldCharType="end"/>
          </w:r>
          <w:r>
            <w:fldChar w:fldCharType="end"/>
          </w:r>
        </w:p>
        <w:p w14:paraId="0314CDB2">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"_Toc210751193" </w:instrText>
          </w:r>
          <w:r>
            <w:fldChar w:fldCharType="separate"/>
          </w:r>
          <w:r>
            <w:rPr>
              <w:rStyle w:val="13"/>
            </w:rPr>
            <w:t>Significance to health and social care practice</w:t>
          </w:r>
          <w:r>
            <w:tab/>
          </w:r>
          <w:r>
            <w:fldChar w:fldCharType="begin"/>
          </w:r>
          <w:r>
            <w:instrText xml:space="preserve"> PAGEREF _Toc210751193 \h </w:instrText>
          </w:r>
          <w:r>
            <w:fldChar w:fldCharType="separate"/>
          </w:r>
          <w:r>
            <w:t>5</w:t>
          </w:r>
          <w:r>
            <w:fldChar w:fldCharType="end"/>
          </w:r>
          <w:r>
            <w:fldChar w:fldCharType="end"/>
          </w:r>
        </w:p>
        <w:p w14:paraId="5023D70B">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"_Toc210751194" </w:instrText>
          </w:r>
          <w:r>
            <w:fldChar w:fldCharType="separate"/>
          </w:r>
          <w:r>
            <w:rPr>
              <w:rStyle w:val="13"/>
            </w:rPr>
            <w:t>Theoretical Underpinning: Maslow’s Hierarchy of Needs</w:t>
          </w:r>
          <w:r>
            <w:tab/>
          </w:r>
          <w:r>
            <w:fldChar w:fldCharType="begin"/>
          </w:r>
          <w:r>
            <w:instrText xml:space="preserve"> PAGEREF _Toc210751194 \h </w:instrText>
          </w:r>
          <w:r>
            <w:fldChar w:fldCharType="separate"/>
          </w:r>
          <w:r>
            <w:t>6</w:t>
          </w:r>
          <w:r>
            <w:fldChar w:fldCharType="end"/>
          </w:r>
          <w:r>
            <w:fldChar w:fldCharType="end"/>
          </w:r>
        </w:p>
        <w:p w14:paraId="09FD8F61">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"_Toc210751195" </w:instrText>
          </w:r>
          <w:r>
            <w:fldChar w:fldCharType="separate"/>
          </w:r>
          <w:r>
            <w:rPr>
              <w:rStyle w:val="13"/>
            </w:rPr>
            <w:t>UK policy and legal context</w:t>
          </w:r>
          <w:r>
            <w:tab/>
          </w:r>
          <w:r>
            <w:fldChar w:fldCharType="begin"/>
          </w:r>
          <w:r>
            <w:instrText xml:space="preserve"> PAGEREF _Toc210751195 \h </w:instrText>
          </w:r>
          <w:r>
            <w:fldChar w:fldCharType="separate"/>
          </w:r>
          <w:r>
            <w:t>6</w:t>
          </w:r>
          <w:r>
            <w:fldChar w:fldCharType="end"/>
          </w:r>
          <w:r>
            <w:fldChar w:fldCharType="end"/>
          </w:r>
        </w:p>
        <w:p w14:paraId="5F722034">
          <w:pPr>
            <w:pStyle w:val="17"/>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"_Toc210751196" </w:instrText>
          </w:r>
          <w:r>
            <w:fldChar w:fldCharType="separate"/>
          </w:r>
          <w:r>
            <w:rPr>
              <w:rStyle w:val="13"/>
            </w:rPr>
            <w:t>Task 2: Practical Example in Practice</w:t>
          </w:r>
          <w:r>
            <w:tab/>
          </w:r>
          <w:r>
            <w:fldChar w:fldCharType="begin"/>
          </w:r>
          <w:r>
            <w:instrText xml:space="preserve"> PAGEREF _Toc210751196 \h </w:instrText>
          </w:r>
          <w:r>
            <w:fldChar w:fldCharType="separate"/>
          </w:r>
          <w:r>
            <w:t>7</w:t>
          </w:r>
          <w:r>
            <w:fldChar w:fldCharType="end"/>
          </w:r>
          <w:r>
            <w:fldChar w:fldCharType="end"/>
          </w:r>
        </w:p>
        <w:p w14:paraId="384A4BEC">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"_Toc210751197" </w:instrText>
          </w:r>
          <w:r>
            <w:fldChar w:fldCharType="separate"/>
          </w:r>
          <w:r>
            <w:rPr>
              <w:rStyle w:val="13"/>
            </w:rPr>
            <w:t>Setting and Initiative</w:t>
          </w:r>
          <w:r>
            <w:tab/>
          </w:r>
          <w:r>
            <w:fldChar w:fldCharType="begin"/>
          </w:r>
          <w:r>
            <w:instrText xml:space="preserve"> PAGEREF _Toc210751197 \h </w:instrText>
          </w:r>
          <w:r>
            <w:fldChar w:fldCharType="separate"/>
          </w:r>
          <w:r>
            <w:t>7</w:t>
          </w:r>
          <w:r>
            <w:fldChar w:fldCharType="end"/>
          </w:r>
          <w:r>
            <w:fldChar w:fldCharType="end"/>
          </w:r>
        </w:p>
        <w:p w14:paraId="154F7F31">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"_Toc210751198" </w:instrText>
          </w:r>
          <w:r>
            <w:fldChar w:fldCharType="separate"/>
          </w:r>
          <w:r>
            <w:rPr>
              <w:rStyle w:val="13"/>
            </w:rPr>
            <w:t>Applied Three Principles</w:t>
          </w:r>
          <w:r>
            <w:tab/>
          </w:r>
          <w:r>
            <w:fldChar w:fldCharType="begin"/>
          </w:r>
          <w:r>
            <w:instrText xml:space="preserve"> PAGEREF _Toc210751198 \h </w:instrText>
          </w:r>
          <w:r>
            <w:fldChar w:fldCharType="separate"/>
          </w:r>
          <w:r>
            <w:t>7</w:t>
          </w:r>
          <w:r>
            <w:fldChar w:fldCharType="end"/>
          </w:r>
          <w:r>
            <w:fldChar w:fldCharType="end"/>
          </w:r>
        </w:p>
        <w:p w14:paraId="25CF4834">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"_Toc210751199" </w:instrText>
          </w:r>
          <w:r>
            <w:fldChar w:fldCharType="separate"/>
          </w:r>
          <w:r>
            <w:rPr>
              <w:rStyle w:val="13"/>
            </w:rPr>
            <w:t>Impact of Service Users and Professionals</w:t>
          </w:r>
          <w:r>
            <w:tab/>
          </w:r>
          <w:r>
            <w:fldChar w:fldCharType="begin"/>
          </w:r>
          <w:r>
            <w:instrText xml:space="preserve"> PAGEREF _Toc210751199 \h </w:instrText>
          </w:r>
          <w:r>
            <w:fldChar w:fldCharType="separate"/>
          </w:r>
          <w:r>
            <w:t>7</w:t>
          </w:r>
          <w:r>
            <w:fldChar w:fldCharType="end"/>
          </w:r>
          <w:r>
            <w:fldChar w:fldCharType="end"/>
          </w:r>
        </w:p>
        <w:p w14:paraId="1C11BEB8">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"_Toc210751200" </w:instrText>
          </w:r>
          <w:r>
            <w:fldChar w:fldCharType="separate"/>
          </w:r>
          <w:r>
            <w:rPr>
              <w:rStyle w:val="13"/>
            </w:rPr>
            <w:t>Challenges and Process to Overcome</w:t>
          </w:r>
          <w:r>
            <w:tab/>
          </w:r>
          <w:r>
            <w:fldChar w:fldCharType="begin"/>
          </w:r>
          <w:r>
            <w:instrText xml:space="preserve"> PAGEREF _Toc210751200 \h </w:instrText>
          </w:r>
          <w:r>
            <w:fldChar w:fldCharType="separate"/>
          </w:r>
          <w:r>
            <w:t>8</w:t>
          </w:r>
          <w:r>
            <w:fldChar w:fldCharType="end"/>
          </w:r>
          <w:r>
            <w:fldChar w:fldCharType="end"/>
          </w:r>
        </w:p>
        <w:p w14:paraId="6FCE6BC9">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"_Toc210751201" </w:instrText>
          </w:r>
          <w:r>
            <w:fldChar w:fldCharType="separate"/>
          </w:r>
          <w:r>
            <w:rPr>
              <w:rStyle w:val="13"/>
            </w:rPr>
            <w:t>Policy and Guidelines Context and How these Concepts align</w:t>
          </w:r>
          <w:r>
            <w:tab/>
          </w:r>
          <w:r>
            <w:fldChar w:fldCharType="begin"/>
          </w:r>
          <w:r>
            <w:instrText xml:space="preserve"> PAGEREF _Toc210751201 \h </w:instrText>
          </w:r>
          <w:r>
            <w:fldChar w:fldCharType="separate"/>
          </w:r>
          <w:r>
            <w:t>8</w:t>
          </w:r>
          <w:r>
            <w:fldChar w:fldCharType="end"/>
          </w:r>
          <w:r>
            <w:fldChar w:fldCharType="end"/>
          </w:r>
        </w:p>
        <w:p w14:paraId="5D0A0125">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"_Toc210751202" </w:instrText>
          </w:r>
          <w:r>
            <w:fldChar w:fldCharType="separate"/>
          </w:r>
          <w:r>
            <w:rPr>
              <w:rStyle w:val="13"/>
            </w:rPr>
            <w:t>Suggesting strengthening practice</w:t>
          </w:r>
          <w:r>
            <w:tab/>
          </w:r>
          <w:r>
            <w:fldChar w:fldCharType="begin"/>
          </w:r>
          <w:r>
            <w:instrText xml:space="preserve"> PAGEREF _Toc210751202 \h </w:instrText>
          </w:r>
          <w:r>
            <w:fldChar w:fldCharType="separate"/>
          </w:r>
          <w:r>
            <w:t>9</w:t>
          </w:r>
          <w:r>
            <w:fldChar w:fldCharType="end"/>
          </w:r>
          <w:r>
            <w:fldChar w:fldCharType="end"/>
          </w:r>
        </w:p>
        <w:p w14:paraId="63DABD7C">
          <w:pPr>
            <w:pStyle w:val="17"/>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"_Toc210751203" </w:instrText>
          </w:r>
          <w:r>
            <w:fldChar w:fldCharType="separate"/>
          </w:r>
          <w:r>
            <w:rPr>
              <w:rStyle w:val="13"/>
            </w:rPr>
            <w:t>Task 3: Self-Reflection</w:t>
          </w:r>
          <w:r>
            <w:tab/>
          </w:r>
          <w:r>
            <w:fldChar w:fldCharType="begin"/>
          </w:r>
          <w:r>
            <w:instrText xml:space="preserve"> PAGEREF _Toc210751203 \h </w:instrText>
          </w:r>
          <w:r>
            <w:fldChar w:fldCharType="separate"/>
          </w:r>
          <w:r>
            <w:t>10</w:t>
          </w:r>
          <w:r>
            <w:fldChar w:fldCharType="end"/>
          </w:r>
          <w:r>
            <w:fldChar w:fldCharType="end"/>
          </w:r>
        </w:p>
        <w:p w14:paraId="59A41E1B">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"_Toc210751204" </w:instrText>
          </w:r>
          <w:r>
            <w:fldChar w:fldCharType="separate"/>
          </w:r>
          <w:r>
            <w:rPr>
              <w:rStyle w:val="13"/>
            </w:rPr>
            <w:t>Description</w:t>
          </w:r>
          <w:r>
            <w:tab/>
          </w:r>
          <w:r>
            <w:fldChar w:fldCharType="begin"/>
          </w:r>
          <w:r>
            <w:instrText xml:space="preserve"> PAGEREF _Toc210751204 \h </w:instrText>
          </w:r>
          <w:r>
            <w:fldChar w:fldCharType="separate"/>
          </w:r>
          <w:r>
            <w:t>10</w:t>
          </w:r>
          <w:r>
            <w:fldChar w:fldCharType="end"/>
          </w:r>
          <w:r>
            <w:fldChar w:fldCharType="end"/>
          </w:r>
        </w:p>
        <w:p w14:paraId="0823C668">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"_Toc210751205" </w:instrText>
          </w:r>
          <w:r>
            <w:fldChar w:fldCharType="separate"/>
          </w:r>
          <w:r>
            <w:rPr>
              <w:rStyle w:val="13"/>
            </w:rPr>
            <w:t>Feeling</w:t>
          </w:r>
          <w:r>
            <w:tab/>
          </w:r>
          <w:r>
            <w:fldChar w:fldCharType="begin"/>
          </w:r>
          <w:r>
            <w:instrText xml:space="preserve"> PAGEREF _Toc210751205 \h </w:instrText>
          </w:r>
          <w:r>
            <w:fldChar w:fldCharType="separate"/>
          </w:r>
          <w:r>
            <w:t>11</w:t>
          </w:r>
          <w:r>
            <w:fldChar w:fldCharType="end"/>
          </w:r>
          <w:r>
            <w:fldChar w:fldCharType="end"/>
          </w:r>
        </w:p>
        <w:p w14:paraId="5F7F3A07">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"_Toc210751206" </w:instrText>
          </w:r>
          <w:r>
            <w:fldChar w:fldCharType="separate"/>
          </w:r>
          <w:r>
            <w:rPr>
              <w:rStyle w:val="13"/>
            </w:rPr>
            <w:t>Evaluation</w:t>
          </w:r>
          <w:r>
            <w:tab/>
          </w:r>
          <w:r>
            <w:fldChar w:fldCharType="begin"/>
          </w:r>
          <w:r>
            <w:instrText xml:space="preserve"> PAGEREF _Toc210751206 \h </w:instrText>
          </w:r>
          <w:r>
            <w:fldChar w:fldCharType="separate"/>
          </w:r>
          <w:r>
            <w:t>11</w:t>
          </w:r>
          <w:r>
            <w:fldChar w:fldCharType="end"/>
          </w:r>
          <w:r>
            <w:fldChar w:fldCharType="end"/>
          </w:r>
        </w:p>
        <w:p w14:paraId="2EE20BDD">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"_Toc210751207" </w:instrText>
          </w:r>
          <w:r>
            <w:fldChar w:fldCharType="separate"/>
          </w:r>
          <w:r>
            <w:rPr>
              <w:rStyle w:val="13"/>
            </w:rPr>
            <w:t>Analysis</w:t>
          </w:r>
          <w:r>
            <w:tab/>
          </w:r>
          <w:r>
            <w:fldChar w:fldCharType="begin"/>
          </w:r>
          <w:r>
            <w:instrText xml:space="preserve"> PAGEREF _Toc210751207 \h </w:instrText>
          </w:r>
          <w:r>
            <w:fldChar w:fldCharType="separate"/>
          </w:r>
          <w:r>
            <w:t>11</w:t>
          </w:r>
          <w:r>
            <w:fldChar w:fldCharType="end"/>
          </w:r>
          <w:r>
            <w:fldChar w:fldCharType="end"/>
          </w:r>
        </w:p>
        <w:p w14:paraId="30EDF7A6">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"_Toc210751208" </w:instrText>
          </w:r>
          <w:r>
            <w:fldChar w:fldCharType="separate"/>
          </w:r>
          <w:r>
            <w:rPr>
              <w:rStyle w:val="13"/>
            </w:rPr>
            <w:t>Conclusion</w:t>
          </w:r>
          <w:r>
            <w:tab/>
          </w:r>
          <w:r>
            <w:fldChar w:fldCharType="begin"/>
          </w:r>
          <w:r>
            <w:instrText xml:space="preserve"> PAGEREF _Toc210751208 \h </w:instrText>
          </w:r>
          <w:r>
            <w:fldChar w:fldCharType="separate"/>
          </w:r>
          <w:r>
            <w:t>12</w:t>
          </w:r>
          <w:r>
            <w:fldChar w:fldCharType="end"/>
          </w:r>
          <w:r>
            <w:fldChar w:fldCharType="end"/>
          </w:r>
        </w:p>
        <w:p w14:paraId="34427765">
          <w:pPr>
            <w:pStyle w:val="18"/>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"_Toc210751209" </w:instrText>
          </w:r>
          <w:r>
            <w:fldChar w:fldCharType="separate"/>
          </w:r>
          <w:r>
            <w:rPr>
              <w:rStyle w:val="13"/>
            </w:rPr>
            <w:t>Action Plan</w:t>
          </w:r>
          <w:r>
            <w:tab/>
          </w:r>
          <w:r>
            <w:fldChar w:fldCharType="begin"/>
          </w:r>
          <w:r>
            <w:instrText xml:space="preserve"> PAGEREF _Toc210751209 \h </w:instrText>
          </w:r>
          <w:r>
            <w:fldChar w:fldCharType="separate"/>
          </w:r>
          <w:r>
            <w:t>12</w:t>
          </w:r>
          <w:r>
            <w:fldChar w:fldCharType="end"/>
          </w:r>
          <w:r>
            <w:fldChar w:fldCharType="end"/>
          </w:r>
        </w:p>
        <w:p w14:paraId="74EB1A3B">
          <w:pPr>
            <w:pStyle w:val="17"/>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"_Toc210751210" </w:instrText>
          </w:r>
          <w:r>
            <w:fldChar w:fldCharType="separate"/>
          </w:r>
          <w:r>
            <w:rPr>
              <w:rStyle w:val="13"/>
            </w:rPr>
            <w:t>Conclusion</w:t>
          </w:r>
          <w:r>
            <w:tab/>
          </w:r>
          <w:r>
            <w:fldChar w:fldCharType="begin"/>
          </w:r>
          <w:r>
            <w:instrText xml:space="preserve"> PAGEREF _Toc210751210 \h </w:instrText>
          </w:r>
          <w:r>
            <w:fldChar w:fldCharType="separate"/>
          </w:r>
          <w:r>
            <w:t>13</w:t>
          </w:r>
          <w:r>
            <w:fldChar w:fldCharType="end"/>
          </w:r>
          <w:r>
            <w:fldChar w:fldCharType="end"/>
          </w:r>
        </w:p>
        <w:p w14:paraId="7A5A40A4">
          <w:pPr>
            <w:pStyle w:val="17"/>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"_Toc210751211" </w:instrText>
          </w:r>
          <w:r>
            <w:fldChar w:fldCharType="separate"/>
          </w:r>
          <w:r>
            <w:rPr>
              <w:rStyle w:val="13"/>
            </w:rPr>
            <w:t>References</w:t>
          </w:r>
          <w:r>
            <w:tab/>
          </w:r>
          <w:r>
            <w:fldChar w:fldCharType="begin"/>
          </w:r>
          <w:r>
            <w:instrText xml:space="preserve"> PAGEREF _Toc210751211 \h </w:instrText>
          </w:r>
          <w:r>
            <w:fldChar w:fldCharType="separate"/>
          </w:r>
          <w:r>
            <w:t>14</w:t>
          </w:r>
          <w:r>
            <w:fldChar w:fldCharType="end"/>
          </w:r>
          <w:r>
            <w:fldChar w:fldCharType="end"/>
          </w:r>
        </w:p>
        <w:p w14:paraId="736ED37A">
          <w:pPr>
            <w:pStyle w:val="17"/>
            <w:tabs>
              <w:tab w:val="right" w:leader="dot" w:pos="9016"/>
            </w:tabs>
            <w:rPr>
              <w:rFonts w:asciiTheme="minorHAnsi" w:hAnsiTheme="minorHAnsi" w:eastAsiaTheme="minorEastAsia" w:cstheme="minorBidi"/>
              <w:kern w:val="2"/>
              <w:sz w:val="24"/>
              <w:szCs w:val="24"/>
              <w14:ligatures w14:val="standardContextual"/>
            </w:rPr>
          </w:pPr>
          <w:r>
            <w:fldChar w:fldCharType="begin"/>
          </w:r>
          <w:r>
            <w:instrText xml:space="preserve"> HYPERLINK \l "_Toc210751212" </w:instrText>
          </w:r>
          <w:r>
            <w:fldChar w:fldCharType="separate"/>
          </w:r>
          <w:r>
            <w:rPr>
              <w:rStyle w:val="13"/>
            </w:rPr>
            <w:t>Bibliography</w:t>
          </w:r>
          <w:r>
            <w:tab/>
          </w:r>
          <w:r>
            <w:fldChar w:fldCharType="begin"/>
          </w:r>
          <w:r>
            <w:instrText xml:space="preserve"> PAGEREF _Toc210751212 \h </w:instrText>
          </w:r>
          <w:r>
            <w:fldChar w:fldCharType="separate"/>
          </w:r>
          <w:r>
            <w:t>17</w:t>
          </w:r>
          <w:r>
            <w:fldChar w:fldCharType="end"/>
          </w:r>
          <w:r>
            <w:fldChar w:fldCharType="end"/>
          </w:r>
        </w:p>
        <w:p w14:paraId="7DB3F1EB">
          <w:r>
            <w:rPr>
              <w:b/>
              <w:bCs/>
            </w:rPr>
            <w:fldChar w:fldCharType="end"/>
          </w:r>
        </w:p>
      </w:sdtContent>
    </w:sdt>
    <w:p w14:paraId="7B54B549">
      <w:r>
        <w:br w:type="page"/>
      </w:r>
    </w:p>
    <w:p w14:paraId="7BBBA787">
      <w:pPr>
        <w:jc w:val="center"/>
        <w:rPr>
          <w:b/>
          <w:sz w:val="28"/>
          <w:szCs w:val="28"/>
        </w:rPr>
      </w:pPr>
      <w:r>
        <w:rPr>
          <w:b/>
          <w:sz w:val="28"/>
          <w:szCs w:val="28"/>
        </w:rPr>
        <w:t>LIST OF FIGURES</w:t>
      </w:r>
    </w:p>
    <w:p w14:paraId="6916E98A">
      <w:pPr>
        <w:pStyle w:val="15"/>
        <w:tabs>
          <w:tab w:val="right" w:leader="dot" w:pos="9016"/>
        </w:tabs>
      </w:pPr>
      <w:r>
        <w:fldChar w:fldCharType="begin"/>
      </w:r>
      <w:r>
        <w:instrText xml:space="preserve"> TOC \h \z \c "Figure" </w:instrText>
      </w:r>
      <w:r>
        <w:fldChar w:fldCharType="separate"/>
      </w:r>
      <w:r>
        <w:fldChar w:fldCharType="begin"/>
      </w:r>
      <w:r>
        <w:instrText xml:space="preserve"> HYPERLINK \l "_Toc210751090" </w:instrText>
      </w:r>
      <w:r>
        <w:fldChar w:fldCharType="separate"/>
      </w:r>
      <w:r>
        <w:rPr>
          <w:rStyle w:val="13"/>
          <w:b/>
          <w:bCs/>
        </w:rPr>
        <w:t>Figure 1: Gibbs’s Reflective Model</w:t>
      </w:r>
      <w:r>
        <w:tab/>
      </w:r>
      <w:r>
        <w:fldChar w:fldCharType="begin"/>
      </w:r>
      <w:r>
        <w:instrText xml:space="preserve"> PAGEREF _Toc210751090 \h </w:instrText>
      </w:r>
      <w:r>
        <w:fldChar w:fldCharType="separate"/>
      </w:r>
      <w:r>
        <w:t>10</w:t>
      </w:r>
      <w:r>
        <w:fldChar w:fldCharType="end"/>
      </w:r>
      <w:r>
        <w:fldChar w:fldCharType="end"/>
      </w:r>
    </w:p>
    <w:p w14:paraId="2F0A4AF2">
      <w:r>
        <w:fldChar w:fldCharType="end"/>
      </w:r>
    </w:p>
    <w:p w14:paraId="38E9EA66">
      <w:r>
        <w:br w:type="page"/>
      </w:r>
    </w:p>
    <w:p w14:paraId="00D225A6">
      <w:pPr>
        <w:pStyle w:val="2"/>
      </w:pPr>
      <w:bookmarkStart w:id="0" w:name="_Toc210751190"/>
      <w:r>
        <w:t>Introduction</w:t>
      </w:r>
      <w:bookmarkEnd w:id="0"/>
    </w:p>
    <w:p w14:paraId="18FAF593">
      <w:r>
        <w:t xml:space="preserve">The reflective report will reveal three essential principles in health and social care: </w:t>
      </w:r>
      <w:r>
        <w:rPr>
          <w:b/>
        </w:rPr>
        <w:t>person-centred care</w:t>
      </w:r>
      <w:r>
        <w:t xml:space="preserve">, </w:t>
      </w:r>
      <w:r>
        <w:rPr>
          <w:b/>
        </w:rPr>
        <w:t>partnership working</w:t>
      </w:r>
      <w:r>
        <w:t xml:space="preserve">, and </w:t>
      </w:r>
      <w:r>
        <w:rPr>
          <w:b/>
        </w:rPr>
        <w:t>ethics</w:t>
      </w:r>
      <w:r>
        <w:t xml:space="preserve">. The aim is to investigate the ways in which these principles enhance high-quality and holistic care via scholarly knowledge and experience. The report will use the example of </w:t>
      </w:r>
      <w:r>
        <w:rPr>
          <w:i/>
        </w:rPr>
        <w:t>Joan's Story</w:t>
      </w:r>
      <w:r>
        <w:t xml:space="preserve">, a patient with </w:t>
      </w:r>
      <w:r>
        <w:rPr>
          <w:b/>
        </w:rPr>
        <w:t>Chronic Obstructive Pulmonary Disease (COPD)</w:t>
      </w:r>
      <w:r>
        <w:t xml:space="preserve">, who has </w:t>
      </w:r>
      <w:r>
        <w:rPr>
          <w:i/>
        </w:rPr>
        <w:t>Crohn’s disease</w:t>
      </w:r>
      <w:r>
        <w:t xml:space="preserve">, to illustrate how collaborative, ethical, and individualised care can lead to factual improvement of self-management and wellbeing. It also revisits the way such principles can affect the practice and professional learning based on </w:t>
      </w:r>
      <w:r>
        <w:rPr>
          <w:b/>
        </w:rPr>
        <w:t>Gibbs' Reflective Cycle</w:t>
      </w:r>
      <w:r>
        <w:t>. This report will also discuss the ways in which knowledge of these principles will support better patient outcomes and professional development.</w:t>
      </w:r>
    </w:p>
    <w:p w14:paraId="6EABB894">
      <w:r>
        <w:br w:type="page"/>
      </w:r>
    </w:p>
    <w:p w14:paraId="4CD5099A">
      <w:pPr>
        <w:pStyle w:val="2"/>
        <w:jc w:val="center"/>
      </w:pPr>
      <w:bookmarkStart w:id="1" w:name="_Toc210751191"/>
      <w:r>
        <w:t>Task 1: Reflection on the Importance of Principle</w:t>
      </w:r>
      <w:bookmarkEnd w:id="1"/>
    </w:p>
    <w:p w14:paraId="23DE3688">
      <w:pPr>
        <w:pStyle w:val="3"/>
      </w:pPr>
      <w:bookmarkStart w:id="2" w:name="_Toc210751192"/>
      <w:r>
        <w:t>Definition of principles</w:t>
      </w:r>
      <w:bookmarkEnd w:id="2"/>
      <w:r>
        <w:t xml:space="preserve"> </w:t>
      </w:r>
    </w:p>
    <w:p w14:paraId="1EDED43A">
      <w:r>
        <w:rPr>
          <w:b/>
        </w:rPr>
        <w:t>Person-centred care approach:</w:t>
      </w:r>
      <w:r>
        <w:t xml:space="preserve"> Person-centred care focuses on the care needs of an individual. It refers to care that is tailored to a person's unique situation, values, requirements, and preferences. Staff are authorised to bypass procedures and systems and deliver care that is tailored to each patient's unique needs by upholding the person-centred care principles (Health, 2025). The NHS and other healthcare organisations aspire to improve patient experience, care quality, and health outcomes by putting the individual at the core of their treatment through the person-centred care approach. In the case of Joan, the therapy team collaborated closely with Joan to learn about her fears and health restrictions, modifying her pulmonary rehabilitation to a community context, respecting her comfort, preferences, and independence.</w:t>
      </w:r>
    </w:p>
    <w:p w14:paraId="65808039">
      <w:r>
        <w:rPr>
          <w:b/>
        </w:rPr>
        <w:t>Partnership Working:</w:t>
      </w:r>
      <w:r>
        <w:t xml:space="preserve"> In the health and social care sector, partnership working means shared goals, clear communication, as well as coordinated support between GPs, nurses, social workers, caregivers, and community services (Morgan and Yaskey, 2025). Sharing resources and expertise can result in more efficient, better, and productive services created by the partners. Capital investment and other resources can be shared among the partners and result in the efficient utilisation of capital and resources. In Joan's story, GP, physiotherapist, and therapy team worked together, attending regular meetings, to plan her care, control her COPD and Crohn's symptoms. By maintaining her emotional well-being, she is pulling together the continued care across the boundaries dividing various professionals and locations.</w:t>
      </w:r>
    </w:p>
    <w:p w14:paraId="0DC3EBAB">
      <w:r>
        <w:rPr>
          <w:b/>
        </w:rPr>
        <w:t>Ethics:</w:t>
      </w:r>
      <w:r>
        <w:t xml:space="preserve"> In health and social care, ethics are the moral principles used to guide practice and may include respect for autonomy, benefit (doing good), non-maleficence (not harm), justice (characterised by fairness), dignity, confidentiality, and accountability (Abbas, 2025). Ethical practice is a way of making decisions in a morally and legally acceptable manner.</w:t>
      </w:r>
    </w:p>
    <w:p w14:paraId="3034B43F">
      <w:pPr>
        <w:pStyle w:val="3"/>
        <w:rPr>
          <w:b w:val="0"/>
        </w:rPr>
      </w:pPr>
      <w:bookmarkStart w:id="3" w:name="_Toc210751193"/>
      <w:r>
        <w:t>Significance to health and social care practice</w:t>
      </w:r>
      <w:bookmarkEnd w:id="3"/>
      <w:r>
        <w:t xml:space="preserve"> </w:t>
      </w:r>
    </w:p>
    <w:p w14:paraId="70F3A668">
      <w:r>
        <w:rPr>
          <w:b/>
        </w:rPr>
        <w:t>Ensuring quality of care:</w:t>
      </w:r>
      <w:r>
        <w:t xml:space="preserve"> Care is more individualised, more humane as people are not addressed as problematic or as cases, resulting in improved satisfaction and probable improved outcomes (Kallio </w:t>
      </w:r>
      <w:r>
        <w:rPr>
          <w:i/>
        </w:rPr>
        <w:t>et al</w:t>
      </w:r>
      <w:r>
        <w:t>., 2022).</w:t>
      </w:r>
    </w:p>
    <w:p w14:paraId="4E43D599">
      <w:r>
        <w:rPr>
          <w:b/>
        </w:rPr>
        <w:t>Upholding rights and legal duties:</w:t>
      </w:r>
      <w:r>
        <w:t xml:space="preserve"> Policies need to facilitate individual well-being, human rights, and autonomy. Three ways to ensure adherence to these legal and regulatory frameworks are to ensure ethical conduct and partnership (Hoxhaj </w:t>
      </w:r>
      <w:r>
        <w:rPr>
          <w:i/>
        </w:rPr>
        <w:t>et al.,</w:t>
      </w:r>
      <w:r>
        <w:t xml:space="preserve"> 2023).</w:t>
      </w:r>
    </w:p>
    <w:p w14:paraId="1B662520">
      <w:r>
        <w:rPr>
          <w:b/>
        </w:rPr>
        <w:t>Reducing inconsistency:</w:t>
      </w:r>
      <w:r>
        <w:t xml:space="preserve"> partnership working also reduces duplication as well as gaps in care. Personal-centred care also helps ensure coherence across services. </w:t>
      </w:r>
    </w:p>
    <w:p w14:paraId="38AB0E99">
      <w:pPr>
        <w:pStyle w:val="3"/>
        <w:rPr>
          <w:b w:val="0"/>
        </w:rPr>
      </w:pPr>
      <w:bookmarkStart w:id="4" w:name="_Toc210751194"/>
      <w:r>
        <w:t>Theoretical Underpinning: Maslow’s Hierarchy of Needs</w:t>
      </w:r>
      <w:bookmarkEnd w:id="4"/>
    </w:p>
    <w:p w14:paraId="155BD27C">
      <w:r>
        <w:t>According to Maslow, the human being needs in a hierarchy, categorised as: physiological needs, safety needs, belongingness and love needs, esteem needs, and self-actualisation needs (Taneva, 2023). This theory is applied in health and social care, with person-centred care; seeing to the basic needs (e.g. safety, physical care), then the psychological, social, and esteem needs; and empowering individuals to achieve their potential. In this case, holistic care requires respecting autonomy (esteem) or assisting individuals to sustain social relationships (belonging). This theory assists practitioners in acknowledging that unfulfilled lower-level needs may inhibit higher levels of well-being.</w:t>
      </w:r>
    </w:p>
    <w:p w14:paraId="7EA69CC9">
      <w:pPr>
        <w:pStyle w:val="3"/>
        <w:rPr>
          <w:b w:val="0"/>
        </w:rPr>
      </w:pPr>
      <w:bookmarkStart w:id="5" w:name="_Toc210751195"/>
      <w:r>
        <w:t>UK policy and legal context</w:t>
      </w:r>
      <w:bookmarkEnd w:id="5"/>
    </w:p>
    <w:p w14:paraId="58D9BEA2">
      <w:r>
        <w:t>In the Care Act 2014, a number of principles help to elucidate these three: promoting wellbeing through engagement of individuals in assessment and care planning and review, promotion of prevention, cooperation of services, empowering the decision of the person, accountability, and proportionality.</w:t>
      </w:r>
    </w:p>
    <w:p w14:paraId="3473312E">
      <w:pPr>
        <w:rPr>
          <w:b/>
        </w:rPr>
      </w:pPr>
      <w:r>
        <w:rPr>
          <w:b/>
        </w:rPr>
        <w:t>Benefits and Challenges in Implementation</w:t>
      </w:r>
    </w:p>
    <w:tbl>
      <w:tblPr>
        <w:tblStyle w:val="20"/>
        <w:tblW w:w="9016"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4508"/>
        <w:gridCol w:w="4508"/>
      </w:tblGrid>
      <w:tr w14:paraId="504621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08" w:type="dxa"/>
          </w:tcPr>
          <w:p w14:paraId="423293DE">
            <w:pPr>
              <w:spacing w:after="0" w:line="360" w:lineRule="auto"/>
              <w:jc w:val="center"/>
              <w:rPr>
                <w:b/>
              </w:rPr>
            </w:pPr>
            <w:r>
              <w:rPr>
                <w:b/>
              </w:rPr>
              <w:t xml:space="preserve">Benefits </w:t>
            </w:r>
          </w:p>
        </w:tc>
        <w:tc>
          <w:tcPr>
            <w:tcW w:w="4508" w:type="dxa"/>
          </w:tcPr>
          <w:p w14:paraId="295F838B">
            <w:pPr>
              <w:spacing w:after="0" w:line="360" w:lineRule="auto"/>
              <w:jc w:val="center"/>
              <w:rPr>
                <w:b/>
              </w:rPr>
            </w:pPr>
            <w:r>
              <w:rPr>
                <w:b/>
              </w:rPr>
              <w:t xml:space="preserve">Challenges </w:t>
            </w:r>
          </w:p>
        </w:tc>
      </w:tr>
      <w:tr w14:paraId="4FCFB52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08" w:type="dxa"/>
          </w:tcPr>
          <w:p w14:paraId="2D7DE3DD">
            <w:pPr>
              <w:spacing w:after="0" w:line="360" w:lineRule="auto"/>
            </w:pPr>
            <w:r>
              <w:t xml:space="preserve">For the service users, greater satisfaction, feeling heard, respected, more personalised support, better results (mental, social, and physical) (Esmaeilzadeh </w:t>
            </w:r>
            <w:r>
              <w:rPr>
                <w:i/>
              </w:rPr>
              <w:t>et al</w:t>
            </w:r>
            <w:r>
              <w:t>., 2025)</w:t>
            </w:r>
          </w:p>
        </w:tc>
        <w:tc>
          <w:tcPr>
            <w:tcW w:w="4508" w:type="dxa"/>
          </w:tcPr>
          <w:p w14:paraId="519B59C5">
            <w:pPr>
              <w:spacing w:after="0" w:line="360" w:lineRule="auto"/>
            </w:pPr>
            <w:r>
              <w:t xml:space="preserve">Resource constraints: time, staffing, and funding to support tailored care, coordination, and partnership. </w:t>
            </w:r>
          </w:p>
        </w:tc>
      </w:tr>
      <w:tr w14:paraId="5CE023B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08" w:type="dxa"/>
          </w:tcPr>
          <w:p w14:paraId="6E658A28">
            <w:pPr>
              <w:spacing w:after="0" w:line="360" w:lineRule="auto"/>
            </w:pPr>
            <w:r>
              <w:t>For the professionals, it also sets clearer roles, more effective use of resources, shared responsibility, and potential reductions in duplication errors.</w:t>
            </w:r>
          </w:p>
        </w:tc>
        <w:tc>
          <w:tcPr>
            <w:tcW w:w="4508" w:type="dxa"/>
          </w:tcPr>
          <w:p w14:paraId="48721D70">
            <w:pPr>
              <w:spacing w:after="0" w:line="360" w:lineRule="auto"/>
            </w:pPr>
            <w:r>
              <w:t xml:space="preserve">Communication issues: barriers between professionals, information sharing, and conflicting priorities within the organisation. </w:t>
            </w:r>
          </w:p>
        </w:tc>
      </w:tr>
    </w:tbl>
    <w:p w14:paraId="1DC7B92B"/>
    <w:p w14:paraId="1217603E">
      <w:r>
        <w:br w:type="page"/>
      </w:r>
    </w:p>
    <w:p w14:paraId="25D3F827">
      <w:pPr>
        <w:pStyle w:val="2"/>
        <w:jc w:val="center"/>
      </w:pPr>
      <w:bookmarkStart w:id="6" w:name="_Toc210751196"/>
      <w:r>
        <w:t>Task 2: Practical Example in Practice</w:t>
      </w:r>
      <w:bookmarkEnd w:id="6"/>
    </w:p>
    <w:p w14:paraId="4FE3AA89">
      <w:pPr>
        <w:rPr>
          <w:b/>
        </w:rPr>
      </w:pPr>
      <w:r>
        <w:rPr>
          <w:b/>
        </w:rPr>
        <w:t>Case Study: Joan’s Story</w:t>
      </w:r>
    </w:p>
    <w:p w14:paraId="6C1236B7">
      <w:pPr>
        <w:pStyle w:val="3"/>
      </w:pPr>
      <w:bookmarkStart w:id="7" w:name="_kk5syahkw58h" w:colFirst="0" w:colLast="0"/>
      <w:bookmarkEnd w:id="7"/>
      <w:bookmarkStart w:id="8" w:name="_Toc210751197"/>
      <w:r>
        <w:t>Setting and Initiative</w:t>
      </w:r>
      <w:bookmarkEnd w:id="8"/>
    </w:p>
    <w:p w14:paraId="11C9E85E">
      <w:r>
        <w:t>Joan is a COPD patient with Crohn's disease who has had difficulties with showing up to her sessions in the pulmonary rehabilitation program and managing her symptoms (NHS England, 2018). Her physiotherapist realised the difficulty, and a survey about Patient Activation Measurement (PAM) was introduced, which was used to check the confidence and capability of Joan to manage herself.</w:t>
      </w:r>
    </w:p>
    <w:p w14:paraId="09E4288E">
      <w:pPr>
        <w:pStyle w:val="3"/>
        <w:rPr>
          <w:b w:val="0"/>
        </w:rPr>
      </w:pPr>
      <w:bookmarkStart w:id="9" w:name="_Toc210751198"/>
      <w:r>
        <w:t>Applied Three Principles</w:t>
      </w:r>
      <w:bookmarkEnd w:id="9"/>
    </w:p>
    <w:tbl>
      <w:tblPr>
        <w:tblStyle w:val="21"/>
        <w:tblW w:w="9016"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2972"/>
        <w:gridCol w:w="6044"/>
      </w:tblGrid>
      <w:tr w14:paraId="2D7E71C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972" w:type="dxa"/>
          </w:tcPr>
          <w:p w14:paraId="10F4913A">
            <w:pPr>
              <w:spacing w:after="0" w:line="360" w:lineRule="auto"/>
            </w:pPr>
            <w:r>
              <w:t xml:space="preserve">Person-Centred Care </w:t>
            </w:r>
          </w:p>
        </w:tc>
        <w:tc>
          <w:tcPr>
            <w:tcW w:w="6044" w:type="dxa"/>
          </w:tcPr>
          <w:p w14:paraId="1174160B">
            <w:pPr>
              <w:spacing w:after="0" w:line="360" w:lineRule="auto"/>
            </w:pPr>
            <w:r>
              <w:t xml:space="preserve">It was encouraged that people such as Joan should have their care plans and the specified professionals should have played a central role as intermediaries to ensure their interests and requirements are at the centre (Mack </w:t>
            </w:r>
            <w:r>
              <w:rPr>
                <w:i/>
              </w:rPr>
              <w:t>et al.</w:t>
            </w:r>
            <w:r>
              <w:t>, 2025).</w:t>
            </w:r>
          </w:p>
        </w:tc>
      </w:tr>
      <w:tr w14:paraId="3858702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972" w:type="dxa"/>
          </w:tcPr>
          <w:p w14:paraId="66DF813C">
            <w:pPr>
              <w:spacing w:after="0" w:line="360" w:lineRule="auto"/>
            </w:pPr>
            <w:r>
              <w:t xml:space="preserve">Partnership Working </w:t>
            </w:r>
          </w:p>
        </w:tc>
        <w:tc>
          <w:tcPr>
            <w:tcW w:w="6044" w:type="dxa"/>
          </w:tcPr>
          <w:p w14:paraId="276DBF81">
            <w:pPr>
              <w:spacing w:after="0" w:line="360" w:lineRule="auto"/>
            </w:pPr>
            <w:r>
              <w:t>This interdisciplinary teamwork allowed cooperation between health, social care, and mental health personnel in terms of delivering the required assistance to her COPD and Crohn's (NHS England, 2018).</w:t>
            </w:r>
          </w:p>
        </w:tc>
      </w:tr>
      <w:tr w14:paraId="638C594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972" w:type="dxa"/>
          </w:tcPr>
          <w:p w14:paraId="33D2B200">
            <w:pPr>
              <w:spacing w:after="0" w:line="360" w:lineRule="auto"/>
            </w:pPr>
            <w:r>
              <w:t>Ethics</w:t>
            </w:r>
          </w:p>
        </w:tc>
        <w:tc>
          <w:tcPr>
            <w:tcW w:w="6044" w:type="dxa"/>
          </w:tcPr>
          <w:p w14:paraId="35038830">
            <w:pPr>
              <w:spacing w:after="0" w:line="360" w:lineRule="auto"/>
            </w:pPr>
            <w:r>
              <w:t>The method applied in the treatment of Joan encompassed the ethics of dignity, autonomy, and justice because it served to fulfil the desires of the patient and alleviate her limitations, as well as provide her with sufficient caring and equal support (Walker, 2023).</w:t>
            </w:r>
          </w:p>
        </w:tc>
      </w:tr>
    </w:tbl>
    <w:p w14:paraId="1A49C958"/>
    <w:p w14:paraId="1BBDF290">
      <w:pPr>
        <w:pStyle w:val="3"/>
        <w:rPr>
          <w:b w:val="0"/>
        </w:rPr>
      </w:pPr>
      <w:bookmarkStart w:id="10" w:name="_Toc210751199"/>
      <w:r>
        <w:t>Impact of Service Users and Professionals</w:t>
      </w:r>
      <w:bookmarkEnd w:id="10"/>
      <w:r>
        <w:t xml:space="preserve"> </w:t>
      </w:r>
    </w:p>
    <w:tbl>
      <w:tblPr>
        <w:tblStyle w:val="22"/>
        <w:tblW w:w="903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2295"/>
        <w:gridCol w:w="6735"/>
      </w:tblGrid>
      <w:tr w14:paraId="69B021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295" w:type="dxa"/>
          </w:tcPr>
          <w:p w14:paraId="610F3DA0">
            <w:pPr>
              <w:spacing w:after="0" w:line="360" w:lineRule="auto"/>
            </w:pPr>
            <w:r>
              <w:t>For Service users</w:t>
            </w:r>
          </w:p>
        </w:tc>
        <w:tc>
          <w:tcPr>
            <w:tcW w:w="6735" w:type="dxa"/>
          </w:tcPr>
          <w:p w14:paraId="20BC0FA0">
            <w:pPr>
              <w:spacing w:after="0" w:line="360" w:lineRule="auto"/>
            </w:pPr>
            <w:r>
              <w:t>In the case of Joan, the collaborative and person-centred model enhanced her self-management skills, confidence, and demeanour in general (NHS England, 2018). By overcoming her fears and her bodily restrictions, she became more attentive in her care and frequently visits, nearly all the appointments scheduled with her.</w:t>
            </w:r>
          </w:p>
        </w:tc>
      </w:tr>
      <w:tr w14:paraId="3166B03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295" w:type="dxa"/>
          </w:tcPr>
          <w:p w14:paraId="24F68496">
            <w:pPr>
              <w:spacing w:after="0" w:line="360" w:lineRule="auto"/>
            </w:pPr>
            <w:r>
              <w:t xml:space="preserve">For Professionals </w:t>
            </w:r>
          </w:p>
        </w:tc>
        <w:tc>
          <w:tcPr>
            <w:tcW w:w="6735" w:type="dxa"/>
          </w:tcPr>
          <w:p w14:paraId="204926EA">
            <w:pPr>
              <w:spacing w:after="0" w:line="360" w:lineRule="auto"/>
            </w:pPr>
            <w:r>
              <w:t>To health and social care professionals, the case of Joan confirmed the significance of good communication, empathy, and coordinated group work (NHS England, 2018). The collaboration of the GP, physiotherapist, and the therapy team increased the understanding of roles as well as the continuum of care.</w:t>
            </w:r>
          </w:p>
        </w:tc>
      </w:tr>
    </w:tbl>
    <w:p w14:paraId="4B839D60"/>
    <w:p w14:paraId="133952D4">
      <w:pPr>
        <w:pStyle w:val="3"/>
        <w:rPr>
          <w:b w:val="0"/>
        </w:rPr>
      </w:pPr>
      <w:bookmarkStart w:id="11" w:name="_Toc210751200"/>
      <w:r>
        <w:t>Challenges and Process to Overcome</w:t>
      </w:r>
      <w:bookmarkEnd w:id="11"/>
      <w:r>
        <w:t xml:space="preserve"> </w:t>
      </w:r>
    </w:p>
    <w:tbl>
      <w:tblPr>
        <w:tblStyle w:val="23"/>
        <w:tblW w:w="904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2040"/>
        <w:gridCol w:w="3960"/>
        <w:gridCol w:w="3045"/>
      </w:tblGrid>
      <w:tr w14:paraId="1F7613A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040" w:type="dxa"/>
          </w:tcPr>
          <w:p w14:paraId="192B5886">
            <w:pPr>
              <w:spacing w:after="0" w:line="360" w:lineRule="auto"/>
              <w:rPr>
                <w:b/>
              </w:rPr>
            </w:pPr>
            <w:r>
              <w:rPr>
                <w:b/>
              </w:rPr>
              <w:t xml:space="preserve">Challenges </w:t>
            </w:r>
          </w:p>
        </w:tc>
        <w:tc>
          <w:tcPr>
            <w:tcW w:w="3960" w:type="dxa"/>
          </w:tcPr>
          <w:p w14:paraId="2EEFC76D">
            <w:pPr>
              <w:spacing w:after="0" w:line="360" w:lineRule="auto"/>
              <w:jc w:val="center"/>
              <w:rPr>
                <w:b/>
              </w:rPr>
            </w:pPr>
            <w:r>
              <w:rPr>
                <w:b/>
              </w:rPr>
              <w:t>How to Overcome</w:t>
            </w:r>
          </w:p>
        </w:tc>
        <w:tc>
          <w:tcPr>
            <w:tcW w:w="3045" w:type="dxa"/>
          </w:tcPr>
          <w:p w14:paraId="3FC263A9">
            <w:pPr>
              <w:spacing w:after="0" w:line="360" w:lineRule="auto"/>
              <w:jc w:val="center"/>
              <w:rPr>
                <w:b/>
              </w:rPr>
            </w:pPr>
            <w:r>
              <w:rPr>
                <w:b/>
              </w:rPr>
              <w:t>Impact</w:t>
            </w:r>
          </w:p>
        </w:tc>
      </w:tr>
      <w:tr w14:paraId="65021B2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040" w:type="dxa"/>
          </w:tcPr>
          <w:p w14:paraId="0FDDA00E">
            <w:pPr>
              <w:spacing w:after="0" w:line="360" w:lineRule="auto"/>
              <w:rPr>
                <w:b/>
                <w:i/>
              </w:rPr>
            </w:pPr>
            <w:r>
              <w:rPr>
                <w:b/>
                <w:i/>
              </w:rPr>
              <w:t>Low Confidence and Motivation</w:t>
            </w:r>
          </w:p>
        </w:tc>
        <w:tc>
          <w:tcPr>
            <w:tcW w:w="3960" w:type="dxa"/>
          </w:tcPr>
          <w:p w14:paraId="4451E226">
            <w:pPr>
              <w:spacing w:after="0" w:line="360" w:lineRule="auto"/>
            </w:pPr>
            <w:r>
              <w:t>Regular home visits, motivational support sessions, and a gradual introduction of community-based rehabilitation were used to help Joan regain confidence and trust in healthcare services.</w:t>
            </w:r>
          </w:p>
        </w:tc>
        <w:tc>
          <w:tcPr>
            <w:tcW w:w="3045" w:type="dxa"/>
          </w:tcPr>
          <w:p w14:paraId="145D93F7">
            <w:pPr>
              <w:spacing w:after="0" w:line="360" w:lineRule="auto"/>
            </w:pPr>
            <w:r>
              <w:t>The level of participation increased, and Joan has started attending most of the appointments on her own (NHS England, 2018).</w:t>
            </w:r>
          </w:p>
        </w:tc>
      </w:tr>
      <w:tr w14:paraId="3A93CCD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040" w:type="dxa"/>
          </w:tcPr>
          <w:p w14:paraId="1CD7CE3B">
            <w:pPr>
              <w:spacing w:after="0" w:line="360" w:lineRule="auto"/>
              <w:rPr>
                <w:b/>
                <w:i/>
              </w:rPr>
            </w:pPr>
            <w:r>
              <w:rPr>
                <w:b/>
                <w:i/>
              </w:rPr>
              <w:t>Physical and Emotional Barriers</w:t>
            </w:r>
          </w:p>
        </w:tc>
        <w:tc>
          <w:tcPr>
            <w:tcW w:w="3960" w:type="dxa"/>
          </w:tcPr>
          <w:p w14:paraId="1E0F6FF9">
            <w:pPr>
              <w:spacing w:after="0" w:line="360" w:lineRule="auto"/>
            </w:pPr>
            <w:r>
              <w:t>Working as a team of GP, physiotherapist and therapy team, to address her COPD and Crohn's disease and offer psychological reassurance, as well as give flexibility to the care planning (NHS England, 2018).</w:t>
            </w:r>
          </w:p>
        </w:tc>
        <w:tc>
          <w:tcPr>
            <w:tcW w:w="3045" w:type="dxa"/>
          </w:tcPr>
          <w:p w14:paraId="51476252">
            <w:pPr>
              <w:spacing w:after="0" w:line="360" w:lineRule="auto"/>
            </w:pPr>
            <w:r>
              <w:t>Feelings and stress levels got better, anxiety levels lowered, and a decrease in hospital readmission.</w:t>
            </w:r>
          </w:p>
        </w:tc>
      </w:tr>
      <w:tr w14:paraId="4268AE1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040" w:type="dxa"/>
          </w:tcPr>
          <w:p w14:paraId="532620E8">
            <w:pPr>
              <w:spacing w:after="0" w:line="360" w:lineRule="auto"/>
              <w:rPr>
                <w:b/>
                <w:i/>
              </w:rPr>
            </w:pPr>
            <w:r>
              <w:rPr>
                <w:b/>
                <w:i/>
              </w:rPr>
              <w:t>Information and Communication Gaps</w:t>
            </w:r>
          </w:p>
        </w:tc>
        <w:tc>
          <w:tcPr>
            <w:tcW w:w="3960" w:type="dxa"/>
          </w:tcPr>
          <w:p w14:paraId="78C94516">
            <w:pPr>
              <w:spacing w:after="0" w:line="360" w:lineRule="auto"/>
            </w:pPr>
            <w:r>
              <w:t>Enhanced coordination with shared plans of care and regular follow-ups between professionals, ensuring that the needs of Joan were shared clearly and followed up on promptly.</w:t>
            </w:r>
          </w:p>
        </w:tc>
        <w:tc>
          <w:tcPr>
            <w:tcW w:w="3045" w:type="dxa"/>
          </w:tcPr>
          <w:p w14:paraId="5C6C50E8">
            <w:pPr>
              <w:spacing w:after="0" w:line="360" w:lineRule="auto"/>
            </w:pPr>
            <w:r>
              <w:t>Patient-centred and effective treatment outcomes were facilitated by continuity of care.</w:t>
            </w:r>
          </w:p>
        </w:tc>
      </w:tr>
    </w:tbl>
    <w:p w14:paraId="44ECACEF"/>
    <w:p w14:paraId="46B32637">
      <w:pPr>
        <w:pStyle w:val="3"/>
        <w:rPr>
          <w:b w:val="0"/>
        </w:rPr>
      </w:pPr>
      <w:bookmarkStart w:id="12" w:name="_Toc210751201"/>
      <w:r>
        <w:t>Policy and Guidelines Context and How these Concepts align</w:t>
      </w:r>
      <w:bookmarkEnd w:id="12"/>
    </w:p>
    <w:p w14:paraId="61CDDA34">
      <w:r>
        <w:t xml:space="preserve">The case of Joan is an indication of how the development of policies in health and social care initiatives in the UK encourages integrated, person-centred, and ethical practice. The </w:t>
      </w:r>
      <w:r>
        <w:rPr>
          <w:b/>
        </w:rPr>
        <w:t>Health and Care Act 2022</w:t>
      </w:r>
      <w:r>
        <w:t xml:space="preserve"> supports the necessity of interaction between healthcare and community services to deliver joined-up and holistic care that values prevention and personal wellbeing (service.gov.uk, 2022).</w:t>
      </w:r>
    </w:p>
    <w:p w14:paraId="3138EF02">
      <w:r>
        <w:t xml:space="preserve">The plan on </w:t>
      </w:r>
      <w:r>
        <w:rPr>
          <w:b/>
        </w:rPr>
        <w:t>Working in Partnership with People and Communities (2022)</w:t>
      </w:r>
      <w:r>
        <w:t xml:space="preserve"> by NHSE also enables active involvement of individuals in the process of their care planning. Meaningful and empowering aspects to consider were the fact that Joan scheduled regular meetings with her therapy group weekly and shared her concerns, preferences, and desired outcomes during these meetings.</w:t>
      </w:r>
    </w:p>
    <w:p w14:paraId="7035EBB4">
      <w:r>
        <w:rPr>
          <w:b/>
        </w:rPr>
        <w:t>NICE policies</w:t>
      </w:r>
      <w:r>
        <w:t xml:space="preserve"> concerning chronic disease management focus on the dignity, equality and respect in the provision of care. The targeting of her COPD and Crohn’s disease resulted in patient supply of sufficient care and justification of healthcare, minimising recurrent health data and emergencies (NHS England, 2018). This accord of ethical work, partnership employment, and person-focused values represents the standards according to the national models of self-management, collaborative working, and healthcare care with compassion in the UK.</w:t>
      </w:r>
    </w:p>
    <w:p w14:paraId="5FA03945">
      <w:pPr>
        <w:pStyle w:val="3"/>
        <w:rPr>
          <w:b w:val="0"/>
        </w:rPr>
      </w:pPr>
      <w:bookmarkStart w:id="13" w:name="_Toc210751202"/>
      <w:r>
        <w:t>Suggesting strengthening practice</w:t>
      </w:r>
      <w:bookmarkEnd w:id="13"/>
    </w:p>
    <w:p w14:paraId="20C20707">
      <w:pPr>
        <w:numPr>
          <w:ilvl w:val="0"/>
          <w:numId w:val="1"/>
        </w:numPr>
        <w:pBdr>
          <w:top w:val="none" w:color="auto" w:sz="0" w:space="0"/>
          <w:left w:val="none" w:color="auto" w:sz="0" w:space="0"/>
          <w:bottom w:val="none" w:color="auto" w:sz="0" w:space="0"/>
          <w:right w:val="none" w:color="auto" w:sz="0" w:space="0"/>
          <w:between w:val="none" w:color="auto" w:sz="0" w:space="0"/>
        </w:pBdr>
        <w:spacing w:after="0"/>
      </w:pPr>
      <w:r>
        <w:t xml:space="preserve">Ensuring equally impactful assessments are integral when new effective models of care are introduced, to assess disparities (Timmons </w:t>
      </w:r>
      <w:r>
        <w:rPr>
          <w:i/>
        </w:rPr>
        <w:t>et al</w:t>
      </w:r>
      <w:r>
        <w:t>., 2023).</w:t>
      </w:r>
    </w:p>
    <w:p w14:paraId="4E944DCA">
      <w:pPr>
        <w:numPr>
          <w:ilvl w:val="0"/>
          <w:numId w:val="1"/>
        </w:numPr>
        <w:pBdr>
          <w:top w:val="none" w:color="auto" w:sz="0" w:space="0"/>
          <w:left w:val="none" w:color="auto" w:sz="0" w:space="0"/>
          <w:bottom w:val="none" w:color="auto" w:sz="0" w:space="0"/>
          <w:right w:val="none" w:color="auto" w:sz="0" w:space="0"/>
          <w:between w:val="none" w:color="auto" w:sz="0" w:space="0"/>
        </w:pBdr>
        <w:spacing w:after="160"/>
      </w:pPr>
      <w:r>
        <w:t>Training for the professionals in ethics, communication, shared decision making, and interdisciplinary collaboration.</w:t>
      </w:r>
    </w:p>
    <w:p w14:paraId="2A792BB4">
      <w:r>
        <w:br w:type="page"/>
      </w:r>
    </w:p>
    <w:p w14:paraId="058E72C2">
      <w:pPr>
        <w:pStyle w:val="2"/>
        <w:jc w:val="center"/>
      </w:pPr>
      <w:bookmarkStart w:id="14" w:name="_Toc210751203"/>
      <w:r>
        <w:t>Task 3: Self-Reflection</w:t>
      </w:r>
      <w:bookmarkEnd w:id="14"/>
    </w:p>
    <w:p w14:paraId="44D53233">
      <w:r>
        <w:t xml:space="preserve">A structured model that determines reflection using six stages, including description, feelings, evaluation, analysis, conclusion, and action plan, can be followed according to </w:t>
      </w:r>
      <w:r>
        <w:rPr>
          <w:b/>
        </w:rPr>
        <w:t>Gibbs' Reflective Cycle (1988)</w:t>
      </w:r>
      <w:r>
        <w:t>. It is called upon by numerous health and social care professionals to facilitate ongoing learning, self-inspection and professional practice. According to Georgiadi and Papazafiri (2025), the Gibbs model promotes systematic thinking activities, assisting professionals to gain knowledge from their experiences and best practices, and to better understand a person.</w:t>
      </w:r>
    </w:p>
    <w:p w14:paraId="41F3B16F">
      <w:pPr>
        <w:keepNext/>
        <w:jc w:val="center"/>
      </w:pPr>
      <w:r>
        <w:drawing>
          <wp:inline distT="114300" distB="114300" distL="114300" distR="114300">
            <wp:extent cx="2878455" cy="3039110"/>
            <wp:effectExtent l="38100" t="38100" r="36195" b="4699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2884381" cy="3045568"/>
                    </a:xfrm>
                    <a:prstGeom prst="rect">
                      <a:avLst/>
                    </a:prstGeom>
                    <a:ln w="25400">
                      <a:solidFill>
                        <a:srgbClr val="000000"/>
                      </a:solidFill>
                      <a:prstDash val="solid"/>
                    </a:ln>
                  </pic:spPr>
                </pic:pic>
              </a:graphicData>
            </a:graphic>
          </wp:inline>
        </w:drawing>
      </w:r>
    </w:p>
    <w:p w14:paraId="3CEAC02C">
      <w:pPr>
        <w:pStyle w:val="10"/>
        <w:spacing w:line="360" w:lineRule="auto"/>
        <w:jc w:val="center"/>
        <w:rPr>
          <w:b/>
          <w:bCs/>
          <w:i w:val="0"/>
          <w:iCs w:val="0"/>
          <w:color w:val="auto"/>
          <w:sz w:val="22"/>
          <w:szCs w:val="22"/>
        </w:rPr>
      </w:pPr>
      <w:bookmarkStart w:id="15" w:name="_Toc210751090"/>
      <w:r>
        <w:rPr>
          <w:b/>
          <w:bCs/>
          <w:i w:val="0"/>
          <w:iCs w:val="0"/>
          <w:color w:val="auto"/>
          <w:sz w:val="22"/>
          <w:szCs w:val="22"/>
        </w:rPr>
        <w:t xml:space="preserve">Figure </w:t>
      </w:r>
      <w:r>
        <w:rPr>
          <w:b/>
          <w:bCs/>
          <w:i w:val="0"/>
          <w:iCs w:val="0"/>
          <w:color w:val="auto"/>
          <w:sz w:val="22"/>
          <w:szCs w:val="22"/>
        </w:rPr>
        <w:fldChar w:fldCharType="begin"/>
      </w:r>
      <w:r>
        <w:rPr>
          <w:b/>
          <w:bCs/>
          <w:i w:val="0"/>
          <w:iCs w:val="0"/>
          <w:color w:val="auto"/>
          <w:sz w:val="22"/>
          <w:szCs w:val="22"/>
        </w:rPr>
        <w:instrText xml:space="preserve"> SEQ Figure \* ARABIC </w:instrText>
      </w:r>
      <w:r>
        <w:rPr>
          <w:b/>
          <w:bCs/>
          <w:i w:val="0"/>
          <w:iCs w:val="0"/>
          <w:color w:val="auto"/>
          <w:sz w:val="22"/>
          <w:szCs w:val="22"/>
        </w:rPr>
        <w:fldChar w:fldCharType="separate"/>
      </w:r>
      <w:r>
        <w:rPr>
          <w:b/>
          <w:bCs/>
          <w:i w:val="0"/>
          <w:iCs w:val="0"/>
          <w:color w:val="auto"/>
          <w:sz w:val="22"/>
          <w:szCs w:val="22"/>
        </w:rPr>
        <w:t>1</w:t>
      </w:r>
      <w:r>
        <w:rPr>
          <w:b/>
          <w:bCs/>
          <w:i w:val="0"/>
          <w:iCs w:val="0"/>
          <w:color w:val="auto"/>
          <w:sz w:val="22"/>
          <w:szCs w:val="22"/>
        </w:rPr>
        <w:fldChar w:fldCharType="end"/>
      </w:r>
      <w:r>
        <w:rPr>
          <w:b/>
          <w:bCs/>
          <w:i w:val="0"/>
          <w:iCs w:val="0"/>
          <w:color w:val="auto"/>
          <w:sz w:val="22"/>
          <w:szCs w:val="22"/>
        </w:rPr>
        <w:t>: Gibbs’s Reflective Model</w:t>
      </w:r>
      <w:bookmarkEnd w:id="15"/>
    </w:p>
    <w:p w14:paraId="14DB3174">
      <w:pPr>
        <w:jc w:val="center"/>
      </w:pPr>
      <w:r>
        <w:t>(Source: Channell, 2023)</w:t>
      </w:r>
    </w:p>
    <w:p w14:paraId="3804DDF9">
      <w:pPr>
        <w:pStyle w:val="3"/>
      </w:pPr>
      <w:bookmarkStart w:id="16" w:name="_Toc210751204"/>
      <w:r>
        <w:t>Description</w:t>
      </w:r>
      <w:bookmarkEnd w:id="16"/>
    </w:p>
    <w:p w14:paraId="2DC46117">
      <w:r>
        <w:t xml:space="preserve">I have reviewed the </w:t>
      </w:r>
      <w:r>
        <w:rPr>
          <w:b/>
          <w:i/>
        </w:rPr>
        <w:t>Story of Joan</w:t>
      </w:r>
      <w:r>
        <w:t xml:space="preserve">, where a group of workers or professionals, including her GP, physiotherapist, and community therapy staff, collaborated with Joan in order to be in a position to cope with the </w:t>
      </w:r>
      <w:r>
        <w:rPr>
          <w:b/>
        </w:rPr>
        <w:t>Chronic Obstructive Pulmonary Disease (COPD)</w:t>
      </w:r>
      <w:r>
        <w:t xml:space="preserve"> and </w:t>
      </w:r>
      <w:r>
        <w:rPr>
          <w:b/>
        </w:rPr>
        <w:t>Crohn's disease</w:t>
      </w:r>
      <w:r>
        <w:t xml:space="preserve">. The primary aim was to provide Joan with self-belief, manage her symptoms, and enable her to participate in her normal life. At the home level, the staff helped her by providing treatment and emotional support through person-centred and ethical care. This integrated approach made her care more structured and assisted Joan in being more engaged in taking care of her own health and well-being. Fair access and resource utilisation, as well as the dignity of residents, have been viewed as ethical practices (O'Sullivan </w:t>
      </w:r>
      <w:r>
        <w:rPr>
          <w:i/>
        </w:rPr>
        <w:t>et al.</w:t>
      </w:r>
      <w:r>
        <w:t>, 2022). The case has provided me with an opportunity to think about my strengths and weaknesses in such respects.</w:t>
      </w:r>
    </w:p>
    <w:p w14:paraId="61CD7BB5">
      <w:pPr>
        <w:pStyle w:val="3"/>
      </w:pPr>
      <w:bookmarkStart w:id="17" w:name="_Toc210751205"/>
      <w:r>
        <w:t>Feeling</w:t>
      </w:r>
      <w:bookmarkEnd w:id="17"/>
    </w:p>
    <w:p w14:paraId="230FAC1E">
      <w:r>
        <w:t>I was moved to hear that user Joan experienced the situation she did, owing to the fact that the post was written about how collaboration and empathy would enable a person to rethink their self-esteem and sense of independence. I was happy to witness the real difference that was seen in her life around person-centred care and partnership working. Meanwhile, I also recognised that being confident in communicating well with other individuals is very important. Another lesson that I also found difficult to overcome was to think extensively with respect to equity and ethical choices in actual care scenarios.</w:t>
      </w:r>
    </w:p>
    <w:p w14:paraId="2B4ABAD0">
      <w:pPr>
        <w:pStyle w:val="3"/>
      </w:pPr>
      <w:bookmarkStart w:id="18" w:name="_Toc210751206"/>
      <w:r>
        <w:t>Evaluation</w:t>
      </w:r>
      <w:bookmarkEnd w:id="18"/>
    </w:p>
    <w:p w14:paraId="6CED9514">
      <w:r>
        <w:t xml:space="preserve">Joan’s situation has presented me with many good aspects. I have witnessed that </w:t>
      </w:r>
      <w:r>
        <w:rPr>
          <w:b/>
          <w:i/>
        </w:rPr>
        <w:t>person-centred care</w:t>
      </w:r>
      <w:r>
        <w:t xml:space="preserve"> has been front and centre in terms of how services have been geared to ensure that they remove residents from the hospital and take care of them near their home. I have enhanced the well-being of such people using their life history, such as what they like doing or their cultural practices. This has been equivalenting to the </w:t>
      </w:r>
      <w:r>
        <w:rPr>
          <w:b/>
          <w:i/>
        </w:rPr>
        <w:t>NHS's “What Matters to You” campaign</w:t>
      </w:r>
      <w:r>
        <w:t xml:space="preserve">, which has encouraged attending to the priorities of people (Robson, 2021). </w:t>
      </w:r>
      <w:r>
        <w:rPr>
          <w:b/>
          <w:i/>
        </w:rPr>
        <w:t>Partnership working</w:t>
      </w:r>
      <w:r>
        <w:t xml:space="preserve"> has been one more positive. I have also observed this kind of collaboration in the process of discharge planning, where the same collaboration between the nurses, social workers, and families, based on the findings in </w:t>
      </w:r>
      <w:r>
        <w:rPr>
          <w:b/>
          <w:i/>
        </w:rPr>
        <w:t>CQC reports</w:t>
      </w:r>
      <w:r>
        <w:t xml:space="preserve">, made the processes of transitioning smoother (CQC, 2022). Nonetheless, I have not felt confident many times to provide my opinion and that has curtailed my functions. This has been a mirror of national concerns that have been reporting pressure on the social services resource, as it remains in </w:t>
      </w:r>
      <w:r>
        <w:rPr>
          <w:b/>
          <w:i/>
        </w:rPr>
        <w:t>the King's Fund</w:t>
      </w:r>
      <w:r>
        <w:t xml:space="preserve"> (The King's Fund, 2016).</w:t>
      </w:r>
    </w:p>
    <w:p w14:paraId="717D0019">
      <w:pPr>
        <w:pStyle w:val="3"/>
      </w:pPr>
      <w:bookmarkStart w:id="19" w:name="_Toc210751207"/>
      <w:r>
        <w:t>Analysis</w:t>
      </w:r>
      <w:bookmarkEnd w:id="19"/>
    </w:p>
    <w:p w14:paraId="6379A535">
      <w:r>
        <w:t>During the case of Joan’s Story, the analysis has made me understand the relationship between the principles and my lifestyle.</w:t>
      </w:r>
    </w:p>
    <w:p w14:paraId="4CC3D245">
      <w:pPr>
        <w:numPr>
          <w:ilvl w:val="0"/>
          <w:numId w:val="2"/>
        </w:numPr>
        <w:spacing w:after="0"/>
      </w:pPr>
      <w:r>
        <w:t xml:space="preserve">Joan’s Story stated that </w:t>
      </w:r>
      <w:r>
        <w:rPr>
          <w:b/>
          <w:i/>
        </w:rPr>
        <w:t>Person-Centred Care</w:t>
      </w:r>
      <w:r>
        <w:t xml:space="preserve"> has paralleled mine in the aspect of respecting the needs of individuals so that they become independent. This has been reflected by the </w:t>
      </w:r>
      <w:r>
        <w:rPr>
          <w:b/>
          <w:i/>
        </w:rPr>
        <w:t>NICE requirements of person-centred care</w:t>
      </w:r>
      <w:r>
        <w:t>, which highly emphasise an environment of independence and choice (NICE, 2015).</w:t>
      </w:r>
    </w:p>
    <w:p w14:paraId="0F66901D">
      <w:pPr>
        <w:numPr>
          <w:ilvl w:val="0"/>
          <w:numId w:val="2"/>
        </w:numPr>
        <w:spacing w:after="0"/>
      </w:pPr>
      <w:r>
        <w:t xml:space="preserve">As reported by the UK Government (2022), </w:t>
      </w:r>
      <w:r>
        <w:rPr>
          <w:b/>
          <w:i/>
        </w:rPr>
        <w:t>Partnership Working</w:t>
      </w:r>
      <w:r>
        <w:t xml:space="preserve"> is the intention of the </w:t>
      </w:r>
      <w:r>
        <w:rPr>
          <w:b/>
          <w:i/>
        </w:rPr>
        <w:t>Health and Care Act 2022</w:t>
      </w:r>
      <w:r>
        <w:t>, which has been manifested in the Alliance Agreement in Joan’s Case. I have participated in multidisciplinary meetings, in my case, where nurses, physiotherapists, and family members formulated the rehabilitation objectives.</w:t>
      </w:r>
    </w:p>
    <w:p w14:paraId="6CB3635A">
      <w:pPr>
        <w:numPr>
          <w:ilvl w:val="0"/>
          <w:numId w:val="2"/>
        </w:numPr>
      </w:pPr>
      <w:r>
        <w:rPr>
          <w:b/>
          <w:i/>
        </w:rPr>
        <w:t>Ethical Practice</w:t>
      </w:r>
      <w:r>
        <w:t xml:space="preserve"> has elevated the aspect of equity and dignity. My personal experience has witnessed familiar ethical dilemmas where a service user has been required to spend more time than anticipated before getting community care, which impacted my health. The </w:t>
      </w:r>
      <w:r>
        <w:rPr>
          <w:b/>
          <w:i/>
        </w:rPr>
        <w:t>Mental Capacity Act 2005</w:t>
      </w:r>
      <w:r>
        <w:t xml:space="preserve"> has enabled me to assist service users to make an informed choice.</w:t>
      </w:r>
    </w:p>
    <w:p w14:paraId="38F76417">
      <w:pPr>
        <w:pStyle w:val="3"/>
      </w:pPr>
      <w:bookmarkStart w:id="20" w:name="_Toc210751208"/>
      <w:r>
        <w:t>Conclusion</w:t>
      </w:r>
      <w:bookmarkEnd w:id="20"/>
    </w:p>
    <w:p w14:paraId="05C78B85">
      <w:r>
        <w:t>The reflection has revealed that person-centred care, partnering working, and ethics are crucial in practice. The strengths have been identified as empathy and collaboration, whereas the weaknesses are confidence and ethical reasoning. Constant learning and development have been cited as a key to professional development in the future.</w:t>
      </w:r>
    </w:p>
    <w:p w14:paraId="53401387">
      <w:pPr>
        <w:pStyle w:val="3"/>
      </w:pPr>
      <w:bookmarkStart w:id="21" w:name="_Toc210751209"/>
      <w:r>
        <w:t>Action Plan</w:t>
      </w:r>
      <w:bookmarkEnd w:id="21"/>
    </w:p>
    <w:p w14:paraId="5C3A144F">
      <w:r>
        <w:t>I have also set out to grow more as an individual. The key actions are as follows:</w:t>
      </w:r>
    </w:p>
    <w:p w14:paraId="3B29F49D">
      <w:pPr>
        <w:numPr>
          <w:ilvl w:val="0"/>
          <w:numId w:val="3"/>
        </w:numPr>
        <w:spacing w:after="0"/>
      </w:pPr>
      <w:r>
        <w:rPr>
          <w:b/>
          <w:i/>
        </w:rPr>
        <w:t>Ethical Knowledge</w:t>
      </w:r>
      <w:r>
        <w:t>: I will undertake additional training on the Care Act 2014, the Mental Capacity Act 2005 and resource allocation ethics. I will also examine how to enhance my confidence by attaining the NICE and SCIE guidelines.</w:t>
      </w:r>
    </w:p>
    <w:p w14:paraId="539A03AD">
      <w:pPr>
        <w:numPr>
          <w:ilvl w:val="0"/>
          <w:numId w:val="3"/>
        </w:numPr>
        <w:spacing w:after="0"/>
      </w:pPr>
      <w:r>
        <w:rPr>
          <w:b/>
          <w:i/>
        </w:rPr>
        <w:t>Teamwork Skills</w:t>
      </w:r>
      <w:r>
        <w:t>: I will prepare the main aspects before the meetings and will speak up more frequently.</w:t>
      </w:r>
    </w:p>
    <w:p w14:paraId="568BD91D">
      <w:pPr>
        <w:numPr>
          <w:ilvl w:val="0"/>
          <w:numId w:val="3"/>
        </w:numPr>
        <w:spacing w:after="0"/>
      </w:pPr>
      <w:r>
        <w:rPr>
          <w:b/>
          <w:i/>
        </w:rPr>
        <w:t>Person-Centred Care</w:t>
      </w:r>
      <w:r>
        <w:t>: I am going to undertake community care and personal care planning CPD courses, thus enhancing my competencies in this field.</w:t>
      </w:r>
    </w:p>
    <w:p w14:paraId="4E15227F">
      <w:pPr>
        <w:numPr>
          <w:ilvl w:val="0"/>
          <w:numId w:val="3"/>
        </w:numPr>
        <w:spacing w:after="0"/>
      </w:pPr>
      <w:r>
        <w:rPr>
          <w:b/>
          <w:i/>
        </w:rPr>
        <w:t>Mentorship</w:t>
      </w:r>
      <w:r>
        <w:t>: I will invite one of my senior colleagues to mentor me and collect feedback on my teamwork and ethical decisions.</w:t>
      </w:r>
    </w:p>
    <w:p w14:paraId="1BD950BC">
      <w:pPr>
        <w:numPr>
          <w:ilvl w:val="0"/>
          <w:numId w:val="3"/>
        </w:numPr>
      </w:pPr>
      <w:r>
        <w:rPr>
          <w:b/>
          <w:i/>
        </w:rPr>
        <w:t>Reflection</w:t>
      </w:r>
      <w:r>
        <w:t>: I will continue applying the' model by Gibbs' to reflect on my practice and seek a greater way of improving it after each significant experience.</w:t>
      </w:r>
    </w:p>
    <w:p w14:paraId="7AFAF3AA">
      <w:r>
        <w:br w:type="page"/>
      </w:r>
    </w:p>
    <w:p w14:paraId="0862C9E1">
      <w:pPr>
        <w:pStyle w:val="2"/>
      </w:pPr>
      <w:bookmarkStart w:id="22" w:name="_Toc210751210"/>
      <w:r>
        <w:t>Conclusion</w:t>
      </w:r>
      <w:bookmarkEnd w:id="22"/>
    </w:p>
    <w:p w14:paraId="50E77FCC">
      <w:r>
        <w:t>It is concluded that the report has demonstrated the following core values in health and social care, including person-centred care, partnership working, and ethics. It proved, based on Joan Story, the importance of learning about the needs of individuals, working as a team, and adhering to ethical principles to increase the quality of care and patient well-being. The experience shown by Joan was the fact that with the right support and collaboration, individuals can be more assured about their ability to cope with their own healthcare. Reflectively, it was revealed that professional development requires good communication, and empathy. The practices based on these principles in everyday life serve not only the patients, such as Joan, but also assist the care workers to provide safer, fairer, and more humane care in any environment.</w:t>
      </w:r>
    </w:p>
    <w:p w14:paraId="5C1EA4C0">
      <w:r>
        <w:br w:type="page"/>
      </w:r>
    </w:p>
    <w:p w14:paraId="1EA34C51">
      <w:pPr>
        <w:pStyle w:val="2"/>
      </w:pPr>
      <w:bookmarkStart w:id="23" w:name="_Toc210751211"/>
      <w:r>
        <w:t>References</w:t>
      </w:r>
      <w:bookmarkEnd w:id="23"/>
    </w:p>
    <w:p w14:paraId="79B38ED9">
      <w:r>
        <w:t>Abbas, S. (2025). Fundamental Principles of Medical Ethics. In </w:t>
      </w:r>
      <w:r>
        <w:rPr>
          <w:i/>
        </w:rPr>
        <w:t>Medical Ethics: Soft Skills for Clinical Care Providers</w:t>
      </w:r>
      <w:r>
        <w:t xml:space="preserve"> (pp. 37-62). Available at: </w:t>
      </w:r>
      <w:r>
        <w:fldChar w:fldCharType="begin"/>
      </w:r>
      <w:r>
        <w:instrText xml:space="preserve"> HYPERLINK "https://link.springer.com/chapter/10.1007/978-981-96-9199-9_5" \h </w:instrText>
      </w:r>
      <w:r>
        <w:fldChar w:fldCharType="separate"/>
      </w:r>
      <w:r>
        <w:rPr>
          <w:color w:val="0000FF"/>
          <w:u w:val="single"/>
        </w:rPr>
        <w:t>https://link.springer.com/chapter/10.1007/978-981-96-9199-9_5</w:t>
      </w:r>
      <w:r>
        <w:rPr>
          <w:color w:val="0000FF"/>
          <w:u w:val="single"/>
        </w:rPr>
        <w:fldChar w:fldCharType="end"/>
      </w:r>
      <w:r>
        <w:t xml:space="preserve"> </w:t>
      </w:r>
    </w:p>
    <w:p w14:paraId="787C0959">
      <w:r>
        <w:t xml:space="preserve">Channell, M. (2023). </w:t>
      </w:r>
      <w:r>
        <w:rPr>
          <w:i/>
        </w:rPr>
        <w:t>Gibbs Reflective Cycle - How to Learn from Experience and Become a Better Leader</w:t>
      </w:r>
      <w:r>
        <w:t xml:space="preserve">, </w:t>
      </w:r>
      <w:r>
        <w:rPr>
          <w:i/>
        </w:rPr>
        <w:t>TSW Training</w:t>
      </w:r>
      <w:r>
        <w:t xml:space="preserve">. Available at: </w:t>
      </w:r>
      <w:r>
        <w:fldChar w:fldCharType="begin"/>
      </w:r>
      <w:r>
        <w:instrText xml:space="preserve"> HYPERLINK "https://www.tsw.co.uk/blog/leadership-and-management/gibbs-reflective-cycle/" \h </w:instrText>
      </w:r>
      <w:r>
        <w:fldChar w:fldCharType="separate"/>
      </w:r>
      <w:r>
        <w:rPr>
          <w:color w:val="1155CC"/>
          <w:u w:val="single"/>
        </w:rPr>
        <w:t>https://www.tsw.co.uk/blog/leadership-and-management/gibbs-reflective-cycle/</w:t>
      </w:r>
      <w:r>
        <w:rPr>
          <w:color w:val="1155CC"/>
          <w:u w:val="single"/>
        </w:rPr>
        <w:fldChar w:fldCharType="end"/>
      </w:r>
      <w:r>
        <w:t xml:space="preserve"> (Accessed: 26 September 2025).</w:t>
      </w:r>
    </w:p>
    <w:p w14:paraId="497F9889">
      <w:r>
        <w:t xml:space="preserve">CQC (2022) </w:t>
      </w:r>
      <w:r>
        <w:rPr>
          <w:i/>
        </w:rPr>
        <w:t>Patient Discharge from Hospital - Care Quality Commission</w:t>
      </w:r>
      <w:r>
        <w:t xml:space="preserve">, </w:t>
      </w:r>
      <w:r>
        <w:rPr>
          <w:i/>
        </w:rPr>
        <w:t>www.cqc.org.uk</w:t>
      </w:r>
      <w:r>
        <w:t xml:space="preserve">. Care Quality Commission. Available at: </w:t>
      </w:r>
      <w:r>
        <w:fldChar w:fldCharType="begin"/>
      </w:r>
      <w:r>
        <w:instrText xml:space="preserve"> HYPERLINK "https://www.cqc.org.uk/publications/themed-work/inpatient-coronavirus-experience-discharge" \h </w:instrText>
      </w:r>
      <w:r>
        <w:fldChar w:fldCharType="separate"/>
      </w:r>
      <w:r>
        <w:rPr>
          <w:color w:val="1155CC"/>
          <w:u w:val="single"/>
        </w:rPr>
        <w:t>https://www.cqc.org.uk/publications/themed-work/inpatient-coronavirus-experience-discharge</w:t>
      </w:r>
      <w:r>
        <w:rPr>
          <w:color w:val="1155CC"/>
          <w:u w:val="single"/>
        </w:rPr>
        <w:fldChar w:fldCharType="end"/>
      </w:r>
      <w:r>
        <w:t xml:space="preserve"> (Accessed: 26 September 2025).</w:t>
      </w:r>
    </w:p>
    <w:p w14:paraId="3F0BADB1">
      <w:r>
        <w:t>Esmaeilzadeh, P., Hassanein, K. and Head, M. (2025) ‘AI-human interactions in healthcare: exploring users’ post-adoption behaviours of AI mental health chatbots.’ </w:t>
      </w:r>
      <w:r>
        <w:rPr>
          <w:i/>
        </w:rPr>
        <w:t>Behaviour &amp; Information Technology</w:t>
      </w:r>
      <w:r>
        <w:t xml:space="preserve">, pp.1-29. Available at: </w:t>
      </w:r>
      <w:r>
        <w:fldChar w:fldCharType="begin"/>
      </w:r>
      <w:r>
        <w:instrText xml:space="preserve"> HYPERLINK "https://doi.org/10.1080/0144929X.2025.2477754" \h </w:instrText>
      </w:r>
      <w:r>
        <w:fldChar w:fldCharType="separate"/>
      </w:r>
      <w:r>
        <w:rPr>
          <w:color w:val="0000FF"/>
          <w:u w:val="single"/>
        </w:rPr>
        <w:t>https://doi.org/10.1080/0144929X.2025.2477754</w:t>
      </w:r>
      <w:r>
        <w:rPr>
          <w:color w:val="0000FF"/>
          <w:u w:val="single"/>
        </w:rPr>
        <w:fldChar w:fldCharType="end"/>
      </w:r>
      <w:r>
        <w:t xml:space="preserve"> </w:t>
      </w:r>
    </w:p>
    <w:p w14:paraId="3E1324AF">
      <w:r>
        <w:t xml:space="preserve">Georgiadi, M. and Papazafiri, M. (2025) ‘Preparing Future Special Education Teachers: Emphasis on Reflection as an Inclusive Practice’, </w:t>
      </w:r>
      <w:r>
        <w:rPr>
          <w:i/>
        </w:rPr>
        <w:t>Trends in Higher Education</w:t>
      </w:r>
      <w:r>
        <w:t xml:space="preserve">, 4(1), pp. 1–8. Available at: </w:t>
      </w:r>
      <w:r>
        <w:fldChar w:fldCharType="begin"/>
      </w:r>
      <w:r>
        <w:instrText xml:space="preserve"> HYPERLINK "https://doi.org/10.3390/higheredu4010008" \h </w:instrText>
      </w:r>
      <w:r>
        <w:fldChar w:fldCharType="separate"/>
      </w:r>
      <w:r>
        <w:rPr>
          <w:color w:val="1155CC"/>
          <w:u w:val="single"/>
        </w:rPr>
        <w:t>https://doi.org/10.3390/higheredu4010008</w:t>
      </w:r>
      <w:r>
        <w:rPr>
          <w:color w:val="1155CC"/>
          <w:u w:val="single"/>
        </w:rPr>
        <w:fldChar w:fldCharType="end"/>
      </w:r>
      <w:r>
        <w:t xml:space="preserve"> </w:t>
      </w:r>
    </w:p>
    <w:p w14:paraId="7F732F0D">
      <w:r>
        <w:t>Health, S. for (2025) </w:t>
      </w:r>
      <w:r>
        <w:rPr>
          <w:i/>
        </w:rPr>
        <w:t>Person-Centred Care: What it means and why it matters  | Skills for Health</w:t>
      </w:r>
      <w:r>
        <w:t xml:space="preserve">. [online] Skills for Health. Available at: </w:t>
      </w:r>
      <w:r>
        <w:fldChar w:fldCharType="begin"/>
      </w:r>
      <w:r>
        <w:instrText xml:space="preserve"> HYPERLINK "https://www.skillsforhealth.org.uk/article/person-centred-care-meaning-implications/" \h </w:instrText>
      </w:r>
      <w:r>
        <w:fldChar w:fldCharType="separate"/>
      </w:r>
      <w:r>
        <w:rPr>
          <w:color w:val="1155CC"/>
          <w:u w:val="single"/>
        </w:rPr>
        <w:t>https://www.skillsforhealth.org.uk/article/person-centred-care-meaning-implications/</w:t>
      </w:r>
      <w:r>
        <w:rPr>
          <w:color w:val="1155CC"/>
          <w:u w:val="single"/>
        </w:rPr>
        <w:fldChar w:fldCharType="end"/>
      </w:r>
      <w:r>
        <w:t xml:space="preserve"> [Accessed 26 Sep. 2025].</w:t>
      </w:r>
    </w:p>
    <w:p w14:paraId="00E111FE">
      <w:r>
        <w:t xml:space="preserve">Hoxhaj, O., Halilaj, B. and Harizi, A. (2023). Ethical implications and human rights violations in the age of artificial intelligence. </w:t>
      </w:r>
      <w:r>
        <w:rPr>
          <w:i/>
        </w:rPr>
        <w:t>Balkan Social Science Review</w:t>
      </w:r>
      <w:r>
        <w:t>, </w:t>
      </w:r>
      <w:r>
        <w:rPr>
          <w:i/>
        </w:rPr>
        <w:t>22</w:t>
      </w:r>
      <w:r>
        <w:t xml:space="preserve">(22), pp.153-171. Available at: </w:t>
      </w:r>
      <w:r>
        <w:fldChar w:fldCharType="begin"/>
      </w:r>
      <w:r>
        <w:instrText xml:space="preserve"> HYPERLINK "https://www.ceeol.com/search/article-detail?id=1207107" \h </w:instrText>
      </w:r>
      <w:r>
        <w:fldChar w:fldCharType="separate"/>
      </w:r>
      <w:r>
        <w:rPr>
          <w:color w:val="0000FF"/>
          <w:u w:val="single"/>
        </w:rPr>
        <w:t>https://www.ceeol.com/search/article-detail?id=1207107</w:t>
      </w:r>
      <w:r>
        <w:rPr>
          <w:color w:val="0000FF"/>
          <w:u w:val="single"/>
        </w:rPr>
        <w:fldChar w:fldCharType="end"/>
      </w:r>
      <w:r>
        <w:t xml:space="preserve"> </w:t>
      </w:r>
    </w:p>
    <w:p w14:paraId="557BF1F2">
      <w:r>
        <w:t>Kallio, H., Häggman-Laitila, A., Saarnio, R., Viinamäki, L. and Kangasniemi, M. (2022). ‘Working towards integrated client-oriented care and services: a qualitative study of the perceptions of Finnish health and social care professionals.’ </w:t>
      </w:r>
      <w:r>
        <w:rPr>
          <w:i/>
        </w:rPr>
        <w:t>International Journal of Care Coordination</w:t>
      </w:r>
      <w:r>
        <w:t>, </w:t>
      </w:r>
      <w:r>
        <w:rPr>
          <w:i/>
        </w:rPr>
        <w:t>25</w:t>
      </w:r>
      <w:r>
        <w:t xml:space="preserve">(1), pp.46-52. Available at: </w:t>
      </w:r>
      <w:r>
        <w:fldChar w:fldCharType="begin"/>
      </w:r>
      <w:r>
        <w:instrText xml:space="preserve"> HYPERLINK "https://doi.org/10.1177/20534345211070652" \h </w:instrText>
      </w:r>
      <w:r>
        <w:fldChar w:fldCharType="separate"/>
      </w:r>
      <w:r>
        <w:rPr>
          <w:color w:val="0000FF"/>
          <w:u w:val="single"/>
        </w:rPr>
        <w:t>https://doi.org/10.1177/20534345211070652</w:t>
      </w:r>
      <w:r>
        <w:rPr>
          <w:color w:val="0000FF"/>
          <w:u w:val="single"/>
        </w:rPr>
        <w:fldChar w:fldCharType="end"/>
      </w:r>
      <w:r>
        <w:t xml:space="preserve"> </w:t>
      </w:r>
    </w:p>
    <w:p w14:paraId="0EFDC55B">
      <w:r>
        <w:t>Mack, D.P., Araten-Bergman, T. and Bigby, C. (2025) ‘Non-pharmacological intervention experiences and expressed needs of people with young onset dementia: a scoping review’. </w:t>
      </w:r>
      <w:r>
        <w:rPr>
          <w:i/>
        </w:rPr>
        <w:t>Disability and Rehabilitation</w:t>
      </w:r>
      <w:r>
        <w:t xml:space="preserve">, pp.1-17. Available at: </w:t>
      </w:r>
      <w:r>
        <w:fldChar w:fldCharType="begin"/>
      </w:r>
      <w:r>
        <w:instrText xml:space="preserve"> HYPERLINK "https://doi.org/10.1080/09638288.2025.2558224" \h </w:instrText>
      </w:r>
      <w:r>
        <w:fldChar w:fldCharType="separate"/>
      </w:r>
      <w:r>
        <w:rPr>
          <w:color w:val="1155CC"/>
          <w:u w:val="single"/>
        </w:rPr>
        <w:t>https://doi.org/10.1080/09638288.2025.2558224</w:t>
      </w:r>
      <w:r>
        <w:rPr>
          <w:color w:val="1155CC"/>
          <w:u w:val="single"/>
        </w:rPr>
        <w:fldChar w:fldCharType="end"/>
      </w:r>
      <w:r>
        <w:t xml:space="preserve"> </w:t>
      </w:r>
    </w:p>
    <w:p w14:paraId="7A6BBECE">
      <w:r>
        <w:t>Morgan, J. and Yaskey, J. (2025) ‘Partnership working in health and social care.’ In </w:t>
      </w:r>
      <w:r>
        <w:rPr>
          <w:i/>
        </w:rPr>
        <w:t>Contemporary Issues in Health and Social Care Policy and Practice</w:t>
      </w:r>
      <w:r>
        <w:t xml:space="preserve"> (pp. 68-82). Available at: </w:t>
      </w:r>
      <w:r>
        <w:fldChar w:fldCharType="begin"/>
      </w:r>
      <w:r>
        <w:instrText xml:space="preserve"> HYPERLINK "https://www.taylorfrancis.com/chapters/edit/10.4324/9781003343608-7/partnership-working-health-social-care-julia-morgan-jackie-yaskey" \h </w:instrText>
      </w:r>
      <w:r>
        <w:fldChar w:fldCharType="separate"/>
      </w:r>
      <w:r>
        <w:rPr>
          <w:color w:val="0000FF"/>
          <w:u w:val="single"/>
        </w:rPr>
        <w:t>https://www.taylorfrancis.com/chapters/edit/10.4324/9781003343608-7/partnership-working-health-social-care-julia-morgan-jackie-yaskey</w:t>
      </w:r>
      <w:r>
        <w:rPr>
          <w:color w:val="0000FF"/>
          <w:u w:val="single"/>
        </w:rPr>
        <w:fldChar w:fldCharType="end"/>
      </w:r>
      <w:r>
        <w:t xml:space="preserve"> </w:t>
      </w:r>
    </w:p>
    <w:p w14:paraId="1283DAA0">
      <w:r>
        <w:t xml:space="preserve">NICE (2015). </w:t>
      </w:r>
      <w:r>
        <w:rPr>
          <w:i/>
        </w:rPr>
        <w:t>Person-centred Working | Tools and Resources | Home care: Delivering Personal Care and Practical Support to Older People Living in Their Own Homes | Guidance | NICE</w:t>
      </w:r>
      <w:r>
        <w:t xml:space="preserve">, </w:t>
      </w:r>
      <w:r>
        <w:rPr>
          <w:i/>
        </w:rPr>
        <w:t>www.nice.org.uk</w:t>
      </w:r>
      <w:r>
        <w:t xml:space="preserve">. National Institute for Health and Care Excellence. Available at: </w:t>
      </w:r>
      <w:r>
        <w:fldChar w:fldCharType="begin"/>
      </w:r>
      <w:r>
        <w:instrText xml:space="preserve"> HYPERLINK "https://www.nice.org.uk/guidance/ng21/resources/tailored-resource-2433814097/chapter/Person-centred-working" \h </w:instrText>
      </w:r>
      <w:r>
        <w:fldChar w:fldCharType="separate"/>
      </w:r>
      <w:r>
        <w:rPr>
          <w:color w:val="1155CC"/>
          <w:u w:val="single"/>
        </w:rPr>
        <w:t>https://www.nice.org.uk/guidance/ng21/resources/tailored-resource-2433814097/chapter/Person-centred-working</w:t>
      </w:r>
      <w:r>
        <w:rPr>
          <w:color w:val="1155CC"/>
          <w:u w:val="single"/>
        </w:rPr>
        <w:fldChar w:fldCharType="end"/>
      </w:r>
      <w:r>
        <w:t xml:space="preserve"> (Accessed: 26 September 2025).</w:t>
      </w:r>
    </w:p>
    <w:p w14:paraId="6766F447">
      <w:r>
        <w:t xml:space="preserve">O’Sullivan, L., Aldasoro, E., O’Brien, Á., Nolan, M., McGovern, C. and Carroll, Á. (2022) ‘Ethical Values and Principles to Guide the Fair Allocation of Resources in Response to a pandemic: a Rapid Systematic Review’, </w:t>
      </w:r>
      <w:r>
        <w:rPr>
          <w:i/>
        </w:rPr>
        <w:t>BMC Medical Ethics</w:t>
      </w:r>
      <w:r>
        <w:t xml:space="preserve">, 23(1), pp. 1–70. Available at: </w:t>
      </w:r>
      <w:r>
        <w:fldChar w:fldCharType="begin"/>
      </w:r>
      <w:r>
        <w:instrText xml:space="preserve"> HYPERLINK "https://doi.org/10.1186/s12910-022-00806-8" \h </w:instrText>
      </w:r>
      <w:r>
        <w:fldChar w:fldCharType="separate"/>
      </w:r>
      <w:r>
        <w:rPr>
          <w:color w:val="1155CC"/>
          <w:u w:val="single"/>
        </w:rPr>
        <w:t>https://doi.org/10.1186/s12910-022-00806-8</w:t>
      </w:r>
      <w:r>
        <w:rPr>
          <w:color w:val="1155CC"/>
          <w:u w:val="single"/>
        </w:rPr>
        <w:fldChar w:fldCharType="end"/>
      </w:r>
      <w:r>
        <w:t xml:space="preserve"> </w:t>
      </w:r>
    </w:p>
    <w:p w14:paraId="73B644EC">
      <w:r>
        <w:t xml:space="preserve">Robson, A. (2021). </w:t>
      </w:r>
      <w:r>
        <w:rPr>
          <w:i/>
        </w:rPr>
        <w:t>Asking Patients ‘What Matters to You’ to Personalise Health and Care</w:t>
      </w:r>
      <w:r>
        <w:t xml:space="preserve">, </w:t>
      </w:r>
      <w:r>
        <w:rPr>
          <w:i/>
        </w:rPr>
        <w:t>www.england.nhs.uk</w:t>
      </w:r>
      <w:r>
        <w:t xml:space="preserve">. NHS England. Available at: </w:t>
      </w:r>
      <w:r>
        <w:fldChar w:fldCharType="begin"/>
      </w:r>
      <w:r>
        <w:instrText xml:space="preserve"> HYPERLINK "https://www.england.nhs.uk/blog/asking-patients-what-matters-to-you-to-personalise-health-and-care/" \h </w:instrText>
      </w:r>
      <w:r>
        <w:fldChar w:fldCharType="separate"/>
      </w:r>
      <w:r>
        <w:rPr>
          <w:color w:val="1155CC"/>
          <w:u w:val="single"/>
        </w:rPr>
        <w:t>https://www.england.nhs.uk/blog/asking-patients-what-matters-to-you-to-personalise-health-and-care/</w:t>
      </w:r>
      <w:r>
        <w:rPr>
          <w:color w:val="1155CC"/>
          <w:u w:val="single"/>
        </w:rPr>
        <w:fldChar w:fldCharType="end"/>
      </w:r>
      <w:r>
        <w:t xml:space="preserve"> (Accessed: 26 September 2025).</w:t>
      </w:r>
    </w:p>
    <w:p w14:paraId="327EF89D">
      <w:r>
        <w:t>Taneva, T. (2023) ‘Revisions to Maslow's hierarchical model of basic psychological needs.’ </w:t>
      </w:r>
      <w:r>
        <w:rPr>
          <w:i/>
        </w:rPr>
        <w:t>Trakia Journal of Sciences</w:t>
      </w:r>
      <w:r>
        <w:t>, </w:t>
      </w:r>
      <w:r>
        <w:rPr>
          <w:i/>
        </w:rPr>
        <w:t>21</w:t>
      </w:r>
      <w:r>
        <w:t xml:space="preserve">(1), pp.222-230. Available at: doi:10.15547/tjs.2023.s.01.038 </w:t>
      </w:r>
    </w:p>
    <w:p w14:paraId="4C1461A5">
      <w:r>
        <w:t xml:space="preserve">The King's Fund (2016). </w:t>
      </w:r>
      <w:r>
        <w:rPr>
          <w:i/>
        </w:rPr>
        <w:t>Understanding Pressures in General Practice</w:t>
      </w:r>
      <w:r>
        <w:t xml:space="preserve">, </w:t>
      </w:r>
      <w:r>
        <w:rPr>
          <w:i/>
        </w:rPr>
        <w:t>The King’s Fund</w:t>
      </w:r>
      <w:r>
        <w:t xml:space="preserve">. The King’s Fund. Available at: </w:t>
      </w:r>
      <w:r>
        <w:fldChar w:fldCharType="begin"/>
      </w:r>
      <w:r>
        <w:instrText xml:space="preserve"> HYPERLINK "https://www.kingsfund.org.uk/insight-and-analysis/reports/understanding-pressures-general-practice" \h </w:instrText>
      </w:r>
      <w:r>
        <w:fldChar w:fldCharType="separate"/>
      </w:r>
      <w:r>
        <w:rPr>
          <w:color w:val="1155CC"/>
          <w:u w:val="single"/>
        </w:rPr>
        <w:t>https://www.kingsfund.org.uk/insight-and-analysis/reports/understanding-pressures-general-practice</w:t>
      </w:r>
      <w:r>
        <w:rPr>
          <w:color w:val="1155CC"/>
          <w:u w:val="single"/>
        </w:rPr>
        <w:fldChar w:fldCharType="end"/>
      </w:r>
      <w:r>
        <w:t xml:space="preserve"> (Accessed: 26 September 2025).</w:t>
      </w:r>
    </w:p>
    <w:p w14:paraId="44F2E323">
      <w:r>
        <w:t>Timmons, A.C., Duong, J.B., Simo Fiallo, N., Lee, T., Vo, H.P.Q., Ahle, M.W., Comer, J.S., Brewer, L.C., Frazier, S.L. and Chaspari, T. (2023) ‘A call to action on assessing and mitigating bias in artificial intelligence applications for mental health.’ </w:t>
      </w:r>
      <w:r>
        <w:rPr>
          <w:i/>
        </w:rPr>
        <w:t>Perspectives on Psychological Science</w:t>
      </w:r>
      <w:r>
        <w:t xml:space="preserve">, 18(5), pp.1062-1096. </w:t>
      </w:r>
      <w:r>
        <w:fldChar w:fldCharType="begin"/>
      </w:r>
      <w:r>
        <w:instrText xml:space="preserve"> HYPERLINK "https://journals.sagepub.com/doi/abs/10.1177/17456916221134490" \h </w:instrText>
      </w:r>
      <w:r>
        <w:fldChar w:fldCharType="separate"/>
      </w:r>
      <w:r>
        <w:rPr>
          <w:color w:val="1155CC"/>
          <w:u w:val="single"/>
        </w:rPr>
        <w:t>https://journals.sagepub.com/doi/abs/10.1177/17456916221134490</w:t>
      </w:r>
      <w:r>
        <w:rPr>
          <w:color w:val="1155CC"/>
          <w:u w:val="single"/>
        </w:rPr>
        <w:fldChar w:fldCharType="end"/>
      </w:r>
      <w:r>
        <w:t xml:space="preserve"> </w:t>
      </w:r>
    </w:p>
    <w:p w14:paraId="35009AA5">
      <w:r>
        <w:t xml:space="preserve">UK Government (2022) </w:t>
      </w:r>
      <w:r>
        <w:rPr>
          <w:i/>
        </w:rPr>
        <w:t>Health and Care Act 2022 Impact Assessments Summary Document and Analysis of Additional Measures</w:t>
      </w:r>
      <w:r>
        <w:t xml:space="preserve">, </w:t>
      </w:r>
      <w:r>
        <w:rPr>
          <w:i/>
        </w:rPr>
        <w:t>assets.publishing.service.gov.uk</w:t>
      </w:r>
      <w:r>
        <w:t xml:space="preserve">. London, UK: Department of Health and Social Care, pp. 1–77. Available at: </w:t>
      </w:r>
      <w:r>
        <w:fldChar w:fldCharType="begin"/>
      </w:r>
      <w:r>
        <w:instrText xml:space="preserve"> HYPERLINK "https://assets.publishing.service.gov.uk/media/6363d911e90e0705a8c35457/health-and-care-act-2022-summary-and-additional-measures-impact-assessment.pdf" \h </w:instrText>
      </w:r>
      <w:r>
        <w:fldChar w:fldCharType="separate"/>
      </w:r>
      <w:r>
        <w:rPr>
          <w:color w:val="1155CC"/>
          <w:u w:val="single"/>
        </w:rPr>
        <w:t>https://assets.publishing.service.gov.uk/media/6363d911e90e0705a8c35457/health-and-care-act-2022-summary-and-additional-measures-impact-assessment.pdf</w:t>
      </w:r>
      <w:r>
        <w:rPr>
          <w:color w:val="1155CC"/>
          <w:u w:val="single"/>
        </w:rPr>
        <w:fldChar w:fldCharType="end"/>
      </w:r>
      <w:r>
        <w:t xml:space="preserve"> (Accessed: 26 September 2025).</w:t>
      </w:r>
    </w:p>
    <w:p w14:paraId="7339791D">
      <w:r>
        <w:t>Walker, G.A. (2023) ‘Technology Law, Rights &amp; Ethics-One Choice, One Future.’ </w:t>
      </w:r>
      <w:r>
        <w:rPr>
          <w:i/>
        </w:rPr>
        <w:t>The International Lawyer</w:t>
      </w:r>
      <w:r>
        <w:t>, </w:t>
      </w:r>
      <w:r>
        <w:rPr>
          <w:i/>
        </w:rPr>
        <w:t>56</w:t>
      </w:r>
      <w:r>
        <w:t xml:space="preserve">(1), pp.1-89. Available at: </w:t>
      </w:r>
      <w:r>
        <w:fldChar w:fldCharType="begin"/>
      </w:r>
      <w:r>
        <w:instrText xml:space="preserve"> HYPERLINK "https://heinonline.org/hol-cgi-bin/get_pdf.cgi?handle=hein.journals/intlyr56&amp;section=3" \h </w:instrText>
      </w:r>
      <w:r>
        <w:fldChar w:fldCharType="separate"/>
      </w:r>
      <w:r>
        <w:rPr>
          <w:color w:val="0000FF"/>
          <w:u w:val="single"/>
        </w:rPr>
        <w:t>https://heinonline.org/hol-cgi-bin/get_pdf.cgi?handle=hein.journals/intlyr56&amp;section=3</w:t>
      </w:r>
      <w:r>
        <w:rPr>
          <w:color w:val="0000FF"/>
          <w:u w:val="single"/>
        </w:rPr>
        <w:fldChar w:fldCharType="end"/>
      </w:r>
      <w:r>
        <w:t xml:space="preserve"> </w:t>
      </w:r>
    </w:p>
    <w:p w14:paraId="7EE8512E">
      <w:r>
        <w:br w:type="page"/>
      </w:r>
    </w:p>
    <w:p w14:paraId="317F5776">
      <w:pPr>
        <w:pStyle w:val="2"/>
      </w:pPr>
      <w:bookmarkStart w:id="24" w:name="_Toc210751212"/>
      <w:r>
        <w:t>Bibliography</w:t>
      </w:r>
      <w:bookmarkEnd w:id="24"/>
    </w:p>
    <w:p w14:paraId="7D4B062E">
      <w:r>
        <w:t xml:space="preserve">Curley, A., Watson, C. and Kelly, B.D. (2022) ‘Capacity to Consent to Treatment in Psychiatry Inpatients - a Systematic Review’, </w:t>
      </w:r>
      <w:r>
        <w:rPr>
          <w:i/>
        </w:rPr>
        <w:t>International Journal of Psychiatry in Clinical Practice</w:t>
      </w:r>
      <w:r>
        <w:t xml:space="preserve">, 26(3), pp. 303–315. Available at: </w:t>
      </w:r>
      <w:r>
        <w:fldChar w:fldCharType="begin"/>
      </w:r>
      <w:r>
        <w:instrText xml:space="preserve"> HYPERLINK "https://doi.org/10.1080/13651501.2021.2017461" \h </w:instrText>
      </w:r>
      <w:r>
        <w:fldChar w:fldCharType="separate"/>
      </w:r>
      <w:r>
        <w:rPr>
          <w:color w:val="1155CC"/>
          <w:u w:val="single"/>
        </w:rPr>
        <w:t>https://doi.org/10.1080/13651501.2021.2017461</w:t>
      </w:r>
      <w:r>
        <w:rPr>
          <w:color w:val="1155CC"/>
          <w:u w:val="single"/>
        </w:rPr>
        <w:fldChar w:fldCharType="end"/>
      </w:r>
      <w:r>
        <w:t xml:space="preserve"> </w:t>
      </w:r>
    </w:p>
    <w:p w14:paraId="42391B61">
      <w:r>
        <w:t xml:space="preserve">Galderisi, S., Appelbaum, P.S., Gill, N., Gooding, P., Herrman, H., Melillo, A., Myrick, K., Pathare, S., Savage, M., Szmukler, G. and Torous, J. (2024) ‘Ethical Challenges in Contemporary psychiatry: an Overview and an Appraisal of Possible Strategies and Research needs.’, </w:t>
      </w:r>
      <w:r>
        <w:rPr>
          <w:i/>
        </w:rPr>
        <w:t>PubMed</w:t>
      </w:r>
      <w:r>
        <w:t xml:space="preserve">, 23(3), pp. 364–386. Available at: </w:t>
      </w:r>
      <w:r>
        <w:fldChar w:fldCharType="begin"/>
      </w:r>
      <w:r>
        <w:instrText xml:space="preserve"> HYPERLINK "https://doi.org/10.1002/wps.21230" \h </w:instrText>
      </w:r>
      <w:r>
        <w:fldChar w:fldCharType="separate"/>
      </w:r>
      <w:r>
        <w:rPr>
          <w:color w:val="1155CC"/>
          <w:u w:val="single"/>
        </w:rPr>
        <w:t>https://doi.org/10.1002/wps.21230</w:t>
      </w:r>
      <w:r>
        <w:rPr>
          <w:color w:val="1155CC"/>
          <w:u w:val="single"/>
        </w:rPr>
        <w:fldChar w:fldCharType="end"/>
      </w:r>
      <w:r>
        <w:t xml:space="preserve"> </w:t>
      </w:r>
    </w:p>
    <w:p w14:paraId="23DC3E11">
      <w:r>
        <w:t xml:space="preserve">Harris, A., Jones, M. and Ismail, N. (2022) ‘Distributed leadership: Taking a Retrospective and Contemporary View of the Evidence Base’, </w:t>
      </w:r>
      <w:r>
        <w:rPr>
          <w:i/>
        </w:rPr>
        <w:t>School Leadership &amp; Management</w:t>
      </w:r>
      <w:r>
        <w:t xml:space="preserve">, 42(5), pp. 438–456. Available at: </w:t>
      </w:r>
      <w:r>
        <w:fldChar w:fldCharType="begin"/>
      </w:r>
      <w:r>
        <w:instrText xml:space="preserve"> HYPERLINK "https://doi.org/10.1080/13632434.2022.2109620" \h </w:instrText>
      </w:r>
      <w:r>
        <w:fldChar w:fldCharType="separate"/>
      </w:r>
      <w:r>
        <w:rPr>
          <w:color w:val="1155CC"/>
          <w:u w:val="single"/>
        </w:rPr>
        <w:t>https://doi.org/10.1080/13632434.2022.2109620</w:t>
      </w:r>
      <w:r>
        <w:rPr>
          <w:color w:val="1155CC"/>
          <w:u w:val="single"/>
        </w:rPr>
        <w:fldChar w:fldCharType="end"/>
      </w:r>
      <w:r>
        <w:t xml:space="preserve"> </w:t>
      </w:r>
    </w:p>
    <w:p w14:paraId="5345E63F">
      <w:r>
        <w:t xml:space="preserve">NHS England (2024) </w:t>
      </w:r>
      <w:r>
        <w:rPr>
          <w:i/>
        </w:rPr>
        <w:t>Mental Capacity Act - Social Care and Support Guide</w:t>
      </w:r>
      <w:r>
        <w:t xml:space="preserve">, </w:t>
      </w:r>
      <w:r>
        <w:rPr>
          <w:i/>
        </w:rPr>
        <w:t>nhs.uk</w:t>
      </w:r>
      <w:r>
        <w:t xml:space="preserve">. National Health Service. Available at: </w:t>
      </w:r>
      <w:r>
        <w:fldChar w:fldCharType="begin"/>
      </w:r>
      <w:r>
        <w:instrText xml:space="preserve"> HYPERLINK "https://www.nhs.uk/social-care-and-support/making-decisions-for-someone-else/mental-capacity-act/" \h </w:instrText>
      </w:r>
      <w:r>
        <w:fldChar w:fldCharType="separate"/>
      </w:r>
      <w:r>
        <w:rPr>
          <w:color w:val="1155CC"/>
          <w:u w:val="single"/>
        </w:rPr>
        <w:t>https://www.nhs.uk/social-care-and-support/making-decisions-for-someone-else/mental-capacity-act/</w:t>
      </w:r>
      <w:r>
        <w:rPr>
          <w:color w:val="1155CC"/>
          <w:u w:val="single"/>
        </w:rPr>
        <w:fldChar w:fldCharType="end"/>
      </w:r>
      <w:r>
        <w:t xml:space="preserve"> (Accessed: 26 September 2025).</w:t>
      </w:r>
    </w:p>
    <w:p w14:paraId="3B9ED115">
      <w:r>
        <w:t xml:space="preserve">Vaalburg, A.M., Boersma, P., Wattel, E.M., Ket, J.C.F., Hertogh, C.M.P.M. and Gobbens, R.J. (2023) ‘Supporting Older Patients in Working on Rehabilitation goals: a Scoping Review of Nursing Interventions’, </w:t>
      </w:r>
      <w:r>
        <w:rPr>
          <w:i/>
        </w:rPr>
        <w:t>International Journal of Older People Nursing</w:t>
      </w:r>
      <w:r>
        <w:t xml:space="preserve">, 18(4), pp. 12–42. Available at: </w:t>
      </w:r>
      <w:r>
        <w:fldChar w:fldCharType="begin"/>
      </w:r>
      <w:r>
        <w:instrText xml:space="preserve"> HYPERLINK "https://doi.org/10.1111/opn.12542" \h </w:instrText>
      </w:r>
      <w:r>
        <w:fldChar w:fldCharType="separate"/>
      </w:r>
      <w:r>
        <w:rPr>
          <w:color w:val="1155CC"/>
          <w:u w:val="single"/>
        </w:rPr>
        <w:t>https://doi.org/10.1111/opn.12542</w:t>
      </w:r>
      <w:r>
        <w:rPr>
          <w:color w:val="1155CC"/>
          <w:u w:val="single"/>
        </w:rPr>
        <w:fldChar w:fldCharType="end"/>
      </w:r>
      <w:r>
        <w:t xml:space="preserve"> </w:t>
      </w:r>
    </w:p>
    <w:sectPr>
      <w:footerReference r:id="rId5" w:type="default"/>
      <w:pgSz w:w="11906" w:h="16838"/>
      <w:pgMar w:top="1440" w:right="1440" w:bottom="1440" w:left="1440" w:header="708" w:footer="708" w:gutter="0"/>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5DD90EDC-13AE-4C16-BF61-746FC4C65AED}"/>
  </w:font>
  <w:font w:name="Arial">
    <w:panose1 w:val="020B0604020202020204"/>
    <w:charset w:val="86"/>
    <w:family w:val="swiss"/>
    <w:pitch w:val="default"/>
    <w:sig w:usb0="E0002EFF" w:usb1="C000785B" w:usb2="00000009" w:usb3="00000000" w:csb0="400001FF" w:csb1="FFFF0000"/>
    <w:embedRegular r:id="rId2" w:fontKey="{1554AEF9-A891-4273-931E-4379360848E8}"/>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709F9038-7DB8-4F3F-8829-6A47405C9D07}"/>
  </w:font>
  <w:font w:name="Wingdings">
    <w:panose1 w:val="05000000000000000000"/>
    <w:charset w:val="02"/>
    <w:family w:val="auto"/>
    <w:pitch w:val="default"/>
    <w:sig w:usb0="00000000" w:usb1="00000000" w:usb2="00000000" w:usb3="00000000" w:csb0="80000000" w:csb1="00000000"/>
    <w:embedRegular r:id="rId4" w:fontKey="{C9C76E22-C7F9-4BCF-91B7-849C43011DFE}"/>
  </w:font>
  <w:font w:name="Calibri">
    <w:panose1 w:val="020F0502020204030204"/>
    <w:charset w:val="00"/>
    <w:family w:val="swiss"/>
    <w:pitch w:val="default"/>
    <w:sig w:usb0="E4002EFF" w:usb1="C200247B" w:usb2="00000009" w:usb3="00000000" w:csb0="200001FF" w:csb1="00000000"/>
    <w:embedRegular r:id="rId5" w:fontKey="{292D2EED-9FEB-4C42-BBB2-BAB8A9A91D1B}"/>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DBF8BCEE-6EAA-4926-A41D-CA4F3CF39FC3}"/>
  </w:font>
  <w:font w:name="Noto Sans Symbols">
    <w:altName w:val="Segoe Print"/>
    <w:panose1 w:val="00000000000000000000"/>
    <w:charset w:val="00"/>
    <w:family w:val="auto"/>
    <w:pitch w:val="default"/>
    <w:sig w:usb0="00000000" w:usb1="00000000" w:usb2="00000000" w:usb3="00000000" w:csb0="00000001" w:csb1="00000000"/>
  </w:font>
  <w:font w:name="Segoe Print">
    <w:panose1 w:val="02000600000000000000"/>
    <w:charset w:val="00"/>
    <w:family w:val="auto"/>
    <w:pitch w:val="default"/>
    <w:sig w:usb0="0000028F" w:usb1="00000000" w:usb2="00000000" w:usb3="00000000" w:csb0="2000009F" w:csb1="47010000"/>
    <w:embedRegular r:id="rId7" w:fontKey="{3D730BC5-0649-463B-A98F-A6939968B602}"/>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839AF76">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 xml:space="preserve">PAGE</w:instrText>
    </w:r>
    <w:r>
      <w:rPr>
        <w:color w:val="000000"/>
      </w:rPr>
      <w:fldChar w:fldCharType="separate"/>
    </w:r>
    <w:r>
      <w:rPr>
        <w:color w:val="000000"/>
      </w:rPr>
      <w:t>2</w:t>
    </w:r>
    <w:r>
      <w:rPr>
        <w:color w:val="000000"/>
      </w:rPr>
      <w:fldChar w:fldCharType="end"/>
    </w:r>
    <w:r>
      <w:rPr>
        <w:color w:val="000000"/>
      </w:rPr>
      <w:t xml:space="preserve"> </w:t>
    </w:r>
  </w:p>
  <w:p w14:paraId="080D2F1E">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7AC453C"/>
    <w:multiLevelType w:val="multilevel"/>
    <w:tmpl w:val="17AC453C"/>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550F59D2"/>
    <w:multiLevelType w:val="multilevel"/>
    <w:tmpl w:val="550F59D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661F125C"/>
    <w:multiLevelType w:val="multilevel"/>
    <w:tmpl w:val="661F125C"/>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val="bestFit" w:percent="182"/>
  <w:removePersonalInformation/>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DE2NLYwMTcxNjayNDFW0lEKTi0uzszPAykwrAUAAKCv9SwAAAA="/>
  </w:docVars>
  <w:rsids>
    <w:rsidRoot w:val="00F4208E"/>
    <w:rsid w:val="001357EA"/>
    <w:rsid w:val="00155C57"/>
    <w:rsid w:val="00191C2E"/>
    <w:rsid w:val="00245FAC"/>
    <w:rsid w:val="002A79FF"/>
    <w:rsid w:val="002D5222"/>
    <w:rsid w:val="002E70F3"/>
    <w:rsid w:val="003663D1"/>
    <w:rsid w:val="004543E8"/>
    <w:rsid w:val="004A6CEE"/>
    <w:rsid w:val="004F7133"/>
    <w:rsid w:val="0052586F"/>
    <w:rsid w:val="0061101F"/>
    <w:rsid w:val="006C147E"/>
    <w:rsid w:val="00887E1C"/>
    <w:rsid w:val="00905343"/>
    <w:rsid w:val="009C5A9A"/>
    <w:rsid w:val="009E0F11"/>
    <w:rsid w:val="009E222D"/>
    <w:rsid w:val="00A13A9E"/>
    <w:rsid w:val="00A601C8"/>
    <w:rsid w:val="00AE1F6C"/>
    <w:rsid w:val="00C45341"/>
    <w:rsid w:val="00C46703"/>
    <w:rsid w:val="00C8562D"/>
    <w:rsid w:val="00CA61D2"/>
    <w:rsid w:val="00D21FF2"/>
    <w:rsid w:val="00D47F47"/>
    <w:rsid w:val="00D96C90"/>
    <w:rsid w:val="00E406E3"/>
    <w:rsid w:val="00F4208E"/>
    <w:rsid w:val="150E30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40" w:line="360" w:lineRule="auto"/>
      <w:jc w:val="both"/>
    </w:pPr>
    <w:rPr>
      <w:rFonts w:ascii="Arial" w:hAnsi="Arial" w:eastAsia="Arial" w:cs="Arial"/>
      <w:sz w:val="22"/>
      <w:szCs w:val="22"/>
      <w:lang w:val="en-GB" w:eastAsia="en-GB" w:bidi="ar-SA"/>
    </w:rPr>
  </w:style>
  <w:style w:type="paragraph" w:styleId="2">
    <w:name w:val="heading 1"/>
    <w:basedOn w:val="1"/>
    <w:next w:val="1"/>
    <w:qFormat/>
    <w:uiPriority w:val="9"/>
    <w:pPr>
      <w:keepNext/>
      <w:keepLines/>
      <w:spacing w:after="0"/>
      <w:outlineLvl w:val="0"/>
    </w:pPr>
    <w:rPr>
      <w:b/>
      <w:sz w:val="28"/>
      <w:szCs w:val="28"/>
    </w:rPr>
  </w:style>
  <w:style w:type="paragraph" w:styleId="3">
    <w:name w:val="heading 2"/>
    <w:basedOn w:val="1"/>
    <w:next w:val="1"/>
    <w:unhideWhenUsed/>
    <w:qFormat/>
    <w:uiPriority w:val="9"/>
    <w:pPr>
      <w:keepNext/>
      <w:keepLines/>
      <w:spacing w:after="0"/>
      <w:outlineLvl w:val="1"/>
    </w:pPr>
    <w:rPr>
      <w:b/>
    </w:rPr>
  </w:style>
  <w:style w:type="paragraph" w:styleId="4">
    <w:name w:val="heading 3"/>
    <w:basedOn w:val="1"/>
    <w:next w:val="1"/>
    <w:semiHidden/>
    <w:unhideWhenUsed/>
    <w:qFormat/>
    <w:uiPriority w:val="9"/>
    <w:pPr>
      <w:keepNext/>
      <w:keepLines/>
      <w:spacing w:after="0"/>
      <w:outlineLvl w:val="2"/>
    </w:pPr>
    <w:rPr>
      <w:b/>
      <w:i/>
    </w:rPr>
  </w:style>
  <w:style w:type="paragraph" w:styleId="5">
    <w:name w:val="heading 4"/>
    <w:basedOn w:val="1"/>
    <w:next w:val="1"/>
    <w:semiHidden/>
    <w:unhideWhenUsed/>
    <w:qFormat/>
    <w:uiPriority w:val="9"/>
    <w:pPr>
      <w:keepNext/>
      <w:keepLines/>
      <w:spacing w:before="80" w:after="40"/>
      <w:outlineLvl w:val="3"/>
    </w:pPr>
    <w:rPr>
      <w:rFonts w:ascii="Calibri" w:hAnsi="Calibri" w:eastAsia="Calibri" w:cs="Calibri"/>
      <w:i/>
      <w:color w:val="2F5496"/>
    </w:rPr>
  </w:style>
  <w:style w:type="paragraph" w:styleId="6">
    <w:name w:val="heading 5"/>
    <w:basedOn w:val="1"/>
    <w:next w:val="1"/>
    <w:semiHidden/>
    <w:unhideWhenUsed/>
    <w:qFormat/>
    <w:uiPriority w:val="9"/>
    <w:pPr>
      <w:keepNext/>
      <w:keepLines/>
      <w:spacing w:before="80" w:after="40"/>
      <w:outlineLvl w:val="4"/>
    </w:pPr>
    <w:rPr>
      <w:rFonts w:ascii="Calibri" w:hAnsi="Calibri" w:eastAsia="Calibri" w:cs="Calibri"/>
      <w:color w:val="2F5496"/>
    </w:rPr>
  </w:style>
  <w:style w:type="paragraph" w:styleId="7">
    <w:name w:val="heading 6"/>
    <w:basedOn w:val="1"/>
    <w:next w:val="1"/>
    <w:semiHidden/>
    <w:unhideWhenUsed/>
    <w:qFormat/>
    <w:uiPriority w:val="9"/>
    <w:pPr>
      <w:keepNext/>
      <w:keepLines/>
      <w:spacing w:before="40"/>
      <w:outlineLvl w:val="5"/>
    </w:pPr>
    <w:rPr>
      <w:rFonts w:ascii="Calibri" w:hAnsi="Calibri" w:eastAsia="Calibri" w:cs="Calibri"/>
      <w:i/>
      <w:color w:val="595959"/>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caption"/>
    <w:basedOn w:val="1"/>
    <w:next w:val="1"/>
    <w:unhideWhenUsed/>
    <w:qFormat/>
    <w:uiPriority w:val="35"/>
    <w:pPr>
      <w:spacing w:after="200" w:line="240" w:lineRule="auto"/>
    </w:pPr>
    <w:rPr>
      <w:i/>
      <w:iCs/>
      <w:color w:val="1F497D" w:themeColor="text2"/>
      <w:sz w:val="18"/>
      <w:szCs w:val="18"/>
      <w14:textFill>
        <w14:solidFill>
          <w14:schemeClr w14:val="tx2"/>
        </w14:solidFill>
      </w14:textFill>
    </w:rPr>
  </w:style>
  <w:style w:type="paragraph" w:styleId="11">
    <w:name w:val="footer"/>
    <w:basedOn w:val="1"/>
    <w:link w:val="26"/>
    <w:unhideWhenUsed/>
    <w:uiPriority w:val="99"/>
    <w:pPr>
      <w:tabs>
        <w:tab w:val="center" w:pos="4513"/>
        <w:tab w:val="right" w:pos="9026"/>
      </w:tabs>
      <w:spacing w:after="0" w:line="240" w:lineRule="auto"/>
    </w:pPr>
  </w:style>
  <w:style w:type="paragraph" w:styleId="12">
    <w:name w:val="header"/>
    <w:basedOn w:val="1"/>
    <w:link w:val="25"/>
    <w:unhideWhenUsed/>
    <w:uiPriority w:val="99"/>
    <w:pPr>
      <w:tabs>
        <w:tab w:val="center" w:pos="4513"/>
        <w:tab w:val="right" w:pos="9026"/>
      </w:tabs>
      <w:spacing w:after="0" w:line="240" w:lineRule="auto"/>
    </w:pPr>
  </w:style>
  <w:style w:type="character" w:styleId="13">
    <w:name w:val="Hyperlink"/>
    <w:basedOn w:val="8"/>
    <w:unhideWhenUsed/>
    <w:uiPriority w:val="99"/>
    <w:rPr>
      <w:color w:val="0000FF" w:themeColor="hyperlink"/>
      <w:u w:val="single"/>
      <w14:textFill>
        <w14:solidFill>
          <w14:schemeClr w14:val="hlink"/>
        </w14:solidFill>
      </w14:textFill>
    </w:rPr>
  </w:style>
  <w:style w:type="paragraph" w:styleId="14">
    <w:name w:val="Subtitle"/>
    <w:basedOn w:val="1"/>
    <w:next w:val="1"/>
    <w:qFormat/>
    <w:uiPriority w:val="11"/>
    <w:pPr>
      <w:spacing w:after="160"/>
    </w:pPr>
    <w:rPr>
      <w:rFonts w:ascii="Calibri" w:hAnsi="Calibri" w:eastAsia="Calibri" w:cs="Calibri"/>
      <w:color w:val="595959"/>
      <w:sz w:val="28"/>
      <w:szCs w:val="28"/>
    </w:rPr>
  </w:style>
  <w:style w:type="paragraph" w:styleId="15">
    <w:name w:val="table of figures"/>
    <w:basedOn w:val="1"/>
    <w:next w:val="1"/>
    <w:unhideWhenUsed/>
    <w:uiPriority w:val="99"/>
    <w:pPr>
      <w:spacing w:after="0"/>
    </w:pPr>
  </w:style>
  <w:style w:type="paragraph" w:styleId="16">
    <w:name w:val="Title"/>
    <w:basedOn w:val="1"/>
    <w:next w:val="1"/>
    <w:qFormat/>
    <w:uiPriority w:val="10"/>
    <w:pPr>
      <w:spacing w:after="80" w:line="240" w:lineRule="auto"/>
    </w:pPr>
    <w:rPr>
      <w:rFonts w:ascii="Calibri" w:hAnsi="Calibri" w:eastAsia="Calibri" w:cs="Calibri"/>
      <w:sz w:val="56"/>
      <w:szCs w:val="56"/>
    </w:rPr>
  </w:style>
  <w:style w:type="paragraph" w:styleId="17">
    <w:name w:val="toc 1"/>
    <w:basedOn w:val="1"/>
    <w:next w:val="1"/>
    <w:autoRedefine/>
    <w:unhideWhenUsed/>
    <w:uiPriority w:val="39"/>
    <w:pPr>
      <w:spacing w:after="100"/>
    </w:pPr>
  </w:style>
  <w:style w:type="paragraph" w:styleId="18">
    <w:name w:val="toc 2"/>
    <w:basedOn w:val="1"/>
    <w:next w:val="1"/>
    <w:autoRedefine/>
    <w:unhideWhenUsed/>
    <w:uiPriority w:val="39"/>
    <w:pPr>
      <w:spacing w:after="100"/>
      <w:ind w:left="220"/>
    </w:pPr>
  </w:style>
  <w:style w:type="table" w:customStyle="1" w:styleId="19">
    <w:name w:val="TableNormal"/>
    <w:uiPriority w:val="0"/>
    <w:tblPr>
      <w:tblCellMar>
        <w:top w:w="100" w:type="dxa"/>
        <w:left w:w="100" w:type="dxa"/>
        <w:bottom w:w="100" w:type="dxa"/>
        <w:right w:w="100" w:type="dxa"/>
      </w:tblCellMar>
    </w:tblPr>
  </w:style>
  <w:style w:type="table" w:customStyle="1" w:styleId="20">
    <w:name w:val="a"/>
    <w:basedOn w:val="19"/>
    <w:uiPriority w:val="0"/>
    <w:pPr>
      <w:spacing w:after="0" w:line="240" w:lineRule="auto"/>
    </w:pPr>
    <w:tblPr>
      <w:tblCellMar>
        <w:top w:w="0" w:type="dxa"/>
        <w:left w:w="108" w:type="dxa"/>
        <w:bottom w:w="0" w:type="dxa"/>
        <w:right w:w="108" w:type="dxa"/>
      </w:tblCellMar>
    </w:tblPr>
  </w:style>
  <w:style w:type="table" w:customStyle="1" w:styleId="21">
    <w:name w:val="a0"/>
    <w:basedOn w:val="19"/>
    <w:uiPriority w:val="0"/>
    <w:pPr>
      <w:spacing w:after="0" w:line="240" w:lineRule="auto"/>
    </w:pPr>
    <w:tblPr>
      <w:tblCellMar>
        <w:top w:w="0" w:type="dxa"/>
        <w:left w:w="108" w:type="dxa"/>
        <w:bottom w:w="0" w:type="dxa"/>
        <w:right w:w="108" w:type="dxa"/>
      </w:tblCellMar>
    </w:tblPr>
  </w:style>
  <w:style w:type="table" w:customStyle="1" w:styleId="22">
    <w:name w:val="a1"/>
    <w:basedOn w:val="19"/>
    <w:uiPriority w:val="0"/>
    <w:pPr>
      <w:spacing w:after="0" w:line="240" w:lineRule="auto"/>
    </w:pPr>
    <w:tblPr>
      <w:tblCellMar>
        <w:top w:w="0" w:type="dxa"/>
        <w:left w:w="108" w:type="dxa"/>
        <w:bottom w:w="0" w:type="dxa"/>
        <w:right w:w="108" w:type="dxa"/>
      </w:tblCellMar>
    </w:tblPr>
  </w:style>
  <w:style w:type="table" w:customStyle="1" w:styleId="23">
    <w:name w:val="a2"/>
    <w:basedOn w:val="19"/>
    <w:uiPriority w:val="0"/>
    <w:pPr>
      <w:spacing w:after="0" w:line="240" w:lineRule="auto"/>
    </w:pPr>
    <w:tblPr>
      <w:tblCellMar>
        <w:top w:w="0" w:type="dxa"/>
        <w:left w:w="108" w:type="dxa"/>
        <w:bottom w:w="0" w:type="dxa"/>
        <w:right w:w="108" w:type="dxa"/>
      </w:tblCellMar>
    </w:tblPr>
  </w:style>
  <w:style w:type="paragraph" w:customStyle="1" w:styleId="24">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 w:type="character" w:customStyle="1" w:styleId="25">
    <w:name w:val="Header Char"/>
    <w:basedOn w:val="8"/>
    <w:link w:val="12"/>
    <w:uiPriority w:val="99"/>
  </w:style>
  <w:style w:type="character" w:customStyle="1" w:styleId="26">
    <w:name w:val="Footer Char"/>
    <w:basedOn w:val="8"/>
    <w:link w:val="11"/>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1282BB-B4E1-419F-86D7-370592D736C9}">
  <ds:schemaRefs/>
</ds:datastoreItem>
</file>

<file path=docProps/app.xml><?xml version="1.0" encoding="utf-8"?>
<Properties xmlns="http://schemas.openxmlformats.org/officeDocument/2006/extended-properties" xmlns:vt="http://schemas.openxmlformats.org/officeDocument/2006/docPropsVTypes">
  <Template>Normal</Template>
  <Pages>17</Pages>
  <Words>4113</Words>
  <Characters>23448</Characters>
  <Lines>195</Lines>
  <Paragraphs>55</Paragraphs>
  <TotalTime>18</TotalTime>
  <ScaleCrop>false</ScaleCrop>
  <LinksUpToDate>false</LinksUpToDate>
  <CharactersWithSpaces>27506</CharactersWithSpaces>
  <Application>WPS Office_12.2.0.21931_F1E327BC-269C-435d-A152-05C5408002CA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2025-10-07T12:32:00Z</dcterms:created>
  <dcterms:modified xsi:type="dcterms:W3CDTF">2025-10-21T13:53:35Z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2057-12.2.0.21931</vt:lpwstr>
  </property>
  <property fmtid="{D5CDD505-2E9C-101B-9397-08002B2CF9AE}" pid="3" name="ICV">
    <vt:lpwstr>0B463F68C5734F378BF89F585CB5F205_13</vt:lpwstr>
  </property>
</Properties>
</file>