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AF8F2F" w14:textId="5B4ACF53" w:rsidR="00E973C6" w:rsidRPr="00300288" w:rsidRDefault="00E973C6" w:rsidP="005C69B9">
      <w:pPr>
        <w:widowControl w:val="0"/>
        <w:autoSpaceDE w:val="0"/>
        <w:autoSpaceDN w:val="0"/>
        <w:adjustRightInd w:val="0"/>
        <w:spacing w:after="0" w:line="480" w:lineRule="auto"/>
        <w:ind w:left="0" w:right="95"/>
        <w:rPr>
          <w:rFonts w:eastAsia="Times New Roman"/>
          <w:b/>
          <w:bCs/>
          <w:lang w:val="en-US"/>
        </w:rPr>
      </w:pPr>
      <w:r>
        <w:rPr>
          <w:rFonts w:eastAsia="Times New Roman"/>
          <w:lang w:val="en-US"/>
        </w:rPr>
        <w:t>Is it irrational to care differently about some happening on the basis of whether it lies in the past or in the future, and (in each case) how far? (You may, if you wish, focus your answer on the example of our attitudes to past and future non-existence.)</w:t>
      </w:r>
      <w:r w:rsidR="00300288">
        <w:rPr>
          <w:rFonts w:eastAsia="Times New Roman"/>
          <w:lang w:val="en-US"/>
        </w:rPr>
        <w:t xml:space="preserve"> </w:t>
      </w:r>
    </w:p>
    <w:p w14:paraId="1EE803F2" w14:textId="43766B29" w:rsidR="00E973C6" w:rsidRDefault="00E973C6" w:rsidP="005C69B9">
      <w:pPr>
        <w:widowControl w:val="0"/>
        <w:autoSpaceDE w:val="0"/>
        <w:autoSpaceDN w:val="0"/>
        <w:adjustRightInd w:val="0"/>
        <w:spacing w:after="0" w:line="480" w:lineRule="auto"/>
        <w:ind w:left="0" w:right="95"/>
        <w:rPr>
          <w:rFonts w:eastAsia="Times New Roman"/>
          <w:lang w:val="en-US"/>
        </w:rPr>
      </w:pPr>
    </w:p>
    <w:p w14:paraId="60F04793" w14:textId="773E3D02" w:rsidR="00212F35" w:rsidRDefault="00212F35" w:rsidP="005C69B9">
      <w:pPr>
        <w:widowControl w:val="0"/>
        <w:autoSpaceDE w:val="0"/>
        <w:autoSpaceDN w:val="0"/>
        <w:adjustRightInd w:val="0"/>
        <w:spacing w:after="0" w:line="480" w:lineRule="auto"/>
        <w:ind w:left="0" w:right="95"/>
        <w:rPr>
          <w:rFonts w:eastAsia="Times New Roman"/>
          <w:lang w:val="en-US"/>
        </w:rPr>
      </w:pPr>
      <w:r>
        <w:rPr>
          <w:rFonts w:eastAsia="Times New Roman"/>
          <w:lang w:val="en-US"/>
        </w:rPr>
        <w:t xml:space="preserve">There are many different philosophical views on the existence of time and ethics. This essay is about temporal neutrality and whether or not is can be rationalized or argued for. One of the main philosophers on temporal neutrality is David O. Brink. Temporal neutrality includes ideas about happenings in the past, present and future and feelings about these happenings for ourselves and others. Temporal neutrality comes into ethics within arguments of rationality and ethics such as if it is ethical to consider past suffering as less important the present or future suffering. It can be considered irrational to take the view that suffering can be less or more important than other </w:t>
      </w:r>
      <w:r w:rsidR="004007EC">
        <w:rPr>
          <w:rFonts w:eastAsia="Times New Roman"/>
          <w:lang w:val="en-US"/>
        </w:rPr>
        <w:t>s</w:t>
      </w:r>
      <w:r>
        <w:rPr>
          <w:rFonts w:eastAsia="Times New Roman"/>
          <w:lang w:val="en-US"/>
        </w:rPr>
        <w:t xml:space="preserve">uffering because of when it happens. </w:t>
      </w:r>
    </w:p>
    <w:p w14:paraId="715ECBBF" w14:textId="5731B65D" w:rsidR="00E560AF" w:rsidRDefault="00E560AF" w:rsidP="00E560AF">
      <w:pPr>
        <w:widowControl w:val="0"/>
        <w:autoSpaceDE w:val="0"/>
        <w:autoSpaceDN w:val="0"/>
        <w:adjustRightInd w:val="0"/>
        <w:spacing w:after="0" w:line="480" w:lineRule="auto"/>
        <w:ind w:left="0" w:right="95"/>
        <w:rPr>
          <w:rFonts w:eastAsia="Times New Roman"/>
          <w:lang w:val="en-US"/>
        </w:rPr>
      </w:pPr>
      <w:r>
        <w:rPr>
          <w:rFonts w:eastAsia="Times New Roman"/>
          <w:lang w:val="en-US"/>
        </w:rPr>
        <w:t xml:space="preserve">Brink discusses the idea of temporal neutrality in his paper </w:t>
      </w:r>
      <w:r>
        <w:rPr>
          <w:rFonts w:eastAsia="Times New Roman"/>
          <w:i/>
          <w:iCs/>
          <w:lang w:val="en-US"/>
        </w:rPr>
        <w:t>Prospects for Temporal Neutrality</w:t>
      </w:r>
      <w:r>
        <w:rPr>
          <w:rFonts w:eastAsia="Times New Roman"/>
          <w:lang w:val="en-US"/>
        </w:rPr>
        <w:t>, this being that humans should give the same level of importance to events regardless of whether they are in the past, present or future. Brink argues that it is sensible for people to be temporal neutral and also that prudence requires temporal neutrality.</w:t>
      </w:r>
      <w:r>
        <w:rPr>
          <w:rStyle w:val="FootnoteReference"/>
          <w:rFonts w:eastAsia="Times New Roman"/>
          <w:lang w:val="en-US"/>
        </w:rPr>
        <w:footnoteReference w:id="1"/>
      </w:r>
      <w:r>
        <w:rPr>
          <w:rFonts w:eastAsia="Times New Roman"/>
          <w:lang w:val="en-US"/>
        </w:rPr>
        <w:t xml:space="preserve"> Temporal neutrality is a </w:t>
      </w:r>
      <w:r>
        <w:rPr>
          <w:rFonts w:eastAsia="Times New Roman"/>
          <w:lang w:val="en-US"/>
        </w:rPr>
        <w:lastRenderedPageBreak/>
        <w:t xml:space="preserve">theoretical framework of fully rational thinking which disregards aspects of thoughts and behaviours such as joy and grief which hold large influences in humanity. Spinoza’s </w:t>
      </w:r>
      <w:r>
        <w:rPr>
          <w:rFonts w:eastAsia="Times New Roman"/>
          <w:i/>
          <w:iCs/>
          <w:lang w:val="en-US"/>
        </w:rPr>
        <w:t>The Ethics</w:t>
      </w:r>
      <w:r>
        <w:rPr>
          <w:rFonts w:eastAsia="Times New Roman"/>
          <w:lang w:val="en-US"/>
        </w:rPr>
        <w:t xml:space="preserve"> (1677) suggests that humans have a greater reaction to the present and present event than they do to the past or future, thus, suggesting that humans are not temporally neutral.</w:t>
      </w:r>
      <w:r>
        <w:rPr>
          <w:rStyle w:val="FootnoteReference"/>
          <w:rFonts w:eastAsia="Times New Roman"/>
          <w:lang w:val="en-US"/>
        </w:rPr>
        <w:footnoteReference w:id="2"/>
      </w:r>
      <w:r>
        <w:rPr>
          <w:rFonts w:eastAsia="Times New Roman"/>
          <w:lang w:val="en-US"/>
        </w:rPr>
        <w:t xml:space="preserve"> One of the things Brink refers to when discussing temporal neutrality is the idea of prudence which many philosopher including Adam Smith include in their philosophy.</w:t>
      </w:r>
      <w:r>
        <w:rPr>
          <w:rStyle w:val="FootnoteReference"/>
          <w:rFonts w:eastAsia="Times New Roman"/>
          <w:lang w:val="en-US"/>
        </w:rPr>
        <w:footnoteReference w:id="3"/>
      </w:r>
      <w:r>
        <w:rPr>
          <w:rFonts w:eastAsia="Times New Roman"/>
          <w:lang w:val="en-US"/>
        </w:rPr>
        <w:t xml:space="preserve"> According to Smith in </w:t>
      </w:r>
      <w:r>
        <w:rPr>
          <w:rFonts w:eastAsia="Times New Roman"/>
          <w:i/>
          <w:iCs/>
          <w:lang w:val="en-US"/>
        </w:rPr>
        <w:t xml:space="preserve">The Theory of Moral Sentiments (1790) </w:t>
      </w:r>
      <w:r w:rsidRPr="005F105C">
        <w:rPr>
          <w:rFonts w:eastAsia="Times New Roman"/>
          <w:lang w:val="en-US"/>
        </w:rPr>
        <w:t>temporal</w:t>
      </w:r>
      <w:r>
        <w:rPr>
          <w:rFonts w:eastAsia="Times New Roman"/>
          <w:lang w:val="en-US"/>
        </w:rPr>
        <w:t xml:space="preserve"> neutrality is not a description of how people actually behave or reason.</w:t>
      </w:r>
      <w:r>
        <w:rPr>
          <w:rStyle w:val="FootnoteReference"/>
          <w:rFonts w:eastAsia="Times New Roman"/>
          <w:lang w:val="en-US"/>
        </w:rPr>
        <w:footnoteReference w:id="4"/>
      </w:r>
      <w:r>
        <w:rPr>
          <w:rFonts w:eastAsia="Times New Roman"/>
          <w:lang w:val="en-US"/>
        </w:rPr>
        <w:t xml:space="preserve"> </w:t>
      </w:r>
    </w:p>
    <w:p w14:paraId="77464384" w14:textId="77777777" w:rsidR="00445F07" w:rsidRDefault="00445F07" w:rsidP="00445F07">
      <w:pPr>
        <w:widowControl w:val="0"/>
        <w:autoSpaceDE w:val="0"/>
        <w:autoSpaceDN w:val="0"/>
        <w:adjustRightInd w:val="0"/>
        <w:spacing w:after="0" w:line="480" w:lineRule="auto"/>
        <w:ind w:left="0" w:right="95"/>
        <w:rPr>
          <w:rFonts w:eastAsia="Times New Roman"/>
          <w:lang w:val="en-US"/>
        </w:rPr>
      </w:pPr>
      <w:r>
        <w:rPr>
          <w:rFonts w:eastAsia="Times New Roman"/>
          <w:lang w:val="en-US"/>
        </w:rPr>
        <w:t>If it is irrational for one to care differently about the past, present and future, it should then be rational to care about happenings in the past, present and future with the same level of importance. This then suggests that temporal neutrality, happenings hold the same level of importance regardless of time, is in fact rational. To possess complete temporal neutrality, one would then hold the same importance to past and future non-existence as to their life. Would we be able to recognize a perfectly temporally neutral person as human?</w:t>
      </w:r>
    </w:p>
    <w:p w14:paraId="0DD6C446" w14:textId="77777777" w:rsidR="00212F35" w:rsidRDefault="00212F35" w:rsidP="005C69B9">
      <w:pPr>
        <w:widowControl w:val="0"/>
        <w:autoSpaceDE w:val="0"/>
        <w:autoSpaceDN w:val="0"/>
        <w:adjustRightInd w:val="0"/>
        <w:spacing w:after="0" w:line="480" w:lineRule="auto"/>
        <w:ind w:left="0" w:right="95"/>
        <w:rPr>
          <w:rFonts w:eastAsia="Times New Roman"/>
          <w:lang w:val="en-US"/>
        </w:rPr>
      </w:pPr>
    </w:p>
    <w:p w14:paraId="28DF3D3D" w14:textId="27D020E1" w:rsidR="000152B5" w:rsidRDefault="000152B5" w:rsidP="005C69B9">
      <w:pPr>
        <w:widowControl w:val="0"/>
        <w:autoSpaceDE w:val="0"/>
        <w:autoSpaceDN w:val="0"/>
        <w:adjustRightInd w:val="0"/>
        <w:spacing w:after="0" w:line="480" w:lineRule="auto"/>
        <w:ind w:left="0" w:right="95"/>
        <w:rPr>
          <w:rFonts w:eastAsia="Times New Roman"/>
          <w:lang w:val="en-US"/>
        </w:rPr>
      </w:pPr>
      <w:r>
        <w:rPr>
          <w:rFonts w:eastAsia="Times New Roman"/>
          <w:lang w:val="en-US"/>
        </w:rPr>
        <w:t xml:space="preserve">Within variations of the human psyche, people hold a level of importance to </w:t>
      </w:r>
      <w:r>
        <w:rPr>
          <w:rFonts w:eastAsia="Times New Roman"/>
          <w:lang w:val="en-US"/>
        </w:rPr>
        <w:lastRenderedPageBreak/>
        <w:t xml:space="preserve">past pleasures and pain such as experiencing a traumatic even or getting married and having children. </w:t>
      </w:r>
      <w:r w:rsidR="00EB238D">
        <w:rPr>
          <w:rFonts w:eastAsia="Times New Roman"/>
          <w:lang w:val="en-US"/>
        </w:rPr>
        <w:t xml:space="preserve">Saint Augustine discussed human nature in his analysis of time, aspects of human nature include what humans give personal importance to. By nature, humans are not necessarily rational and do not always possess temporal neutrality. </w:t>
      </w:r>
      <w:r>
        <w:rPr>
          <w:rFonts w:eastAsia="Times New Roman"/>
          <w:lang w:val="en-US"/>
        </w:rPr>
        <w:t xml:space="preserve">These </w:t>
      </w:r>
      <w:r w:rsidR="00607E00">
        <w:rPr>
          <w:rFonts w:eastAsia="Times New Roman"/>
          <w:lang w:val="en-US"/>
        </w:rPr>
        <w:t xml:space="preserve">happenings, positive or negative, </w:t>
      </w:r>
      <w:r>
        <w:rPr>
          <w:rFonts w:eastAsia="Times New Roman"/>
          <w:lang w:val="en-US"/>
        </w:rPr>
        <w:t xml:space="preserve">hold a certain significance to present pleasures and pains. For example, if somebody was violently mugged ten years ago that may still cause present pain in the form of fear of strangers or PTSD. </w:t>
      </w:r>
      <w:r w:rsidR="00B21CC5">
        <w:rPr>
          <w:rFonts w:eastAsia="Times New Roman"/>
          <w:lang w:val="en-US"/>
        </w:rPr>
        <w:t xml:space="preserve">That one event that still carries personal repercussions ten years later should not hold anymore significance to present or future pains if one to be perfectly rational and temporally neutral. Therefore, it would be irrational to care more about this past event than about a current or future event. </w:t>
      </w:r>
    </w:p>
    <w:p w14:paraId="3BA7DCA8" w14:textId="77777777" w:rsidR="00775EAF" w:rsidRDefault="00775EAF" w:rsidP="005C69B9">
      <w:pPr>
        <w:widowControl w:val="0"/>
        <w:autoSpaceDE w:val="0"/>
        <w:autoSpaceDN w:val="0"/>
        <w:adjustRightInd w:val="0"/>
        <w:spacing w:after="0" w:line="480" w:lineRule="auto"/>
        <w:ind w:left="0" w:right="95"/>
        <w:rPr>
          <w:rFonts w:eastAsia="Times New Roman"/>
          <w:lang w:val="en-US"/>
        </w:rPr>
      </w:pPr>
    </w:p>
    <w:p w14:paraId="1AEAA31E" w14:textId="041488F4" w:rsidR="00775EAF" w:rsidRDefault="00775EAF" w:rsidP="005C69B9">
      <w:pPr>
        <w:widowControl w:val="0"/>
        <w:autoSpaceDE w:val="0"/>
        <w:autoSpaceDN w:val="0"/>
        <w:adjustRightInd w:val="0"/>
        <w:spacing w:after="0" w:line="480" w:lineRule="auto"/>
        <w:ind w:left="0" w:right="95"/>
        <w:rPr>
          <w:rFonts w:eastAsia="Times New Roman"/>
          <w:lang w:val="en-US"/>
        </w:rPr>
      </w:pPr>
      <w:r>
        <w:rPr>
          <w:rFonts w:eastAsia="Times New Roman"/>
          <w:lang w:val="en-US"/>
        </w:rPr>
        <w:t xml:space="preserve">Past pleasure is not typically thought about in the same way as past pain. When recalling past pleasures, it would be expected to be a positive experience rather than a negative one and repercussions of the experience may not have the same connotations. Somebody feeling an adrenaline rush and positive feelings after a pleasurable experience such as jumping out of a plane skydiving may not necessarily effect the person in such a profound way or for an extended period of time as the way the past pain of being violently mugged might. This does not mean that because it is a positive experience that it should be viewed as any more of a rational thought to give this experience greater importance than </w:t>
      </w:r>
      <w:r>
        <w:rPr>
          <w:rFonts w:eastAsia="Times New Roman"/>
          <w:lang w:val="en-US"/>
        </w:rPr>
        <w:lastRenderedPageBreak/>
        <w:t xml:space="preserve">present or future pleasure. </w:t>
      </w:r>
    </w:p>
    <w:p w14:paraId="6989CD5F" w14:textId="77777777" w:rsidR="004738B2" w:rsidRDefault="004738B2" w:rsidP="005C69B9">
      <w:pPr>
        <w:widowControl w:val="0"/>
        <w:autoSpaceDE w:val="0"/>
        <w:autoSpaceDN w:val="0"/>
        <w:adjustRightInd w:val="0"/>
        <w:spacing w:after="0" w:line="480" w:lineRule="auto"/>
        <w:ind w:left="0" w:right="95"/>
        <w:rPr>
          <w:rFonts w:eastAsia="Times New Roman"/>
          <w:lang w:val="en-US"/>
        </w:rPr>
      </w:pPr>
    </w:p>
    <w:p w14:paraId="0BD91B26" w14:textId="77777777" w:rsidR="004738B2" w:rsidRDefault="004738B2" w:rsidP="005C69B9">
      <w:pPr>
        <w:widowControl w:val="0"/>
        <w:autoSpaceDE w:val="0"/>
        <w:autoSpaceDN w:val="0"/>
        <w:adjustRightInd w:val="0"/>
        <w:spacing w:after="0" w:line="480" w:lineRule="auto"/>
        <w:ind w:left="0" w:right="95"/>
        <w:rPr>
          <w:rFonts w:eastAsia="Times New Roman"/>
          <w:lang w:val="en-US"/>
        </w:rPr>
      </w:pPr>
    </w:p>
    <w:p w14:paraId="2E888799" w14:textId="2FA05E03" w:rsidR="00445F07" w:rsidRDefault="00212F35" w:rsidP="00445F07">
      <w:pPr>
        <w:widowControl w:val="0"/>
        <w:autoSpaceDE w:val="0"/>
        <w:autoSpaceDN w:val="0"/>
        <w:adjustRightInd w:val="0"/>
        <w:spacing w:after="0" w:line="480" w:lineRule="auto"/>
        <w:ind w:left="0" w:right="95"/>
        <w:rPr>
          <w:rFonts w:eastAsia="Times New Roman"/>
          <w:lang w:val="en-US"/>
        </w:rPr>
      </w:pPr>
      <w:r>
        <w:rPr>
          <w:rFonts w:eastAsia="Times New Roman"/>
          <w:lang w:val="en-US"/>
        </w:rPr>
        <w:t xml:space="preserve">Arguments on whether it is different to care differently about future happenings can be highly complex. There is an essence of imagination involved in </w:t>
      </w:r>
      <w:r w:rsidR="004007EC">
        <w:rPr>
          <w:rFonts w:eastAsia="Times New Roman"/>
          <w:lang w:val="en-US"/>
        </w:rPr>
        <w:t xml:space="preserve">the experience of </w:t>
      </w:r>
      <w:r>
        <w:rPr>
          <w:rFonts w:eastAsia="Times New Roman"/>
          <w:lang w:val="en-US"/>
        </w:rPr>
        <w:t>future suffering as it is not currently happening no</w:t>
      </w:r>
      <w:r w:rsidR="004007EC">
        <w:rPr>
          <w:rFonts w:eastAsia="Times New Roman"/>
          <w:lang w:val="en-US"/>
        </w:rPr>
        <w:t>r</w:t>
      </w:r>
      <w:r>
        <w:rPr>
          <w:rFonts w:eastAsia="Times New Roman"/>
          <w:lang w:val="en-US"/>
        </w:rPr>
        <w:t xml:space="preserve"> has it already happening so one can only guess at how they may feel about the event.</w:t>
      </w:r>
      <w:r w:rsidR="005F61E3">
        <w:rPr>
          <w:rStyle w:val="FootnoteReference"/>
          <w:rFonts w:eastAsia="Times New Roman"/>
          <w:lang w:val="en-US"/>
        </w:rPr>
        <w:footnoteReference w:id="5"/>
      </w:r>
      <w:r>
        <w:rPr>
          <w:rFonts w:eastAsia="Times New Roman"/>
          <w:lang w:val="en-US"/>
        </w:rPr>
        <w:t xml:space="preserve"> </w:t>
      </w:r>
      <w:r w:rsidR="004007EC">
        <w:rPr>
          <w:rFonts w:eastAsia="Times New Roman"/>
          <w:lang w:val="en-US"/>
        </w:rPr>
        <w:t xml:space="preserve">A future suffering that is commonly thought about is death. This raises the question that has been philosophized for centuries, is it irrational to fear death? Fear of death is not unusual and for some is considered a future pain however, within philosophical discussions (Lucretius, Mitsis) the possibility of death being a future pain lives in the argument of if there is any form of existence after the death of the physical body. </w:t>
      </w:r>
      <w:r w:rsidR="00445F07">
        <w:rPr>
          <w:rFonts w:eastAsia="Times New Roman"/>
          <w:lang w:val="en-US"/>
        </w:rPr>
        <w:t xml:space="preserve">Lucretius argues in </w:t>
      </w:r>
      <w:r w:rsidR="00944E9D">
        <w:rPr>
          <w:rFonts w:eastAsia="Times New Roman"/>
          <w:i/>
          <w:iCs/>
          <w:lang w:val="en-US"/>
        </w:rPr>
        <w:t xml:space="preserve">De Rerum Natura </w:t>
      </w:r>
      <w:r w:rsidR="00445F07">
        <w:rPr>
          <w:rFonts w:eastAsia="Times New Roman"/>
          <w:lang w:val="en-US"/>
        </w:rPr>
        <w:t>that one should not fear death and that the soul does not carry on after death.</w:t>
      </w:r>
      <w:r w:rsidR="00445F07">
        <w:rPr>
          <w:rStyle w:val="FootnoteReference"/>
          <w:rFonts w:eastAsia="Times New Roman"/>
          <w:lang w:val="en-US"/>
        </w:rPr>
        <w:footnoteReference w:id="6"/>
      </w:r>
      <w:r w:rsidR="00445F07">
        <w:rPr>
          <w:rFonts w:eastAsia="Times New Roman"/>
          <w:lang w:val="en-US"/>
        </w:rPr>
        <w:t xml:space="preserve"> By stating that the soul cannot survive death, Lucretius uses this as an example for why we should not fear death, if the soul cannot survive then there could not be any reincarnation or punishment in any afterlife.</w:t>
      </w:r>
      <w:r w:rsidR="00445F07">
        <w:rPr>
          <w:rStyle w:val="FootnoteReference"/>
          <w:rFonts w:eastAsia="Times New Roman"/>
          <w:lang w:val="en-US"/>
        </w:rPr>
        <w:footnoteReference w:id="7"/>
      </w:r>
      <w:r w:rsidR="00445F07">
        <w:rPr>
          <w:rFonts w:eastAsia="Times New Roman"/>
          <w:lang w:val="en-US"/>
        </w:rPr>
        <w:t xml:space="preserve"> Lucretius justifies is theory that death should not be feared by stating </w:t>
      </w:r>
      <w:r w:rsidR="00445F07">
        <w:rPr>
          <w:rFonts w:eastAsia="Times New Roman"/>
          <w:lang w:val="en-US"/>
        </w:rPr>
        <w:lastRenderedPageBreak/>
        <w:t>that death is a complete destruction of ones existence, fear of death comes from the idea that there is some form of said person that can experience their non-existenc</w:t>
      </w:r>
      <w:r w:rsidR="00944E9D">
        <w:rPr>
          <w:rFonts w:eastAsia="Times New Roman"/>
          <w:lang w:val="en-US"/>
        </w:rPr>
        <w:t>e</w:t>
      </w:r>
      <w:r w:rsidR="00445F07">
        <w:rPr>
          <w:rFonts w:eastAsia="Times New Roman"/>
          <w:lang w:val="en-US"/>
        </w:rPr>
        <w:t>.</w:t>
      </w:r>
      <w:r w:rsidR="00445F07">
        <w:rPr>
          <w:rStyle w:val="FootnoteReference"/>
          <w:rFonts w:eastAsia="Times New Roman"/>
          <w:lang w:val="en-US"/>
        </w:rPr>
        <w:footnoteReference w:id="8"/>
      </w:r>
      <w:r w:rsidR="00445F07">
        <w:rPr>
          <w:rFonts w:eastAsia="Times New Roman"/>
          <w:lang w:val="en-US"/>
        </w:rPr>
        <w:t xml:space="preserve"> If there is nothing left to grieve this non-existence than there if nothing to fear as there is nothing to experience after death. </w:t>
      </w:r>
    </w:p>
    <w:p w14:paraId="3B1010F5" w14:textId="46C6C229" w:rsidR="00B21CC5" w:rsidRDefault="00B21CC5" w:rsidP="005C69B9">
      <w:pPr>
        <w:widowControl w:val="0"/>
        <w:autoSpaceDE w:val="0"/>
        <w:autoSpaceDN w:val="0"/>
        <w:adjustRightInd w:val="0"/>
        <w:spacing w:after="0" w:line="480" w:lineRule="auto"/>
        <w:ind w:left="0" w:right="95"/>
        <w:rPr>
          <w:rFonts w:eastAsia="Times New Roman"/>
          <w:lang w:val="en-US"/>
        </w:rPr>
      </w:pPr>
    </w:p>
    <w:p w14:paraId="3E8AC627" w14:textId="6CE097D6" w:rsidR="00445F07" w:rsidRDefault="00445F07" w:rsidP="005C69B9">
      <w:pPr>
        <w:widowControl w:val="0"/>
        <w:autoSpaceDE w:val="0"/>
        <w:autoSpaceDN w:val="0"/>
        <w:adjustRightInd w:val="0"/>
        <w:spacing w:after="0" w:line="480" w:lineRule="auto"/>
        <w:ind w:left="0" w:right="95"/>
        <w:rPr>
          <w:rFonts w:eastAsia="Times New Roman"/>
          <w:lang w:val="en-US"/>
        </w:rPr>
      </w:pPr>
    </w:p>
    <w:p w14:paraId="688A8A55" w14:textId="59BA95B4" w:rsidR="00445F07" w:rsidRDefault="00445F07" w:rsidP="00445F07">
      <w:pPr>
        <w:widowControl w:val="0"/>
        <w:autoSpaceDE w:val="0"/>
        <w:autoSpaceDN w:val="0"/>
        <w:adjustRightInd w:val="0"/>
        <w:spacing w:after="0" w:line="480" w:lineRule="auto"/>
        <w:ind w:left="0" w:right="95"/>
        <w:rPr>
          <w:rFonts w:eastAsia="Times New Roman"/>
          <w:lang w:val="en-US"/>
        </w:rPr>
      </w:pPr>
      <w:r>
        <w:rPr>
          <w:rFonts w:eastAsia="Times New Roman"/>
          <w:lang w:val="en-US"/>
        </w:rPr>
        <w:t>It is common for people to look to the future rather than living in the present (i.e. my life will be better in the future). Looking to the future becomes a problem within philosophy when the irrational nature of human beings is considered. People often fear death, Mitsis notes that by looking to the future one is naturally looking closer to their own death and therefore looking towards that which they fear, their future non-existence (p.307).</w:t>
      </w:r>
      <w:r>
        <w:rPr>
          <w:rStyle w:val="FootnoteReference"/>
          <w:rFonts w:eastAsia="Times New Roman"/>
          <w:lang w:val="en-US"/>
        </w:rPr>
        <w:footnoteReference w:id="9"/>
      </w:r>
      <w:r>
        <w:rPr>
          <w:rFonts w:eastAsia="Times New Roman"/>
          <w:lang w:val="en-US"/>
        </w:rPr>
        <w:t xml:space="preserve"> So for one to be temporally neutral and hold the same importance to their future non-existence it is irrational to fear death as an experience in the same way we experience pain and pleasure and according to Mitsis death is not an experience.</w:t>
      </w:r>
      <w:r>
        <w:rPr>
          <w:rStyle w:val="FootnoteReference"/>
          <w:rFonts w:eastAsia="Times New Roman"/>
          <w:lang w:val="en-US"/>
        </w:rPr>
        <w:footnoteReference w:id="10"/>
      </w:r>
      <w:r>
        <w:rPr>
          <w:rFonts w:eastAsia="Times New Roman"/>
          <w:lang w:val="en-US"/>
        </w:rPr>
        <w:t xml:space="preserve"> This then raises the argument of if it is rational to fear what one cannot experience, for example is it rational for someone with no uterus to fear the pain of childbirth. Standard logic and reasoning could suggest that this is an irrational fear therefore, if this is applied to future non-existence which we do </w:t>
      </w:r>
      <w:r>
        <w:rPr>
          <w:rFonts w:eastAsia="Times New Roman"/>
          <w:lang w:val="en-US"/>
        </w:rPr>
        <w:lastRenderedPageBreak/>
        <w:t>not experience, it is irrational to fear death. Saint Augustine in his discussion of time that “once it has passed it no longer is, and therefore cannot be measured”, thus, once death occurred it no longer is.</w:t>
      </w:r>
      <w:r>
        <w:rPr>
          <w:rStyle w:val="FootnoteReference"/>
          <w:rFonts w:eastAsia="Times New Roman"/>
          <w:lang w:val="en-US"/>
        </w:rPr>
        <w:footnoteReference w:id="11"/>
      </w:r>
      <w:r>
        <w:rPr>
          <w:rFonts w:eastAsia="Times New Roman"/>
          <w:lang w:val="en-US"/>
        </w:rPr>
        <w:t xml:space="preserve"> </w:t>
      </w:r>
    </w:p>
    <w:p w14:paraId="7F2DEC7E" w14:textId="77777777" w:rsidR="00445F07" w:rsidRDefault="00445F07" w:rsidP="005C69B9">
      <w:pPr>
        <w:widowControl w:val="0"/>
        <w:autoSpaceDE w:val="0"/>
        <w:autoSpaceDN w:val="0"/>
        <w:adjustRightInd w:val="0"/>
        <w:spacing w:after="0" w:line="480" w:lineRule="auto"/>
        <w:ind w:left="0" w:right="95"/>
        <w:rPr>
          <w:rFonts w:eastAsia="Times New Roman"/>
          <w:lang w:val="en-US"/>
        </w:rPr>
      </w:pPr>
    </w:p>
    <w:p w14:paraId="48F5D528" w14:textId="0524D5B0" w:rsidR="00EA790A" w:rsidRDefault="004007EC" w:rsidP="005C69B9">
      <w:pPr>
        <w:widowControl w:val="0"/>
        <w:autoSpaceDE w:val="0"/>
        <w:autoSpaceDN w:val="0"/>
        <w:adjustRightInd w:val="0"/>
        <w:spacing w:after="0" w:line="480" w:lineRule="auto"/>
        <w:ind w:left="0" w:right="95"/>
        <w:rPr>
          <w:rFonts w:eastAsia="Times New Roman"/>
          <w:lang w:val="en-US"/>
        </w:rPr>
      </w:pPr>
      <w:r>
        <w:rPr>
          <w:rFonts w:eastAsia="Times New Roman"/>
          <w:lang w:val="en-US"/>
        </w:rPr>
        <w:t xml:space="preserve">On the reverse of pain is pleasure, which then asks the question of if we should care more about future pleasure the past or present pleasure. </w:t>
      </w:r>
      <w:r w:rsidR="00EA790A">
        <w:rPr>
          <w:rFonts w:eastAsia="Times New Roman"/>
          <w:lang w:val="en-US"/>
        </w:rPr>
        <w:t xml:space="preserve">An example of giving greater importance to future pleasure over past or present pleasure is imagining that we are yet to experience the best pleasure of our life, regardless of whether we actually participate in a similar experience again. As there is not certainly that this experience will ever come to be it is completely irrational to give the possibility of the experience greater importance over pleasures that one is currently experiencing or has experienced in the past. </w:t>
      </w:r>
    </w:p>
    <w:p w14:paraId="0D9C981C" w14:textId="77777777" w:rsidR="00212F35" w:rsidRDefault="00212F35" w:rsidP="005C69B9">
      <w:pPr>
        <w:widowControl w:val="0"/>
        <w:autoSpaceDE w:val="0"/>
        <w:autoSpaceDN w:val="0"/>
        <w:adjustRightInd w:val="0"/>
        <w:spacing w:after="0" w:line="480" w:lineRule="auto"/>
        <w:ind w:left="0" w:right="95"/>
        <w:rPr>
          <w:rFonts w:eastAsia="Times New Roman"/>
          <w:lang w:val="en-US"/>
        </w:rPr>
      </w:pPr>
    </w:p>
    <w:p w14:paraId="00E18854" w14:textId="3DEDDC04" w:rsidR="00B21CC5" w:rsidRDefault="00B21CC5" w:rsidP="005C69B9">
      <w:pPr>
        <w:widowControl w:val="0"/>
        <w:autoSpaceDE w:val="0"/>
        <w:autoSpaceDN w:val="0"/>
        <w:adjustRightInd w:val="0"/>
        <w:spacing w:after="0" w:line="480" w:lineRule="auto"/>
        <w:ind w:left="0" w:right="95"/>
        <w:rPr>
          <w:rFonts w:eastAsia="Times New Roman"/>
          <w:lang w:val="en-US"/>
        </w:rPr>
      </w:pPr>
      <w:r>
        <w:rPr>
          <w:rFonts w:eastAsia="Times New Roman"/>
          <w:lang w:val="en-US"/>
        </w:rPr>
        <w:t>People do not possess experiences before their existence (before their conception or birth). It could be considered irrational to hold significance to care largely about ones own past non-existence. However, that does not necessarily mean that we should not hold any significance to historical events before our own existence.</w:t>
      </w:r>
      <w:r w:rsidR="00E560AF" w:rsidRPr="00E560AF">
        <w:rPr>
          <w:rFonts w:eastAsia="Times New Roman"/>
          <w:lang w:val="en-US"/>
        </w:rPr>
        <w:t xml:space="preserve"> </w:t>
      </w:r>
      <w:r w:rsidR="00E560AF">
        <w:rPr>
          <w:rFonts w:eastAsia="Times New Roman"/>
          <w:lang w:val="en-US"/>
        </w:rPr>
        <w:t>Adam Smith proposed prudence as a form of self-interest.</w:t>
      </w:r>
      <w:r w:rsidR="00E560AF">
        <w:rPr>
          <w:rStyle w:val="FootnoteReference"/>
          <w:rFonts w:eastAsia="Times New Roman"/>
          <w:lang w:val="en-US"/>
        </w:rPr>
        <w:footnoteReference w:id="12"/>
      </w:r>
      <w:r w:rsidR="00E560AF">
        <w:rPr>
          <w:rFonts w:eastAsia="Times New Roman"/>
          <w:lang w:val="en-US"/>
        </w:rPr>
        <w:t xml:space="preserve"> This creates a problem of conflict thought processes, the problem </w:t>
      </w:r>
      <w:r w:rsidR="00E560AF">
        <w:rPr>
          <w:rFonts w:eastAsia="Times New Roman"/>
          <w:lang w:val="en-US"/>
        </w:rPr>
        <w:lastRenderedPageBreak/>
        <w:t>being having sympathy for others and also maintaining a self-interest</w:t>
      </w:r>
      <w:bookmarkStart w:id="0" w:name="_GoBack"/>
      <w:bookmarkEnd w:id="0"/>
      <w:r w:rsidR="00E560AF">
        <w:rPr>
          <w:rFonts w:eastAsia="Times New Roman"/>
          <w:lang w:val="en-US"/>
        </w:rPr>
        <w:t>.</w:t>
      </w:r>
      <w:r w:rsidR="00E560AF">
        <w:rPr>
          <w:rStyle w:val="FootnoteReference"/>
          <w:rFonts w:eastAsia="Times New Roman"/>
          <w:lang w:val="en-US"/>
        </w:rPr>
        <w:footnoteReference w:id="13"/>
      </w:r>
      <w:r w:rsidR="00E560AF">
        <w:rPr>
          <w:rFonts w:eastAsia="Times New Roman"/>
          <w:lang w:val="en-US"/>
        </w:rPr>
        <w:t xml:space="preserve"> There is a tendency for human beings to give a higher importance to their own personal well-being and experiences </w:t>
      </w:r>
      <w:r w:rsidR="00EB238D">
        <w:rPr>
          <w:rFonts w:eastAsia="Times New Roman"/>
          <w:lang w:val="en-US"/>
        </w:rPr>
        <w:t xml:space="preserve">which can make arguments on past non-existence slightly controversial in that is past non-existence only important if it is our own or does it claim the same level of importance if the past non-existence belongs to another person. </w:t>
      </w:r>
      <w:r>
        <w:rPr>
          <w:rFonts w:eastAsia="Times New Roman"/>
          <w:lang w:val="en-US"/>
        </w:rPr>
        <w:t xml:space="preserve"> For example, the past suffering of those during the slave trade or the holocaust happened within a persons past non-existence but still holds significance. </w:t>
      </w:r>
      <w:r w:rsidR="004E0F25">
        <w:rPr>
          <w:rFonts w:eastAsia="Times New Roman"/>
          <w:lang w:val="en-US"/>
        </w:rPr>
        <w:t>This does not mean that there is greater care given for personal past non-existence but that there is care for events that took place during a persons past non-existence.</w:t>
      </w:r>
      <w:r w:rsidR="00EA790A">
        <w:rPr>
          <w:rFonts w:eastAsia="Times New Roman"/>
          <w:lang w:val="en-US"/>
        </w:rPr>
        <w:t xml:space="preserve"> Past non-existence can become highly complex when personal religious beliefs or experiences are considered</w:t>
      </w:r>
      <w:r w:rsidR="004738B2">
        <w:rPr>
          <w:rFonts w:eastAsia="Times New Roman"/>
          <w:lang w:val="en-US"/>
        </w:rPr>
        <w:t xml:space="preserve"> especially when some philosophy is written with religious connotations</w:t>
      </w:r>
      <w:r w:rsidR="00EA790A">
        <w:rPr>
          <w:rFonts w:eastAsia="Times New Roman"/>
          <w:lang w:val="en-US"/>
        </w:rPr>
        <w:t>. Within certain religions there is the belief in reincarnation and therefore there is a form of said person that ha</w:t>
      </w:r>
      <w:r w:rsidR="004738B2">
        <w:rPr>
          <w:rFonts w:eastAsia="Times New Roman"/>
          <w:lang w:val="en-US"/>
        </w:rPr>
        <w:t>d</w:t>
      </w:r>
      <w:r w:rsidR="00EA790A">
        <w:rPr>
          <w:rFonts w:eastAsia="Times New Roman"/>
          <w:lang w:val="en-US"/>
        </w:rPr>
        <w:t xml:space="preserve"> exper</w:t>
      </w:r>
      <w:r w:rsidR="004738B2">
        <w:rPr>
          <w:rFonts w:eastAsia="Times New Roman"/>
          <w:lang w:val="en-US"/>
        </w:rPr>
        <w:t xml:space="preserve">iences before their current forms past non-existence. </w:t>
      </w:r>
    </w:p>
    <w:p w14:paraId="4E08506B" w14:textId="77777777" w:rsidR="00435C3F" w:rsidRDefault="00435C3F" w:rsidP="005C69B9">
      <w:pPr>
        <w:widowControl w:val="0"/>
        <w:autoSpaceDE w:val="0"/>
        <w:autoSpaceDN w:val="0"/>
        <w:adjustRightInd w:val="0"/>
        <w:spacing w:after="0" w:line="480" w:lineRule="auto"/>
        <w:ind w:left="0" w:right="95"/>
        <w:rPr>
          <w:rFonts w:eastAsia="Times New Roman"/>
          <w:lang w:val="en-US"/>
        </w:rPr>
      </w:pPr>
    </w:p>
    <w:p w14:paraId="1E766092" w14:textId="5624F242" w:rsidR="00E973C6" w:rsidRDefault="00E973C6" w:rsidP="005C69B9">
      <w:pPr>
        <w:widowControl w:val="0"/>
        <w:autoSpaceDE w:val="0"/>
        <w:autoSpaceDN w:val="0"/>
        <w:adjustRightInd w:val="0"/>
        <w:spacing w:after="0" w:line="480" w:lineRule="auto"/>
        <w:ind w:left="0" w:right="95"/>
        <w:rPr>
          <w:rFonts w:eastAsia="Times New Roman"/>
          <w:lang w:val="en-US"/>
        </w:rPr>
      </w:pPr>
      <w:r>
        <w:rPr>
          <w:rFonts w:eastAsia="Times New Roman"/>
          <w:lang w:val="en-US"/>
        </w:rPr>
        <w:t>Smith also propose</w:t>
      </w:r>
      <w:r w:rsidR="00780330">
        <w:rPr>
          <w:rFonts w:eastAsia="Times New Roman"/>
          <w:lang w:val="en-US"/>
        </w:rPr>
        <w:t>d</w:t>
      </w:r>
      <w:r>
        <w:rPr>
          <w:rFonts w:eastAsia="Times New Roman"/>
          <w:lang w:val="en-US"/>
        </w:rPr>
        <w:t xml:space="preserve"> the concept on the impartial spectator</w:t>
      </w:r>
      <w:r w:rsidR="00780330">
        <w:rPr>
          <w:rFonts w:eastAsia="Times New Roman"/>
          <w:lang w:val="en-US"/>
        </w:rPr>
        <w:t xml:space="preserve"> this</w:t>
      </w:r>
      <w:r>
        <w:rPr>
          <w:rFonts w:eastAsia="Times New Roman"/>
          <w:lang w:val="en-US"/>
        </w:rPr>
        <w:t xml:space="preserve"> </w:t>
      </w:r>
      <w:r w:rsidR="00780330">
        <w:rPr>
          <w:rFonts w:eastAsia="Times New Roman"/>
          <w:lang w:val="en-US"/>
        </w:rPr>
        <w:t>h</w:t>
      </w:r>
      <w:r>
        <w:rPr>
          <w:rFonts w:eastAsia="Times New Roman"/>
          <w:lang w:val="en-US"/>
        </w:rPr>
        <w:t>as</w:t>
      </w:r>
      <w:r w:rsidR="00780330">
        <w:rPr>
          <w:rFonts w:eastAsia="Times New Roman"/>
          <w:lang w:val="en-US"/>
        </w:rPr>
        <w:t xml:space="preserve"> also</w:t>
      </w:r>
      <w:r>
        <w:rPr>
          <w:rFonts w:eastAsia="Times New Roman"/>
          <w:lang w:val="en-US"/>
        </w:rPr>
        <w:t xml:space="preserve"> been used by later philosop</w:t>
      </w:r>
      <w:r w:rsidR="00780330">
        <w:rPr>
          <w:rFonts w:eastAsia="Times New Roman"/>
          <w:lang w:val="en-US"/>
        </w:rPr>
        <w:t>hers</w:t>
      </w:r>
      <w:r>
        <w:rPr>
          <w:rFonts w:eastAsia="Times New Roman"/>
          <w:lang w:val="en-US"/>
        </w:rPr>
        <w:t xml:space="preserve"> in the study of ethics. The impartial spectator</w:t>
      </w:r>
      <w:r w:rsidR="00780330">
        <w:rPr>
          <w:rFonts w:eastAsia="Times New Roman"/>
          <w:lang w:val="en-US"/>
        </w:rPr>
        <w:t>, as proposed by Smith</w:t>
      </w:r>
      <w:r>
        <w:rPr>
          <w:rFonts w:eastAsia="Times New Roman"/>
          <w:lang w:val="en-US"/>
        </w:rPr>
        <w:t xml:space="preserve"> is an internal impartial third party that objectively judges ethics.</w:t>
      </w:r>
      <w:r w:rsidR="00347390">
        <w:rPr>
          <w:rFonts w:eastAsia="Times New Roman"/>
          <w:lang w:val="en-US"/>
        </w:rPr>
        <w:t xml:space="preserve"> This is a highly important part for the philosophy of time, ethics and </w:t>
      </w:r>
      <w:r w:rsidR="00347390">
        <w:rPr>
          <w:rFonts w:eastAsia="Times New Roman"/>
          <w:lang w:val="en-US"/>
        </w:rPr>
        <w:lastRenderedPageBreak/>
        <w:t>rationality as without the prospect of an impartial spectator one cannot judge their own actions as anything other than a happening solely in the present. The presence of an impartial spectator that judges our own actions past and present gives one the opportunity to analyse their thoughts and behaviours and the importance they hold as well as conclude if they are rational or irrational.</w:t>
      </w:r>
    </w:p>
    <w:p w14:paraId="61E4E541" w14:textId="77777777" w:rsidR="00435C3F" w:rsidRDefault="00435C3F" w:rsidP="005C69B9">
      <w:pPr>
        <w:widowControl w:val="0"/>
        <w:autoSpaceDE w:val="0"/>
        <w:autoSpaceDN w:val="0"/>
        <w:adjustRightInd w:val="0"/>
        <w:spacing w:after="0" w:line="480" w:lineRule="auto"/>
        <w:ind w:left="0" w:right="95"/>
        <w:rPr>
          <w:rFonts w:eastAsia="Times New Roman"/>
          <w:lang w:val="en-US"/>
        </w:rPr>
      </w:pPr>
    </w:p>
    <w:p w14:paraId="5279ADE3" w14:textId="59651111" w:rsidR="00E973C6" w:rsidRDefault="00E973C6" w:rsidP="005C69B9">
      <w:pPr>
        <w:widowControl w:val="0"/>
        <w:autoSpaceDE w:val="0"/>
        <w:autoSpaceDN w:val="0"/>
        <w:adjustRightInd w:val="0"/>
        <w:spacing w:after="0" w:line="480" w:lineRule="auto"/>
        <w:ind w:left="0" w:right="95"/>
        <w:rPr>
          <w:rFonts w:eastAsia="Times New Roman"/>
          <w:lang w:val="en-US"/>
        </w:rPr>
      </w:pPr>
      <w:r>
        <w:rPr>
          <w:rFonts w:eastAsia="Times New Roman"/>
          <w:lang w:val="en-US"/>
        </w:rPr>
        <w:t xml:space="preserve">Within Smith’s writings there are ideas of stoicism which </w:t>
      </w:r>
      <w:r w:rsidR="00EB238D">
        <w:rPr>
          <w:rFonts w:eastAsia="Times New Roman"/>
          <w:lang w:val="en-US"/>
        </w:rPr>
        <w:t>at the time of the emergence of stoicism it was thought of as more than just philosophy, it was a form of guidance into a specific way of life which was to supposed to benefit the followers of this school of thought.</w:t>
      </w:r>
      <w:r w:rsidR="00EB238D">
        <w:rPr>
          <w:rStyle w:val="FootnoteReference"/>
          <w:rFonts w:eastAsia="Times New Roman"/>
          <w:lang w:val="en-US"/>
        </w:rPr>
        <w:footnoteReference w:id="14"/>
      </w:r>
      <w:r w:rsidR="00EB238D">
        <w:rPr>
          <w:rFonts w:eastAsia="Times New Roman"/>
          <w:lang w:val="en-US"/>
        </w:rPr>
        <w:t xml:space="preserve"> </w:t>
      </w:r>
      <w:r w:rsidR="007A1637">
        <w:rPr>
          <w:rFonts w:eastAsia="Times New Roman"/>
          <w:lang w:val="en-US"/>
        </w:rPr>
        <w:t>Self-command</w:t>
      </w:r>
      <w:r w:rsidR="00780330">
        <w:rPr>
          <w:rFonts w:eastAsia="Times New Roman"/>
          <w:lang w:val="en-US"/>
        </w:rPr>
        <w:t xml:space="preserve"> </w:t>
      </w:r>
      <w:r w:rsidR="00EB238D">
        <w:rPr>
          <w:rFonts w:eastAsia="Times New Roman"/>
          <w:lang w:val="en-US"/>
        </w:rPr>
        <w:t xml:space="preserve">or the commanding faculty was considered a virtue by Smith and it </w:t>
      </w:r>
      <w:r w:rsidR="00780330">
        <w:rPr>
          <w:rFonts w:eastAsia="Times New Roman"/>
          <w:lang w:val="en-US"/>
        </w:rPr>
        <w:t xml:space="preserve">is </w:t>
      </w:r>
      <w:r w:rsidR="00EB238D">
        <w:rPr>
          <w:rFonts w:eastAsia="Times New Roman"/>
          <w:lang w:val="en-US"/>
        </w:rPr>
        <w:t>an</w:t>
      </w:r>
      <w:r w:rsidR="00780330">
        <w:rPr>
          <w:rFonts w:eastAsia="Times New Roman"/>
          <w:lang w:val="en-US"/>
        </w:rPr>
        <w:t xml:space="preserve"> idea that</w:t>
      </w:r>
      <w:r w:rsidR="007A1637">
        <w:rPr>
          <w:rFonts w:eastAsia="Times New Roman"/>
          <w:lang w:val="en-US"/>
        </w:rPr>
        <w:t xml:space="preserve"> </w:t>
      </w:r>
      <w:r w:rsidR="00EB238D">
        <w:rPr>
          <w:rFonts w:eastAsia="Times New Roman"/>
          <w:lang w:val="en-US"/>
        </w:rPr>
        <w:t>uses rationale to give a basis for ways of life and behaviours, including</w:t>
      </w:r>
      <w:r w:rsidR="00780330">
        <w:rPr>
          <w:rFonts w:eastAsia="Times New Roman"/>
          <w:lang w:val="en-US"/>
        </w:rPr>
        <w:t xml:space="preserve"> the</w:t>
      </w:r>
      <w:r w:rsidR="007A1637">
        <w:rPr>
          <w:rFonts w:eastAsia="Times New Roman"/>
          <w:lang w:val="en-US"/>
        </w:rPr>
        <w:t xml:space="preserve"> thought that one should work hard now so that they may enjoy themselves later</w:t>
      </w:r>
      <w:r w:rsidR="00EB238D">
        <w:rPr>
          <w:rFonts w:eastAsia="Times New Roman"/>
          <w:lang w:val="en-US"/>
        </w:rPr>
        <w:t>.</w:t>
      </w:r>
      <w:r w:rsidR="00EB238D">
        <w:rPr>
          <w:rStyle w:val="FootnoteReference"/>
          <w:rFonts w:eastAsia="Times New Roman"/>
          <w:lang w:val="en-US"/>
        </w:rPr>
        <w:footnoteReference w:id="15"/>
      </w:r>
      <w:r w:rsidR="007A1637">
        <w:rPr>
          <w:rFonts w:eastAsia="Times New Roman"/>
          <w:lang w:val="en-US"/>
        </w:rPr>
        <w:t xml:space="preserve"> </w:t>
      </w:r>
    </w:p>
    <w:p w14:paraId="27C130DB" w14:textId="768A20CA" w:rsidR="00435C3F" w:rsidRDefault="00435C3F" w:rsidP="005C69B9">
      <w:pPr>
        <w:widowControl w:val="0"/>
        <w:autoSpaceDE w:val="0"/>
        <w:autoSpaceDN w:val="0"/>
        <w:adjustRightInd w:val="0"/>
        <w:spacing w:after="0" w:line="480" w:lineRule="auto"/>
        <w:ind w:left="0" w:right="95"/>
        <w:rPr>
          <w:rFonts w:eastAsia="Times New Roman"/>
          <w:lang w:val="en-US"/>
        </w:rPr>
      </w:pPr>
    </w:p>
    <w:p w14:paraId="3A3584BF" w14:textId="73CB8D62" w:rsidR="00607E00" w:rsidRDefault="00607E00" w:rsidP="00607E00">
      <w:pPr>
        <w:widowControl w:val="0"/>
        <w:autoSpaceDE w:val="0"/>
        <w:autoSpaceDN w:val="0"/>
        <w:adjustRightInd w:val="0"/>
        <w:spacing w:after="0" w:line="480" w:lineRule="auto"/>
        <w:ind w:left="0" w:right="95"/>
        <w:rPr>
          <w:rFonts w:eastAsia="Times New Roman"/>
          <w:lang w:val="en-US"/>
        </w:rPr>
      </w:pPr>
      <w:r>
        <w:rPr>
          <w:rFonts w:eastAsia="Times New Roman"/>
          <w:lang w:val="en-US"/>
        </w:rPr>
        <w:t xml:space="preserve">For these aspects of stoicism to be accurate it requires our knowledge of time to also be correct, it our understanding of past, present and future are inaccurate then it diminishes any importance of happenings completely. </w:t>
      </w:r>
      <w:r>
        <w:rPr>
          <w:rFonts w:eastAsia="Times New Roman"/>
          <w:lang w:val="en-US"/>
        </w:rPr>
        <w:t xml:space="preserve">Saint Augustine states that “no one can measure either when it is past and no longer exists, or when it is future and does not yet exist – unless he is bold enough to </w:t>
      </w:r>
      <w:r>
        <w:rPr>
          <w:rFonts w:eastAsia="Times New Roman"/>
          <w:lang w:val="en-US"/>
        </w:rPr>
        <w:lastRenderedPageBreak/>
        <w:t>claim what does not exist can be measured”.</w:t>
      </w:r>
      <w:r>
        <w:rPr>
          <w:rStyle w:val="FootnoteReference"/>
          <w:rFonts w:eastAsia="Times New Roman"/>
          <w:lang w:val="en-US"/>
        </w:rPr>
        <w:footnoteReference w:id="16"/>
      </w:r>
      <w:r>
        <w:rPr>
          <w:rFonts w:eastAsia="Times New Roman"/>
          <w:lang w:val="en-US"/>
        </w:rPr>
        <w:t xml:space="preserve">  </w:t>
      </w:r>
      <w:r>
        <w:rPr>
          <w:rFonts w:eastAsia="Times New Roman"/>
          <w:lang w:val="en-US"/>
        </w:rPr>
        <w:t>Augustine is philosophizing that we can only measure what exists and to give importance to some happening we must be able to measure it or compare it to another happening.</w:t>
      </w:r>
      <w:r>
        <w:rPr>
          <w:rStyle w:val="FootnoteReference"/>
          <w:rFonts w:eastAsia="Times New Roman"/>
          <w:lang w:val="en-US"/>
        </w:rPr>
        <w:footnoteReference w:id="17"/>
      </w:r>
      <w:r>
        <w:rPr>
          <w:rFonts w:eastAsia="Times New Roman"/>
          <w:lang w:val="en-US"/>
        </w:rPr>
        <w:t xml:space="preserve"> This can therefore suggest that only with the existence of past, present and future can we give any significance to some happening. </w:t>
      </w:r>
    </w:p>
    <w:p w14:paraId="2C18E968" w14:textId="32325639" w:rsidR="00607E00" w:rsidRDefault="00607E00" w:rsidP="005C69B9">
      <w:pPr>
        <w:widowControl w:val="0"/>
        <w:autoSpaceDE w:val="0"/>
        <w:autoSpaceDN w:val="0"/>
        <w:adjustRightInd w:val="0"/>
        <w:spacing w:after="0" w:line="480" w:lineRule="auto"/>
        <w:ind w:left="0" w:right="95"/>
        <w:rPr>
          <w:rFonts w:eastAsia="Times New Roman"/>
          <w:lang w:val="en-US"/>
        </w:rPr>
      </w:pPr>
    </w:p>
    <w:p w14:paraId="7888DD7A" w14:textId="62FAFC51" w:rsidR="007A1637" w:rsidRDefault="007A1637" w:rsidP="005C69B9">
      <w:pPr>
        <w:widowControl w:val="0"/>
        <w:autoSpaceDE w:val="0"/>
        <w:autoSpaceDN w:val="0"/>
        <w:adjustRightInd w:val="0"/>
        <w:spacing w:after="0" w:line="480" w:lineRule="auto"/>
        <w:ind w:left="0" w:right="95"/>
        <w:rPr>
          <w:rFonts w:eastAsia="Times New Roman"/>
          <w:lang w:val="en-US"/>
        </w:rPr>
      </w:pPr>
    </w:p>
    <w:p w14:paraId="51AE9E9E" w14:textId="675184FB" w:rsidR="00435C3F" w:rsidRDefault="00445F07" w:rsidP="005C69B9">
      <w:pPr>
        <w:widowControl w:val="0"/>
        <w:autoSpaceDE w:val="0"/>
        <w:autoSpaceDN w:val="0"/>
        <w:adjustRightInd w:val="0"/>
        <w:spacing w:after="0" w:line="480" w:lineRule="auto"/>
        <w:ind w:left="0" w:right="95"/>
        <w:rPr>
          <w:rFonts w:eastAsia="Times New Roman"/>
          <w:lang w:val="en-US"/>
        </w:rPr>
      </w:pPr>
      <w:r>
        <w:rPr>
          <w:rFonts w:eastAsia="Times New Roman"/>
          <w:lang w:val="en-US"/>
        </w:rPr>
        <w:t xml:space="preserve">When all arguments of the past, present and future happenings and the rationality of their importance are considered it creates a clear idea that if one were to be completely rational matters concerning personal importance </w:t>
      </w:r>
      <w:r w:rsidR="00ED65C1">
        <w:rPr>
          <w:rFonts w:eastAsia="Times New Roman"/>
          <w:lang w:val="en-US"/>
        </w:rPr>
        <w:t xml:space="preserve">of some happening are a wholly unnecessary part of life. This </w:t>
      </w:r>
      <w:r w:rsidR="00347390">
        <w:rPr>
          <w:rFonts w:eastAsia="Times New Roman"/>
          <w:lang w:val="en-US"/>
        </w:rPr>
        <w:t xml:space="preserve">may however be slightly contradictory regarding happenings irrationally and with greater or lesser personal importance allows for the ideas of what is wholly rational and important. </w:t>
      </w:r>
      <w:r w:rsidR="00ED65C1">
        <w:rPr>
          <w:rFonts w:eastAsia="Times New Roman"/>
          <w:lang w:val="en-US"/>
        </w:rPr>
        <w:t xml:space="preserve">To be rational and consider all possibilities of an event and consequences of said even is sometimes thought of as a more mathematical train of thought rather than a philosophical one. To philosophize ideas of rationality it requires one to take out essential parts of what makes one human such as feelings of pain, pleasure, existence and non-existence. This does not </w:t>
      </w:r>
      <w:r w:rsidR="00ED65C1">
        <w:rPr>
          <w:rFonts w:eastAsia="Times New Roman"/>
          <w:lang w:val="en-US"/>
        </w:rPr>
        <w:lastRenderedPageBreak/>
        <w:t xml:space="preserve">however mean that to be fully rational is to be inhumane. Recognizing that we as humans possess large amounts of irrational thoughts and beliefs may in fact make one more rational and more humane, in that it gives one the capacity to create a view that is not only from their own perspective and intrinsically selfish but view the feelings and experiences with the same level of care an importance as they view their own. If one was to gain the capacity to view their own life through a temporally neural perspective and then by association adapt their views to a more rational standpoint for other human beings and happenings of the past and present it would theoretically make them a completely rational human being. </w:t>
      </w:r>
    </w:p>
    <w:p w14:paraId="55556A1A" w14:textId="77777777" w:rsidR="00435C3F" w:rsidRDefault="00435C3F" w:rsidP="005C69B9">
      <w:pPr>
        <w:widowControl w:val="0"/>
        <w:autoSpaceDE w:val="0"/>
        <w:autoSpaceDN w:val="0"/>
        <w:adjustRightInd w:val="0"/>
        <w:spacing w:after="0" w:line="480" w:lineRule="auto"/>
        <w:ind w:left="0" w:right="95"/>
        <w:rPr>
          <w:rFonts w:eastAsia="Times New Roman"/>
          <w:lang w:val="en-US"/>
        </w:rPr>
      </w:pPr>
    </w:p>
    <w:p w14:paraId="1F570016" w14:textId="77777777" w:rsidR="003C5098" w:rsidRDefault="003C5098" w:rsidP="005C69B9">
      <w:pPr>
        <w:widowControl w:val="0"/>
        <w:autoSpaceDE w:val="0"/>
        <w:autoSpaceDN w:val="0"/>
        <w:adjustRightInd w:val="0"/>
        <w:spacing w:after="0" w:line="480" w:lineRule="auto"/>
        <w:ind w:left="0" w:right="95"/>
        <w:rPr>
          <w:rFonts w:eastAsia="Times New Roman"/>
          <w:lang w:val="en-US"/>
        </w:rPr>
      </w:pPr>
    </w:p>
    <w:p w14:paraId="149C7F61" w14:textId="4FA47FD6" w:rsidR="00347390" w:rsidRDefault="00347390">
      <w:pPr>
        <w:spacing w:line="259" w:lineRule="auto"/>
        <w:ind w:left="0" w:right="0"/>
        <w:rPr>
          <w:rFonts w:eastAsia="Times New Roman"/>
          <w:lang w:val="en-US"/>
        </w:rPr>
      </w:pPr>
      <w:r>
        <w:rPr>
          <w:rFonts w:eastAsia="Times New Roman"/>
          <w:lang w:val="en-US"/>
        </w:rPr>
        <w:br w:type="page"/>
      </w:r>
    </w:p>
    <w:p w14:paraId="74C91FBD" w14:textId="77777777" w:rsidR="00435C3F" w:rsidRDefault="00435C3F" w:rsidP="005C69B9">
      <w:pPr>
        <w:widowControl w:val="0"/>
        <w:autoSpaceDE w:val="0"/>
        <w:autoSpaceDN w:val="0"/>
        <w:adjustRightInd w:val="0"/>
        <w:spacing w:after="0" w:line="480" w:lineRule="auto"/>
        <w:ind w:left="0" w:right="95"/>
        <w:rPr>
          <w:rFonts w:eastAsia="Times New Roman"/>
          <w:lang w:val="en-US"/>
        </w:rPr>
      </w:pPr>
    </w:p>
    <w:p w14:paraId="394C7B03" w14:textId="48F7A58C" w:rsidR="003C5098" w:rsidRDefault="00347390" w:rsidP="005C69B9">
      <w:pPr>
        <w:widowControl w:val="0"/>
        <w:autoSpaceDE w:val="0"/>
        <w:autoSpaceDN w:val="0"/>
        <w:adjustRightInd w:val="0"/>
        <w:spacing w:after="0" w:line="480" w:lineRule="auto"/>
        <w:ind w:left="0" w:right="95"/>
        <w:rPr>
          <w:rFonts w:eastAsia="Times New Roman"/>
          <w:lang w:val="en-US"/>
        </w:rPr>
      </w:pPr>
      <w:r>
        <w:rPr>
          <w:rFonts w:eastAsia="Times New Roman"/>
          <w:lang w:val="en-US"/>
        </w:rPr>
        <w:t>Bibliography:</w:t>
      </w:r>
    </w:p>
    <w:p w14:paraId="49073A5C" w14:textId="77777777" w:rsidR="00347390" w:rsidRPr="00347390" w:rsidRDefault="00347390" w:rsidP="00347390">
      <w:pPr>
        <w:pStyle w:val="Bibliography"/>
      </w:pPr>
      <w:r>
        <w:rPr>
          <w:rFonts w:eastAsia="Times New Roman"/>
          <w:lang w:val="en-US"/>
        </w:rPr>
        <w:fldChar w:fldCharType="begin"/>
      </w:r>
      <w:r>
        <w:rPr>
          <w:rFonts w:eastAsia="Times New Roman"/>
          <w:lang w:val="en-US"/>
        </w:rPr>
        <w:instrText xml:space="preserve"> ADDIN ZOTERO_BIBL {"uncited":[],"omitted":[],"custom":[]} CSL_BIBLIOGRAPHY </w:instrText>
      </w:r>
      <w:r>
        <w:rPr>
          <w:rFonts w:eastAsia="Times New Roman"/>
          <w:lang w:val="en-US"/>
        </w:rPr>
        <w:fldChar w:fldCharType="separate"/>
      </w:r>
      <w:r w:rsidRPr="00347390">
        <w:t xml:space="preserve">Baltzly, Dirk, ‘Stoicism’, in </w:t>
      </w:r>
      <w:r w:rsidRPr="00347390">
        <w:rPr>
          <w:i/>
          <w:iCs/>
        </w:rPr>
        <w:t>The Stanford Encyclopedia of Philosophy</w:t>
      </w:r>
      <w:r w:rsidRPr="00347390">
        <w:t>, ed. by Edward N. Zalta, Spring 2019 (Metaphysics Research Lab, Stanford University, 2019) &lt;https://plato.stanford.edu/archives/spr2019/entries/stoicism/&gt; [accessed 15 March 2020]</w:t>
      </w:r>
    </w:p>
    <w:p w14:paraId="3556BB42" w14:textId="77777777" w:rsidR="00347390" w:rsidRPr="00347390" w:rsidRDefault="00347390" w:rsidP="00347390">
      <w:pPr>
        <w:pStyle w:val="Bibliography"/>
      </w:pPr>
      <w:r w:rsidRPr="00347390">
        <w:t xml:space="preserve">Brink, David O., </w:t>
      </w:r>
      <w:r w:rsidRPr="00347390">
        <w:rPr>
          <w:i/>
          <w:iCs/>
        </w:rPr>
        <w:t>Prospects for Temporal Neutrality</w:t>
      </w:r>
      <w:r w:rsidRPr="00347390">
        <w:t xml:space="preserve"> (Rochester, NY: Social Science Research Network, 19 February 2010) &lt;https://papers.ssrn.com/abstract=1555792&gt; [accessed 4 March 2020]</w:t>
      </w:r>
    </w:p>
    <w:p w14:paraId="5B5A92AA" w14:textId="77777777" w:rsidR="00347390" w:rsidRPr="00347390" w:rsidRDefault="00347390" w:rsidP="00347390">
      <w:pPr>
        <w:pStyle w:val="Bibliography"/>
      </w:pPr>
      <w:r w:rsidRPr="00347390">
        <w:t xml:space="preserve">Liao, Shen-yi, and Tamar Gendler, ‘Imagination’, in </w:t>
      </w:r>
      <w:r w:rsidRPr="00347390">
        <w:rPr>
          <w:i/>
          <w:iCs/>
        </w:rPr>
        <w:t>The Stanford Encyclopedia of Philosophy</w:t>
      </w:r>
      <w:r w:rsidRPr="00347390">
        <w:t xml:space="preserve">, ed. by Edward N. Zalta, Winter 2019 (Metaphysics Research Lab, Stanford University, 2019) </w:t>
      </w:r>
      <w:r w:rsidRPr="00347390">
        <w:lastRenderedPageBreak/>
        <w:t>&lt;https://plato.stanford.edu/archives/win2019/entries/imagination/&gt; [accessed 15 March 2020]</w:t>
      </w:r>
    </w:p>
    <w:p w14:paraId="3CB96CBC" w14:textId="77777777" w:rsidR="00347390" w:rsidRPr="00347390" w:rsidRDefault="00347390" w:rsidP="00347390">
      <w:pPr>
        <w:pStyle w:val="Bibliography"/>
      </w:pPr>
      <w:r w:rsidRPr="00347390">
        <w:t xml:space="preserve">Lucretius, </w:t>
      </w:r>
      <w:r w:rsidRPr="00347390">
        <w:rPr>
          <w:i/>
          <w:iCs/>
        </w:rPr>
        <w:t>De Rerum Natura</w:t>
      </w:r>
      <w:r w:rsidRPr="00347390">
        <w:t>, trans. by William Henry Denham Rouse (Cambridge, MA: Cambridge University Press, 1924)</w:t>
      </w:r>
    </w:p>
    <w:p w14:paraId="308D2E22" w14:textId="77777777" w:rsidR="00347390" w:rsidRPr="00347390" w:rsidRDefault="00347390" w:rsidP="00347390">
      <w:pPr>
        <w:pStyle w:val="Bibliography"/>
      </w:pPr>
      <w:r w:rsidRPr="00347390">
        <w:t>Mitsis, Phillip, ‘Epicurus on Death and the Duration of Life’ &lt;https://www.academia.edu/37215840/Epicurus_on_Death_and_the_Duration_of_Life&gt; [accessed 2 March 2020]</w:t>
      </w:r>
    </w:p>
    <w:p w14:paraId="332F8CEB" w14:textId="77777777" w:rsidR="00347390" w:rsidRPr="00347390" w:rsidRDefault="00347390" w:rsidP="00347390">
      <w:pPr>
        <w:pStyle w:val="Bibliography"/>
      </w:pPr>
      <w:r w:rsidRPr="00347390">
        <w:t xml:space="preserve">Saint Augustine, </w:t>
      </w:r>
      <w:r w:rsidRPr="00347390">
        <w:rPr>
          <w:i/>
          <w:iCs/>
        </w:rPr>
        <w:t>Confessions, Volume II: Books 9-13</w:t>
      </w:r>
      <w:r w:rsidRPr="00347390">
        <w:t>, trans. by Carolyn J.B. Hammond (Cambridge, MA: Cambridge University Press, 2016)</w:t>
      </w:r>
    </w:p>
    <w:p w14:paraId="423DE08C" w14:textId="77777777" w:rsidR="00347390" w:rsidRPr="00347390" w:rsidRDefault="00347390" w:rsidP="00347390">
      <w:pPr>
        <w:pStyle w:val="Bibliography"/>
      </w:pPr>
      <w:r w:rsidRPr="00347390">
        <w:t xml:space="preserve">Smith, Adam, </w:t>
      </w:r>
      <w:r w:rsidRPr="00347390">
        <w:rPr>
          <w:i/>
          <w:iCs/>
        </w:rPr>
        <w:t>The Theory of Moral Sentiments</w:t>
      </w:r>
      <w:r w:rsidRPr="00347390">
        <w:t xml:space="preserve"> (Kapaau (T.H.): Gutenberg Publishers, 2011)</w:t>
      </w:r>
    </w:p>
    <w:p w14:paraId="5ADC3825" w14:textId="77777777" w:rsidR="00347390" w:rsidRPr="00347390" w:rsidRDefault="00347390" w:rsidP="00347390">
      <w:pPr>
        <w:pStyle w:val="Bibliography"/>
      </w:pPr>
      <w:r w:rsidRPr="00347390">
        <w:t xml:space="preserve">Spinoza, Benedict, </w:t>
      </w:r>
      <w:r w:rsidRPr="00347390">
        <w:rPr>
          <w:i/>
          <w:iCs/>
        </w:rPr>
        <w:t>Ethics</w:t>
      </w:r>
      <w:r w:rsidRPr="00347390">
        <w:t>, trans. by Edwin Curley (London: Penguin Classics, 1996)</w:t>
      </w:r>
    </w:p>
    <w:p w14:paraId="4D62C2C0" w14:textId="77777777" w:rsidR="00347390" w:rsidRPr="00347390" w:rsidRDefault="00347390" w:rsidP="00347390">
      <w:pPr>
        <w:pStyle w:val="Bibliography"/>
      </w:pPr>
      <w:r w:rsidRPr="00347390">
        <w:t xml:space="preserve">Tornau, Christian, ‘Saint Augustine’, in </w:t>
      </w:r>
      <w:r w:rsidRPr="00347390">
        <w:rPr>
          <w:i/>
          <w:iCs/>
        </w:rPr>
        <w:t>The Stanford Encyclopedia of Philosophy</w:t>
      </w:r>
      <w:r w:rsidRPr="00347390">
        <w:t>, ed. by Edward N. Zalta, Spring 2020 (Metaphysics Research Lab, Stanford University, 2020) &lt;https://plato.stanford.edu/archives/spr2020/entries/augustine/&gt; [accessed 15 March 2020]</w:t>
      </w:r>
    </w:p>
    <w:p w14:paraId="5F96BFB4" w14:textId="50160CCF" w:rsidR="00347390" w:rsidRDefault="00347390" w:rsidP="005C69B9">
      <w:pPr>
        <w:widowControl w:val="0"/>
        <w:autoSpaceDE w:val="0"/>
        <w:autoSpaceDN w:val="0"/>
        <w:adjustRightInd w:val="0"/>
        <w:spacing w:after="0" w:line="480" w:lineRule="auto"/>
        <w:ind w:left="0" w:right="95"/>
        <w:rPr>
          <w:rFonts w:eastAsia="Times New Roman"/>
          <w:lang w:val="en-US"/>
        </w:rPr>
      </w:pPr>
      <w:r>
        <w:rPr>
          <w:rFonts w:eastAsia="Times New Roman"/>
          <w:lang w:val="en-US"/>
        </w:rPr>
        <w:fldChar w:fldCharType="end"/>
      </w:r>
    </w:p>
    <w:p w14:paraId="05BCA57D" w14:textId="77777777" w:rsidR="00445F07" w:rsidRDefault="00445F07" w:rsidP="005C69B9">
      <w:pPr>
        <w:widowControl w:val="0"/>
        <w:autoSpaceDE w:val="0"/>
        <w:autoSpaceDN w:val="0"/>
        <w:adjustRightInd w:val="0"/>
        <w:spacing w:after="0" w:line="480" w:lineRule="auto"/>
        <w:ind w:left="0" w:right="95"/>
        <w:rPr>
          <w:rFonts w:eastAsia="Times New Roman"/>
          <w:lang w:val="en-US"/>
        </w:rPr>
      </w:pPr>
    </w:p>
    <w:p w14:paraId="7552F09F" w14:textId="77777777" w:rsidR="00435C3F" w:rsidRDefault="00435C3F" w:rsidP="005C69B9">
      <w:pPr>
        <w:widowControl w:val="0"/>
        <w:autoSpaceDE w:val="0"/>
        <w:autoSpaceDN w:val="0"/>
        <w:adjustRightInd w:val="0"/>
        <w:spacing w:after="0" w:line="480" w:lineRule="auto"/>
        <w:ind w:left="0" w:right="95"/>
        <w:rPr>
          <w:rFonts w:eastAsia="Times New Roman"/>
          <w:lang w:val="en-US"/>
        </w:rPr>
      </w:pPr>
    </w:p>
    <w:p w14:paraId="3C298F17" w14:textId="77777777" w:rsidR="00E973C6" w:rsidRDefault="00E973C6" w:rsidP="005C69B9">
      <w:pPr>
        <w:widowControl w:val="0"/>
        <w:autoSpaceDE w:val="0"/>
        <w:autoSpaceDN w:val="0"/>
        <w:adjustRightInd w:val="0"/>
        <w:spacing w:after="0" w:line="480" w:lineRule="auto"/>
        <w:ind w:left="0" w:right="95"/>
        <w:rPr>
          <w:rFonts w:eastAsia="Times New Roman"/>
          <w:lang w:val="en-US"/>
        </w:rPr>
      </w:pPr>
    </w:p>
    <w:p w14:paraId="22908C36" w14:textId="77777777" w:rsidR="00936399" w:rsidRDefault="00936399" w:rsidP="005C69B9">
      <w:pPr>
        <w:spacing w:line="480" w:lineRule="auto"/>
      </w:pPr>
    </w:p>
    <w:sectPr w:rsidR="009363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619FC5" w14:textId="77777777" w:rsidR="000B72DA" w:rsidRDefault="000B72DA" w:rsidP="000B72DA">
      <w:pPr>
        <w:spacing w:after="0"/>
      </w:pPr>
      <w:r>
        <w:separator/>
      </w:r>
    </w:p>
  </w:endnote>
  <w:endnote w:type="continuationSeparator" w:id="0">
    <w:p w14:paraId="497896DE" w14:textId="77777777" w:rsidR="000B72DA" w:rsidRDefault="000B72DA" w:rsidP="000B72D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354CF4" w14:textId="77777777" w:rsidR="000B72DA" w:rsidRDefault="000B72DA" w:rsidP="000B72DA">
      <w:pPr>
        <w:spacing w:after="0"/>
      </w:pPr>
      <w:r>
        <w:separator/>
      </w:r>
    </w:p>
  </w:footnote>
  <w:footnote w:type="continuationSeparator" w:id="0">
    <w:p w14:paraId="3F3F6E12" w14:textId="77777777" w:rsidR="000B72DA" w:rsidRDefault="000B72DA" w:rsidP="000B72DA">
      <w:pPr>
        <w:spacing w:after="0"/>
      </w:pPr>
      <w:r>
        <w:continuationSeparator/>
      </w:r>
    </w:p>
  </w:footnote>
  <w:footnote w:id="1">
    <w:p w14:paraId="5CBB4F87" w14:textId="67C5F7FD" w:rsidR="00E560AF" w:rsidRDefault="00E560AF" w:rsidP="00E560AF">
      <w:pPr>
        <w:pStyle w:val="FootnoteText"/>
      </w:pPr>
      <w:r>
        <w:rPr>
          <w:rStyle w:val="FootnoteReference"/>
        </w:rPr>
        <w:footnoteRef/>
      </w:r>
      <w:r>
        <w:t xml:space="preserve"> </w:t>
      </w:r>
      <w:r>
        <w:fldChar w:fldCharType="begin"/>
      </w:r>
      <w:r w:rsidR="00EB238D">
        <w:instrText xml:space="preserve"> ADDIN ZOTERO_ITEM CSL_CITATION {"citationID":"B4flA9Xe","properties":{"formattedCitation":"David O. Brink, {\\i{}Prospects for Temporal Neutrality} (Rochester, NY: Social Science Research Network, 19 February 2010) &lt;https://papers.ssrn.com/abstract=1555792&gt; [accessed 4 March 2020].","plainCitation":"David O. Brink, Prospects for Temporal Neutrality (Rochester, NY: Social Science Research Network, 19 February 2010) &lt;https://papers.ssrn.com/abstract=1555792&gt; [accessed 4 March 2020].","noteIndex":1},"citationItems":[{"id":753,"uris":["http://zotero.org/users/local/RpYsDwja/items/5BNU3L7W"],"uri":["http://zotero.org/users/local/RpYsDwja/items/5BNU3L7W"],"itemData":{"id":753,"type":"report","abstract":"This paper focuses on normative questions about intertemporal distribution that might seem parallel to more familiar questions about interpersonal distribution. Temporal neutrality is the claim that the temporal location of benefits and harms within a life should not affect their normative significance and implies that agents should have equal concern for all parts of their lives. I focus on temporal neutrality as a demand of prudence. A traditional rationale for temporal neutrality appeals to the idea of compensation: whereas there is no automatic interpersonal compensation for sacrifice, because benefactor and beneficiary are different people, intrapersonal compensation is automatic, because benefactor and beneficiary are the same person. This is why sacrifice of one's present interests for the sake of one's later greater good is a paradigm of rationality. Despite the hegemony of temporal neutrality, it appears to have some counter-intuitive implications – it may seem to be undermined by reductionist accounts of personal identity, it may seem to compromise fidelity to one's ideals in cases involving diachronic changes of personal ideals, it may seem committed to problematic assumptions about the symmetry of death and prenatal nonexistence, and it might suggest that our apparent preference for pain being in the past is irrational when the alternative would be a smaller future pain. I consider these objections to temporal neutrality and argue that its normative and metaphysical commitments are surprisingly robust.","event-place":"Rochester, NY","genre":"SSRN Scholarly Paper","language":"en","number":"ID 1555792","publisher":"Social Science Research Network","publisher-place":"Rochester, NY","source":"papers.ssrn.com","title":"Prospects for Temporal Neutrality","URL":"https://papers.ssrn.com/abstract=1555792","author":[{"family":"Brink","given":"David O."}],"accessed":{"date-parts":[["2020",3,4]]},"issued":{"date-parts":[["2010",2,19]]}}}],"schema":"https://github.com/citation-style-language/schema/raw/master/csl-citation.json"} </w:instrText>
      </w:r>
      <w:r>
        <w:fldChar w:fldCharType="separate"/>
      </w:r>
      <w:r w:rsidRPr="00460FF8">
        <w:rPr>
          <w:szCs w:val="24"/>
        </w:rPr>
        <w:t xml:space="preserve">David O. Brink, </w:t>
      </w:r>
      <w:r w:rsidRPr="00460FF8">
        <w:rPr>
          <w:i/>
          <w:iCs/>
          <w:szCs w:val="24"/>
        </w:rPr>
        <w:t>Prospects for Temporal Neutrality</w:t>
      </w:r>
      <w:r w:rsidRPr="00460FF8">
        <w:rPr>
          <w:szCs w:val="24"/>
        </w:rPr>
        <w:t xml:space="preserve"> (Rochester, NY: Social Science Research Network, 19 February 2010) </w:t>
      </w:r>
      <w:r w:rsidR="00944E9D">
        <w:rPr>
          <w:szCs w:val="24"/>
        </w:rPr>
        <w:t xml:space="preserve">p.1 </w:t>
      </w:r>
      <w:r w:rsidRPr="00460FF8">
        <w:rPr>
          <w:szCs w:val="24"/>
        </w:rPr>
        <w:t>&lt;https://papers.ssrn.com/abstract=1555792&gt; [accessed 4 March 2020].</w:t>
      </w:r>
      <w:r>
        <w:fldChar w:fldCharType="end"/>
      </w:r>
    </w:p>
  </w:footnote>
  <w:footnote w:id="2">
    <w:p w14:paraId="18E6D2AD" w14:textId="77777777" w:rsidR="00E560AF" w:rsidRDefault="00E560AF" w:rsidP="00E560AF">
      <w:pPr>
        <w:pStyle w:val="FootnoteText"/>
      </w:pPr>
      <w:r>
        <w:rPr>
          <w:rStyle w:val="FootnoteReference"/>
        </w:rPr>
        <w:footnoteRef/>
      </w:r>
      <w:r>
        <w:t xml:space="preserve"> </w:t>
      </w:r>
      <w:r>
        <w:fldChar w:fldCharType="begin"/>
      </w:r>
      <w:r>
        <w:instrText xml:space="preserve"> ADDIN ZOTERO_ITEM CSL_CITATION {"citationID":"idthuAKJ","properties":{"formattedCitation":"Benedict Spinoza, {\\i{}Ethics}, trans. by Edwin Curley (London: Penguin Classics, 1996).","plainCitation":"Benedict Spinoza, Ethics, trans. by Edwin Curley (London: Penguin Classics, 1996).","noteIndex":3},"citationItems":[{"id":764,"uris":["http://zotero.org/users/local/RpYsDwja/items/WX9GRKSC"],"uri":["http://zotero.org/users/local/RpYsDwja/items/WX9GRKSC"],"itemData":{"id":764,"type":"book","abstract":"A profoundly beautiful and uniquely insightful description of the universe, Benedict de Spinoza's Ethics is one of the masterpieces of Enlightenment-era philosophy. This Penguin Classics edition is edited and translated from the Latin by Edwin Curley, with an introduction by Stuart Hampshire.Published shortly after his death, the Ethics is undoubtedly Spinoza's greatest work - an elegant, fully cohesive cosmology derived from first principles, providing a coherent picture of reality, and a guide to the meaning of an ethical life. Following a logical step-by-step format, it defines in turn the nature of God, the mind, the emotions, human bondage to the emotions, and the power of understanding - moving from a consideration of the eternal, to speculate upon humanity's place in the natural order, the nature of freedom and the path to attainable happiness. A powerful work of elegant simplicity, the Ethics is a brilliantly insightful consideration of the possibility of redemption through intense thought and philosophical reflection.The Ethics is presented in the standard translation of the work by Edwin Curley. This edition also includes an introduction by Stuart Hampshire, outlining Spinoza's philosophy and placing it in context.Baruch Spinoza (1632-77), later known as Benedict de Spinoza, was born in Amsterdam, where his orthodox Jewish family had fled from persecution in Portugal. Ethics was published in 1677 after his death, and his influence spread to the nineteenth century: inspiring the Romantic poets, winning the respect of Flaubert and Matthew Arnold, and moving George Eliot, who admired him as the enemy of superstition and the hero of scientific rationalism, to begin a translation of his works.If you enjoyed Ethics, you might like Rene Descartes' Meditations and Other Metaphysical Writings, also available in Penguin Classics.'The noblest and most lovable of the great philosophers ... ethically he is supreme'Bertrand Russell","event-place":"London","language":"English","number-of-pages":"134","publisher":"Penguin Classics","publisher-place":"London","title":"Ethics","author":[{"family":"Spinoza","given":"Benedict"}],"translator":[{"family":"Curley","given":"Edwin"}],"issued":{"date-parts":[["1996",6,27]]}}}],"schema":"https://github.com/citation-style-language/schema/raw/master/csl-citation.json"} </w:instrText>
      </w:r>
      <w:r>
        <w:fldChar w:fldCharType="separate"/>
      </w:r>
      <w:r w:rsidRPr="00435C3F">
        <w:rPr>
          <w:szCs w:val="24"/>
        </w:rPr>
        <w:t xml:space="preserve">Benedict Spinoza, </w:t>
      </w:r>
      <w:r w:rsidRPr="00435C3F">
        <w:rPr>
          <w:i/>
          <w:iCs/>
          <w:szCs w:val="24"/>
        </w:rPr>
        <w:t>Ethics</w:t>
      </w:r>
      <w:r w:rsidRPr="00435C3F">
        <w:rPr>
          <w:szCs w:val="24"/>
        </w:rPr>
        <w:t>, trans. by Edwin Curley (London: Penguin Classics, 1996).</w:t>
      </w:r>
      <w:r>
        <w:fldChar w:fldCharType="end"/>
      </w:r>
    </w:p>
  </w:footnote>
  <w:footnote w:id="3">
    <w:p w14:paraId="6A2CE826" w14:textId="7547FFFF" w:rsidR="00E560AF" w:rsidRDefault="00E560AF" w:rsidP="00E560AF">
      <w:pPr>
        <w:pStyle w:val="FootnoteText"/>
      </w:pPr>
      <w:r>
        <w:rPr>
          <w:rStyle w:val="FootnoteReference"/>
        </w:rPr>
        <w:footnoteRef/>
      </w:r>
      <w:r>
        <w:t xml:space="preserve"> </w:t>
      </w:r>
      <w:r>
        <w:fldChar w:fldCharType="begin"/>
      </w:r>
      <w:r w:rsidR="00EB238D">
        <w:instrText xml:space="preserve"> ADDIN ZOTERO_ITEM CSL_CITATION {"citationID":"A5mAMjnb","properties":{"formattedCitation":"Brink.","plainCitation":"Brink.","noteIndex":3},"citationItems":[{"id":753,"uris":["http://zotero.org/users/local/RpYsDwja/items/5BNU3L7W"],"uri":["http://zotero.org/users/local/RpYsDwja/items/5BNU3L7W"],"itemData":{"id":753,"type":"report","abstract":"This paper focuses on normative questions about intertemporal distribution that might seem parallel to more familiar questions about interpersonal distribution. Temporal neutrality is the claim that the temporal location of benefits and harms within a life should not affect their normative significance and implies that agents should have equal concern for all parts of their lives. I focus on temporal neutrality as a demand of prudence. A traditional rationale for temporal neutrality appeals to the idea of compensation: whereas there is no automatic interpersonal compensation for sacrifice, because benefactor and beneficiary are different people, intrapersonal compensation is automatic, because benefactor and beneficiary are the same person. This is why sacrifice of one's present interests for the sake of one's later greater good is a paradigm of rationality. Despite the hegemony of temporal neutrality, it appears to have some counter-intuitive implications – it may seem to be undermined by reductionist accounts of personal identity, it may seem to compromise fidelity to one's ideals in cases involving diachronic changes of personal ideals, it may seem committed to problematic assumptions about the symmetry of death and prenatal nonexistence, and it might suggest that our apparent preference for pain being in the past is irrational when the alternative would be a smaller future pain. I consider these objections to temporal neutrality and argue that its normative and metaphysical commitments are surprisingly robust.","event-place":"Rochester, NY","genre":"SSRN Scholarly Paper","language":"en","number":"ID 1555792","publisher":"Social Science Research Network","publisher-place":"Rochester, NY","source":"papers.ssrn.com","title":"Prospects for Temporal Neutrality","URL":"https://papers.ssrn.com/abstract=1555792","author":[{"family":"Brink","given":"David O."}],"accessed":{"date-parts":[["2020",3,4]]},"issued":{"date-parts":[["2010",2,19]]}}}],"schema":"https://github.com/citation-style-language/schema/raw/master/csl-citation.json"} </w:instrText>
      </w:r>
      <w:r>
        <w:fldChar w:fldCharType="separate"/>
      </w:r>
      <w:r w:rsidRPr="00460FF8">
        <w:t>Brink.</w:t>
      </w:r>
      <w:r>
        <w:fldChar w:fldCharType="end"/>
      </w:r>
    </w:p>
  </w:footnote>
  <w:footnote w:id="4">
    <w:p w14:paraId="57D2E793" w14:textId="78AB58D4" w:rsidR="00E560AF" w:rsidRDefault="00E560AF" w:rsidP="00E560AF">
      <w:pPr>
        <w:pStyle w:val="FootnoteText"/>
      </w:pPr>
      <w:r>
        <w:rPr>
          <w:rStyle w:val="FootnoteReference"/>
        </w:rPr>
        <w:footnoteRef/>
      </w:r>
      <w:r>
        <w:t xml:space="preserve"> </w:t>
      </w:r>
      <w:r>
        <w:fldChar w:fldCharType="begin"/>
      </w:r>
      <w:r w:rsidR="00EB238D">
        <w:instrText xml:space="preserve"> ADDIN ZOTERO_ITEM CSL_CITATION {"citationID":"OQPEelck","properties":{"formattedCitation":"Brink.","plainCitation":"Brink.","noteIndex":4},"citationItems":[{"id":753,"uris":["http://zotero.org/users/local/RpYsDwja/items/5BNU3L7W"],"uri":["http://zotero.org/users/local/RpYsDwja/items/5BNU3L7W"],"itemData":{"id":753,"type":"report","abstract":"This paper focuses on normative questions about intertemporal distribution that might seem parallel to more familiar questions about interpersonal distribution. Temporal neutrality is the claim that the temporal location of benefits and harms within a life should not affect their normative significance and implies that agents should have equal concern for all parts of their lives. I focus on temporal neutrality as a demand of prudence. A traditional rationale for temporal neutrality appeals to the idea of compensation: whereas there is no automatic interpersonal compensation for sacrifice, because benefactor and beneficiary are different people, intrapersonal compensation is automatic, because benefactor and beneficiary are the same person. This is why sacrifice of one's present interests for the sake of one's later greater good is a paradigm of rationality. Despite the hegemony of temporal neutrality, it appears to have some counter-intuitive implications – it may seem to be undermined by reductionist accounts of personal identity, it may seem to compromise fidelity to one's ideals in cases involving diachronic changes of personal ideals, it may seem committed to problematic assumptions about the symmetry of death and prenatal nonexistence, and it might suggest that our apparent preference for pain being in the past is irrational when the alternative would be a smaller future pain. I consider these objections to temporal neutrality and argue that its normative and metaphysical commitments are surprisingly robust.","event-place":"Rochester, NY","genre":"SSRN Scholarly Paper","language":"en","number":"ID 1555792","publisher":"Social Science Research Network","publisher-place":"Rochester, NY","source":"papers.ssrn.com","title":"Prospects for Temporal Neutrality","URL":"https://papers.ssrn.com/abstract=1555792","author":[{"family":"Brink","given":"David O."}],"accessed":{"date-parts":[["2020",3,4]]},"issued":{"date-parts":[["2010",2,19]]}}}],"schema":"https://github.com/citation-style-language/schema/raw/master/csl-citation.json"} </w:instrText>
      </w:r>
      <w:r>
        <w:fldChar w:fldCharType="separate"/>
      </w:r>
      <w:r w:rsidRPr="00460FF8">
        <w:t>Brink.</w:t>
      </w:r>
      <w:r>
        <w:fldChar w:fldCharType="end"/>
      </w:r>
      <w:r w:rsidR="00944E9D">
        <w:t xml:space="preserve"> P.2</w:t>
      </w:r>
    </w:p>
  </w:footnote>
  <w:footnote w:id="5">
    <w:p w14:paraId="419FD24A" w14:textId="617920C0" w:rsidR="005F61E3" w:rsidRDefault="005F61E3">
      <w:pPr>
        <w:pStyle w:val="FootnoteText"/>
      </w:pPr>
      <w:r>
        <w:rPr>
          <w:rStyle w:val="FootnoteReference"/>
        </w:rPr>
        <w:footnoteRef/>
      </w:r>
      <w:r>
        <w:t xml:space="preserve"> </w:t>
      </w:r>
      <w:r>
        <w:fldChar w:fldCharType="begin"/>
      </w:r>
      <w:r>
        <w:instrText xml:space="preserve"> ADDIN ZOTERO_ITEM CSL_CITATION {"citationID":"CekqNrv6","properties":{"formattedCitation":"Shen-yi Liao and Tamar Gendler, \\uc0\\u8216{}Imagination\\uc0\\u8217{}, in {\\i{}The Stanford Encyclopedia of Philosophy}, ed. by Edward N. Zalta, Winter 2019 (Metaphysics Research Lab, Stanford University, 2019) &lt;https://plato.stanford.edu/archives/win2019/entries/imagination/&gt; [accessed 15 March 2020].","plainCitation":"Shen-yi Liao and Tamar Gendler, ‘Imagination’, in The Stanford Encyclopedia of Philosophy, ed. by Edward N. Zalta, Winter 2019 (Metaphysics Research Lab, Stanford University, 2019) &lt;https://plato.stanford.edu/archives/win2019/entries/imagination/&gt; [accessed 15 March 2020].","noteIndex":1},"citationItems":[{"id":766,"uris":["http://zotero.org/users/local/RpYsDwja/items/9XD69C2E"],"uri":["http://zotero.org/users/local/RpYsDwja/items/9XD69C2E"],"itemData":{"id":766,"type":"chapter","abstract":"To imagine is to represent without aiming at things as they actually, presently, and subjectively are. Onecan use imagination to represent possibilities other than the actual,to represent times other than the present, and to representperspectives other than one’s own. Unlike perceiving andbelieving, imagining something does not require one to consider thatsomething to be the case. Unlike desiring or anticipating, imaginingsomething does not require one to wish or expect that something to bethe case., Imagination is involved in a wide variety of human activities, and hasbeen explored from a wide range of philosophical perspectives.Philosophers of mind have examined imagination’s role inmindreading and in pretense. Philosophical aestheticians have examinedimagination’s role in creating and in engaging with differenttypes of artworks. Epistemologists have examined imagination’srole in theoretical thought experiments and in practicaldecision-making. Philosophers of language have examinedimagination’s role in irony and metaphor., Because of the breadth of the topic, this entry focuses exclusively oncontemporary discussions of imagination in the Anglo-Americanphilosophical tradition. For an overview of historical discussions ofimagination, see the sections on pre-twentieth century and earlytwentieth century accounts of entry on mental imagery; for notable historical accounts of imagination, see correspondingentries on Aristotle, Thomas Hobbes, David Hume, Immanuel Kant, and Gilbert Ryle; for a more detailed and comprehensive historical survey, see Brann1991; and for a sophisticated and wide-ranging discussion ofimagination in the phenomenological tradition, see Casey 2000.","container-title":"The Stanford Encyclopedia of Philosophy","edition":"Winter 2019","publisher":"Metaphysics Research Lab, Stanford University","source":"Stanford Encyclopedia of Philosophy","title":"Imagination","URL":"https://plato.stanford.edu/archives/win2019/entries/imagination/","author":[{"family":"Liao","given":"Shen-yi"},{"family":"Gendler","given":"Tamar"}],"editor":[{"family":"Zalta","given":"Edward N."}],"accessed":{"date-parts":[["2020",3,15]]},"issued":{"date-parts":[["2019"]]}}}],"schema":"https://github.com/citation-style-language/schema/raw/master/csl-citation.json"} </w:instrText>
      </w:r>
      <w:r>
        <w:fldChar w:fldCharType="separate"/>
      </w:r>
      <w:r w:rsidRPr="005F61E3">
        <w:rPr>
          <w:szCs w:val="24"/>
        </w:rPr>
        <w:t xml:space="preserve">Shen-yi Liao and Tamar Gendler, ‘Imagination’, in </w:t>
      </w:r>
      <w:r w:rsidRPr="005F61E3">
        <w:rPr>
          <w:i/>
          <w:iCs/>
          <w:szCs w:val="24"/>
        </w:rPr>
        <w:t>The Stanford Encyclopedia of Philosophy</w:t>
      </w:r>
      <w:r w:rsidRPr="005F61E3">
        <w:rPr>
          <w:szCs w:val="24"/>
        </w:rPr>
        <w:t>, ed. by Edward N. Zalta, Winter 2019 (Metaphysics Research Lab, Stanford University, 2019) &lt;https://plato.stanford.edu/archives/win2019/entries/imagination/&gt; [accessed 15 March 2020].</w:t>
      </w:r>
      <w:r>
        <w:fldChar w:fldCharType="end"/>
      </w:r>
    </w:p>
  </w:footnote>
  <w:footnote w:id="6">
    <w:p w14:paraId="521386F8" w14:textId="5186BD7D" w:rsidR="00445F07" w:rsidRDefault="00445F07" w:rsidP="00445F07">
      <w:pPr>
        <w:pStyle w:val="FootnoteText"/>
      </w:pPr>
      <w:r>
        <w:rPr>
          <w:rStyle w:val="FootnoteReference"/>
        </w:rPr>
        <w:footnoteRef/>
      </w:r>
      <w:r>
        <w:t xml:space="preserve"> </w:t>
      </w:r>
      <w:r>
        <w:fldChar w:fldCharType="begin"/>
      </w:r>
      <w:r>
        <w:instrText xml:space="preserve"> ADDIN ZOTERO_ITEM CSL_CITATION {"citationID":"NVb3FIAM","properties":{"formattedCitation":"Lucretius, {\\i{}De Rerum Natura}, trans. by William Henry Denham Rouse (Cambridge, MA: Cambridge University Press, 1924).","plainCitation":"Lucretius, De Rerum Natura, trans. by William Henry Denham Rouse (Cambridge, MA: Cambridge University Press, 1924).","noteIndex":15},"citationItems":[{"id":760,"uris":["http://zotero.org/users/local/RpYsDwja/items/HMCAH4HS"],"uri":["http://zotero.org/users/local/RpYsDwja/items/HMCAH4HS"],"itemData":{"id":760,"type":"book","event-place":"Cambridge, MA","publisher":"Cambridge University Press","publisher-place":"Cambridge, MA","title":"De Rerum Natura","author":[{"literal":"Lucretius"}],"translator":[{"family":"Rouse","given":"William Henry Denham"}],"issued":{"date-parts":[["1924"]]}}}],"schema":"https://github.com/citation-style-language/schema/raw/master/csl-citation.json"} </w:instrText>
      </w:r>
      <w:r>
        <w:fldChar w:fldCharType="separate"/>
      </w:r>
      <w:r w:rsidRPr="000B72DA">
        <w:rPr>
          <w:szCs w:val="24"/>
        </w:rPr>
        <w:t xml:space="preserve">Lucretius, </w:t>
      </w:r>
      <w:r w:rsidRPr="000B72DA">
        <w:rPr>
          <w:i/>
          <w:iCs/>
          <w:szCs w:val="24"/>
        </w:rPr>
        <w:t>De Rerum Natura</w:t>
      </w:r>
      <w:r w:rsidRPr="000B72DA">
        <w:rPr>
          <w:szCs w:val="24"/>
        </w:rPr>
        <w:t>, trans. by William Henry Denham Rouse (Cambridge, MA: Cambridge University Press, 1924).</w:t>
      </w:r>
      <w:r>
        <w:fldChar w:fldCharType="end"/>
      </w:r>
      <w:r w:rsidR="00944E9D">
        <w:t xml:space="preserve"> 3.94-416</w:t>
      </w:r>
    </w:p>
  </w:footnote>
  <w:footnote w:id="7">
    <w:p w14:paraId="522DBD65" w14:textId="196A5844" w:rsidR="00445F07" w:rsidRDefault="00445F07" w:rsidP="00445F07">
      <w:pPr>
        <w:pStyle w:val="FootnoteText"/>
      </w:pPr>
      <w:r>
        <w:rPr>
          <w:rStyle w:val="FootnoteReference"/>
        </w:rPr>
        <w:footnoteRef/>
      </w:r>
      <w:r>
        <w:t xml:space="preserve"> </w:t>
      </w:r>
      <w:r>
        <w:fldChar w:fldCharType="begin"/>
      </w:r>
      <w:r>
        <w:instrText xml:space="preserve"> ADDIN ZOTERO_ITEM CSL_CITATION {"citationID":"u44TFKyb","properties":{"formattedCitation":"Lucretius.","plainCitation":"Lucretius.","noteIndex":16},"citationItems":[{"id":760,"uris":["http://zotero.org/users/local/RpYsDwja/items/HMCAH4HS"],"uri":["http://zotero.org/users/local/RpYsDwja/items/HMCAH4HS"],"itemData":{"id":760,"type":"book","event-place":"Cambridge, MA","publisher":"Cambridge University Press","publisher-place":"Cambridge, MA","title":"De Rerum Natura","author":[{"literal":"Lucretius"}],"translator":[{"family":"Rouse","given":"William Henry Denham"}],"issued":{"date-parts":[["1924"]]}}}],"schema":"https://github.com/citation-style-language/schema/raw/master/csl-citation.json"} </w:instrText>
      </w:r>
      <w:r>
        <w:fldChar w:fldCharType="separate"/>
      </w:r>
      <w:r w:rsidRPr="000B72DA">
        <w:t>Lucretius.</w:t>
      </w:r>
      <w:r>
        <w:fldChar w:fldCharType="end"/>
      </w:r>
      <w:r w:rsidR="00944E9D">
        <w:t xml:space="preserve"> 3.417-829</w:t>
      </w:r>
    </w:p>
  </w:footnote>
  <w:footnote w:id="8">
    <w:p w14:paraId="3FC7BBB6" w14:textId="1E2DE90A" w:rsidR="00445F07" w:rsidRDefault="00445F07" w:rsidP="00445F07">
      <w:pPr>
        <w:pStyle w:val="FootnoteText"/>
      </w:pPr>
      <w:r>
        <w:rPr>
          <w:rStyle w:val="FootnoteReference"/>
        </w:rPr>
        <w:footnoteRef/>
      </w:r>
      <w:r>
        <w:t xml:space="preserve"> </w:t>
      </w:r>
      <w:r>
        <w:fldChar w:fldCharType="begin"/>
      </w:r>
      <w:r>
        <w:instrText xml:space="preserve"> ADDIN ZOTERO_ITEM CSL_CITATION {"citationID":"sT61sCzX","properties":{"formattedCitation":"Lucretius.","plainCitation":"Lucretius.","noteIndex":17},"citationItems":[{"id":760,"uris":["http://zotero.org/users/local/RpYsDwja/items/HMCAH4HS"],"uri":["http://zotero.org/users/local/RpYsDwja/items/HMCAH4HS"],"itemData":{"id":760,"type":"book","event-place":"Cambridge, MA","publisher":"Cambridge University Press","publisher-place":"Cambridge, MA","title":"De Rerum Natura","author":[{"literal":"Lucretius"}],"translator":[{"family":"Rouse","given":"William Henry Denham"}],"issued":{"date-parts":[["1924"]]}}}],"schema":"https://github.com/citation-style-language/schema/raw/master/csl-citation.json"} </w:instrText>
      </w:r>
      <w:r>
        <w:fldChar w:fldCharType="separate"/>
      </w:r>
      <w:r w:rsidRPr="000B72DA">
        <w:t>Lucretius.</w:t>
      </w:r>
      <w:r>
        <w:fldChar w:fldCharType="end"/>
      </w:r>
      <w:r w:rsidR="00944E9D">
        <w:t xml:space="preserve"> 3.830-1049</w:t>
      </w:r>
    </w:p>
  </w:footnote>
  <w:footnote w:id="9">
    <w:p w14:paraId="25E9D98A" w14:textId="77777777" w:rsidR="00445F07" w:rsidRDefault="00445F07" w:rsidP="00445F07">
      <w:pPr>
        <w:pStyle w:val="FootnoteText"/>
      </w:pPr>
      <w:r>
        <w:rPr>
          <w:rStyle w:val="FootnoteReference"/>
        </w:rPr>
        <w:footnoteRef/>
      </w:r>
      <w:r>
        <w:t xml:space="preserve"> </w:t>
      </w:r>
      <w:r>
        <w:fldChar w:fldCharType="begin"/>
      </w:r>
      <w:r>
        <w:instrText xml:space="preserve"> ADDIN ZOTERO_ITEM CSL_CITATION {"citationID":"2qpWDJfM","properties":{"formattedCitation":"Phillip Mitsis, \\uc0\\u8216{}Epicurus on Death and the Duration of Life\\uc0\\u8217{} &lt;https://www.academia.edu/37215840/Epicurus_on_Death_and_the_Duration_of_Life&gt; [accessed 2 March 2020].","plainCitation":"Phillip Mitsis, ‘Epicurus on Death and the Duration of Life’ &lt;https://www.academia.edu/37215840/Epicurus_on_Death_and_the_Duration_of_Life&gt; [accessed 2 March 2020].","noteIndex":12},"citationItems":[{"id":745,"uris":["http://zotero.org/users/local/RpYsDwja/items/VXM86WYV"],"uri":["http://zotero.org/users/local/RpYsDwja/items/VXM86WYV"],"itemData":{"id":745,"type":"article-journal","abstract":"Eds. John J. Cleary and Daniel C. Shartin, Proceedings of the Boston Area Colloquium in Ancient Philosophy vol.4 (1989) pp. 303-322.","language":"en","source":"www.academia.edu","title":"Epicurus on Death and the Duration of Life","URL":"https://www.academia.edu/37215840/Epicurus_on_Death_and_the_Duration_of_Life","author":[{"family":"Mitsis","given":"Phillip"}],"accessed":{"date-parts":[["2020",3,2]]}}}],"schema":"https://github.com/citation-style-language/schema/raw/master/csl-citation.json"} </w:instrText>
      </w:r>
      <w:r>
        <w:fldChar w:fldCharType="separate"/>
      </w:r>
      <w:r w:rsidRPr="009C1AF8">
        <w:rPr>
          <w:szCs w:val="24"/>
        </w:rPr>
        <w:t>Phillip Mitsis, ‘Epicurus on Death and the Duration of Life’ &lt;https://www.academia.edu/37215840/Epicurus_on_Death_and_the_Duration_of_Life&gt; [accessed 2 March 2020].</w:t>
      </w:r>
      <w:r>
        <w:fldChar w:fldCharType="end"/>
      </w:r>
    </w:p>
  </w:footnote>
  <w:footnote w:id="10">
    <w:p w14:paraId="174B43E0" w14:textId="0EDA48B9" w:rsidR="00445F07" w:rsidRDefault="00445F07" w:rsidP="00445F07">
      <w:pPr>
        <w:pStyle w:val="FootnoteText"/>
      </w:pPr>
      <w:r>
        <w:rPr>
          <w:rStyle w:val="FootnoteReference"/>
        </w:rPr>
        <w:footnoteRef/>
      </w:r>
      <w:r>
        <w:t xml:space="preserve"> </w:t>
      </w:r>
      <w:r>
        <w:fldChar w:fldCharType="begin"/>
      </w:r>
      <w:r>
        <w:instrText xml:space="preserve"> ADDIN ZOTERO_ITEM CSL_CITATION {"citationID":"U6hLPFZP","properties":{"formattedCitation":"Mitsis.","plainCitation":"Mitsis.","noteIndex":13},"citationItems":[{"id":745,"uris":["http://zotero.org/users/local/RpYsDwja/items/VXM86WYV"],"uri":["http://zotero.org/users/local/RpYsDwja/items/VXM86WYV"],"itemData":{"id":745,"type":"article-journal","abstract":"Eds. John J. Cleary and Daniel C. Shartin, Proceedings of the Boston Area Colloquium in Ancient Philosophy vol.4 (1989) pp. 303-322.","language":"en","source":"www.academia.edu","title":"Epicurus on Death and the Duration of Life","URL":"https://www.academia.edu/37215840/Epicurus_on_Death_and_the_Duration_of_Life","author":[{"family":"Mitsis","given":"Phillip"}],"accessed":{"date-parts":[["2020",3,2]]}}}],"schema":"https://github.com/citation-style-language/schema/raw/master/csl-citation.json"} </w:instrText>
      </w:r>
      <w:r>
        <w:fldChar w:fldCharType="separate"/>
      </w:r>
      <w:r w:rsidRPr="009C1AF8">
        <w:t>Mitsis.</w:t>
      </w:r>
      <w:r>
        <w:fldChar w:fldCharType="end"/>
      </w:r>
      <w:r w:rsidR="00944E9D">
        <w:t xml:space="preserve"> P.316</w:t>
      </w:r>
    </w:p>
  </w:footnote>
  <w:footnote w:id="11">
    <w:p w14:paraId="3D779974" w14:textId="762B25B7" w:rsidR="00445F07" w:rsidRDefault="00445F07" w:rsidP="00445F07">
      <w:pPr>
        <w:pStyle w:val="FootnoteText"/>
      </w:pPr>
      <w:r>
        <w:rPr>
          <w:rStyle w:val="FootnoteReference"/>
        </w:rPr>
        <w:footnoteRef/>
      </w:r>
      <w:r>
        <w:t xml:space="preserve"> </w:t>
      </w:r>
      <w:r>
        <w:fldChar w:fldCharType="begin"/>
      </w:r>
      <w:r>
        <w:instrText xml:space="preserve"> ADDIN ZOTERO_ITEM CSL_CITATION {"citationID":"jM4mAYlD","properties":{"formattedCitation":"Saint Augustine.","plainCitation":"Saint Augustine.","noteIndex":13},"citationItems":[{"id":761,"uris":["http://zotero.org/users/local/RpYsDwja/items/N9HU9H6V"],"uri":["http://zotero.org/users/local/RpYsDwja/items/N9HU9H6V"],"itemData":{"id":761,"type":"book","event-place":"Cambridge, MA","publisher":"Cambridge University Press","publisher-place":"Cambridge, MA","title":"Confessions, Volume II: Books 9-13","author":[{"literal":"Saint Augustine"}],"translator":[{"family":"Hammond","given":"Carolyn J.B."}],"issued":{"date-parts":[["2016"]]}}}],"schema":"https://github.com/citation-style-language/schema/raw/master/csl-citation.json"} </w:instrText>
      </w:r>
      <w:r>
        <w:fldChar w:fldCharType="separate"/>
      </w:r>
      <w:r w:rsidRPr="00460FF8">
        <w:t>Saint Augustine.</w:t>
      </w:r>
      <w:r>
        <w:fldChar w:fldCharType="end"/>
      </w:r>
      <w:r w:rsidR="00944E9D">
        <w:t xml:space="preserve"> 11.16</w:t>
      </w:r>
    </w:p>
  </w:footnote>
  <w:footnote w:id="12">
    <w:p w14:paraId="24A6655D" w14:textId="77777777" w:rsidR="00E560AF" w:rsidRDefault="00E560AF" w:rsidP="00E560AF">
      <w:pPr>
        <w:pStyle w:val="FootnoteText"/>
      </w:pPr>
      <w:r>
        <w:rPr>
          <w:rStyle w:val="FootnoteReference"/>
        </w:rPr>
        <w:footnoteRef/>
      </w:r>
      <w:r>
        <w:t xml:space="preserve"> </w:t>
      </w:r>
      <w:r>
        <w:fldChar w:fldCharType="begin"/>
      </w:r>
      <w:r>
        <w:instrText xml:space="preserve"> ADDIN ZOTERO_ITEM CSL_CITATION {"citationID":"6PEJtQDh","properties":{"formattedCitation":"Adam Smith, {\\i{}The Theory of Moral Sentiments} (Kapaau (T.H.): Gutenberg Publishers, 2011).","plainCitation":"Adam Smith, The Theory of Moral Sentiments (Kapaau (T.H.): Gutenberg Publishers, 2011).","noteIndex":6},"citationItems":[{"id":762,"uris":["http://zotero.org/users/local/RpYsDwja/items/YB363J79"],"uri":["http://zotero.org/users/local/RpYsDwja/items/YB363J79"],"itemData":{"id":762,"type":"book","abstract":"2011 Reprint of 1790 London Edition. Today Adam Smith's reputation rests on his explanation of how rational self-interest in a free-market economy leads to economic well-being. It may surprise those who would discount Smith as an advocate of ruthless individualism that his first major work concentrates on ethics and charity. In fact, while chair at the University of Glasgow, Smith's lecture subjects, in order of preference, were natural theology, ethics, jurisprudence, and economics, according to John Millar, Smith's pupil at the time. In The Theory of Moral Sentiments, Smith wrote: \"How selfish soever man may be supposed, there are evidently some principles in his nature which interest him in the fortune of others and render their happiness necessary to him though he derives nothing from it except the pleasure of seeing it.\" The Theory of Moral Sentiments establishes the intellectual framework for all of Smith's later work, including the monumental Wealth of Nations.","event-place":"Kapaau (T.H.)","language":"English","number-of-pages":"358","publisher":"Gutenberg Publishers","publisher-place":"Kapaau (T.H.)","title":"The Theory of Moral Sentiments","author":[{"family":"Smith","given":"Adam"}],"issued":{"date-parts":[["2011"]]}}}],"schema":"https://github.com/citation-style-language/schema/raw/master/csl-citation.json"} </w:instrText>
      </w:r>
      <w:r>
        <w:fldChar w:fldCharType="separate"/>
      </w:r>
      <w:r w:rsidRPr="00460FF8">
        <w:rPr>
          <w:szCs w:val="24"/>
        </w:rPr>
        <w:t xml:space="preserve">Adam Smith, </w:t>
      </w:r>
      <w:r w:rsidRPr="00460FF8">
        <w:rPr>
          <w:i/>
          <w:iCs/>
          <w:szCs w:val="24"/>
        </w:rPr>
        <w:t>The Theory of Moral Sentiments</w:t>
      </w:r>
      <w:r w:rsidRPr="00460FF8">
        <w:rPr>
          <w:szCs w:val="24"/>
        </w:rPr>
        <w:t xml:space="preserve"> (Kapaau (T.H.): Gutenberg Publishers, 2011).</w:t>
      </w:r>
      <w:r>
        <w:fldChar w:fldCharType="end"/>
      </w:r>
    </w:p>
  </w:footnote>
  <w:footnote w:id="13">
    <w:p w14:paraId="1E8B5A68" w14:textId="625E2CA8" w:rsidR="00E560AF" w:rsidRDefault="00E560AF" w:rsidP="00E560AF">
      <w:pPr>
        <w:pStyle w:val="FootnoteText"/>
      </w:pPr>
      <w:r>
        <w:rPr>
          <w:rStyle w:val="FootnoteReference"/>
        </w:rPr>
        <w:footnoteRef/>
      </w:r>
      <w:r>
        <w:t xml:space="preserve"> </w:t>
      </w:r>
      <w:r>
        <w:fldChar w:fldCharType="begin"/>
      </w:r>
      <w:r>
        <w:instrText xml:space="preserve"> ADDIN ZOTERO_ITEM CSL_CITATION {"citationID":"dxBiOzSP","properties":{"formattedCitation":"Smith.","plainCitation":"Smith.","noteIndex":7},"citationItems":[{"id":762,"uris":["http://zotero.org/users/local/RpYsDwja/items/YB363J79"],"uri":["http://zotero.org/users/local/RpYsDwja/items/YB363J79"],"itemData":{"id":762,"type":"book","abstract":"2011 Reprint of 1790 London Edition. Today Adam Smith's reputation rests on his explanation of how rational self-interest in a free-market economy leads to economic well-being. It may surprise those who would discount Smith as an advocate of ruthless individualism that his first major work concentrates on ethics and charity. In fact, while chair at the University of Glasgow, Smith's lecture subjects, in order of preference, were natural theology, ethics, jurisprudence, and economics, according to John Millar, Smith's pupil at the time. In The Theory of Moral Sentiments, Smith wrote: \"How selfish soever man may be supposed, there are evidently some principles in his nature which interest him in the fortune of others and render their happiness necessary to him though he derives nothing from it except the pleasure of seeing it.\" The Theory of Moral Sentiments establishes the intellectual framework for all of Smith's later work, including the monumental Wealth of Nations.","event-place":"Kapaau (T.H.)","language":"English","number-of-pages":"358","publisher":"Gutenberg Publishers","publisher-place":"Kapaau (T.H.)","title":"The Theory of Moral Sentiments","author":[{"family":"Smith","given":"Adam"}],"issued":{"date-parts":[["2011"]]}}}],"schema":"https://github.com/citation-style-language/schema/raw/master/csl-citation.json"} </w:instrText>
      </w:r>
      <w:r>
        <w:fldChar w:fldCharType="separate"/>
      </w:r>
      <w:r w:rsidRPr="00460FF8">
        <w:t>Smith.</w:t>
      </w:r>
      <w:r>
        <w:fldChar w:fldCharType="end"/>
      </w:r>
      <w:r w:rsidR="00944E9D">
        <w:t xml:space="preserve"> P.103</w:t>
      </w:r>
    </w:p>
  </w:footnote>
  <w:footnote w:id="14">
    <w:p w14:paraId="51F07E47" w14:textId="5FEBFB81" w:rsidR="00EB238D" w:rsidRDefault="00EB238D">
      <w:pPr>
        <w:pStyle w:val="FootnoteText"/>
      </w:pPr>
      <w:r>
        <w:rPr>
          <w:rStyle w:val="FootnoteReference"/>
        </w:rPr>
        <w:footnoteRef/>
      </w:r>
      <w:r>
        <w:t xml:space="preserve"> </w:t>
      </w:r>
      <w:r>
        <w:fldChar w:fldCharType="begin"/>
      </w:r>
      <w:r>
        <w:instrText xml:space="preserve"> ADDIN ZOTERO_ITEM CSL_CITATION {"citationID":"xLYJBQwN","properties":{"formattedCitation":"Dirk Baltzly, \\uc0\\u8216{}Stoicism\\uc0\\u8217{}, in {\\i{}The Stanford Encyclopedia of Philosophy}, ed. by Edward N. Zalta, Spring 2019 (Metaphysics Research Lab, Stanford University, 2019) &lt;https://plato.stanford.edu/archives/spr2019/entries/stoicism/&gt; [accessed 15 March 2020].","plainCitation":"Dirk Baltzly, ‘Stoicism’, in The Stanford Encyclopedia of Philosophy, ed. by Edward N. Zalta, Spring 2019 (Metaphysics Research Lab, Stanford University, 2019) &lt;https://plato.stanford.edu/archives/spr2019/entries/stoicism/&gt; [accessed 15 March 2020].","noteIndex":8},"citationItems":[{"id":768,"uris":["http://zotero.org/users/local/RpYsDwja/items/T5BUS7G3"],"uri":["http://zotero.org/users/local/RpYsDwja/items/T5BUS7G3"],"itemData":{"id":768,"type":"chapter","abstract":"Stoicism was one of the new philosophical movements of the Hellenisticperiod. The name derives from the porch (stoa poikilê)in the Agora at Athens decorated with mural paintings, where themembers of the school congregated, and their lectures were held.Unlike ‘epicurean,’ the sense of the English adjective‘stoical’ is not utterly misleading with regard to itsphilosophical origins. The Stoics did, in fact, hold that emotionslike fear or envy (or impassioned sexual attachments, or passionatelove of anything whatsoever) either were, or arose from, falsejudgements and that the sage – a person who had attained moral andintellectual perfection – would not undergo them. The later Stoicsof Roman Imperial times, Seneca and Epictetus, emphasise the doctrines(already central to the early Stoics’ teachings) that the sageis utterly immune to misfortune and that virtue is sufficient forhappiness. Our phrase ‘stoic calm’ perhaps encapsulatesthe general drift of these claims. It does not, however, hint at theeven more radical ethical views which the Stoics defended, e.g. thatonly the sage is free while all others are slaves, or that all thosewho are morally vicious are equally so. (For other examples, seeCicero’s brief essay ‘Paradoxa Stoicorum’.) Thoughit seems clear that some Stoics took a kind of perverse joy inadvocating views which seem so at odds with common sense, they did notdo so simply to shock. Stoic ethics achieves a certain plausibilitywithin the context of their physical theory and psychology, and withinthe framework of Greek ethical theory as that was handed down to themfrom Plato and Aristotle. It seems that they were well aware of themutually interdependent nature of their philosophical views, likeningphilosophy itself to a living animal in which logic is bones andsinews; ethics and physics, the flesh and the soul respectively(another version reverses this assignment, making ethics the soul).Their views in logic and physics are no less distinctive andinteresting than those in ethics itself.","container-title":"The Stanford Encyclopedia of Philosophy","edition":"Spring 2019","publisher":"Metaphysics Research Lab, Stanford University","source":"Stanford Encyclopedia of Philosophy","title":"Stoicism","URL":"https://plato.stanford.edu/archives/spr2019/entries/stoicism/","author":[{"family":"Baltzly","given":"Dirk"}],"editor":[{"family":"Zalta","given":"Edward N."}],"accessed":{"date-parts":[["2020",3,15]]},"issued":{"date-parts":[["2019"]]}}}],"schema":"https://github.com/citation-style-language/schema/raw/master/csl-citation.json"} </w:instrText>
      </w:r>
      <w:r>
        <w:fldChar w:fldCharType="separate"/>
      </w:r>
      <w:r w:rsidRPr="00EB238D">
        <w:rPr>
          <w:szCs w:val="24"/>
        </w:rPr>
        <w:t xml:space="preserve">Dirk Baltzly, ‘Stoicism’, in </w:t>
      </w:r>
      <w:r w:rsidRPr="00EB238D">
        <w:rPr>
          <w:i/>
          <w:iCs/>
          <w:szCs w:val="24"/>
        </w:rPr>
        <w:t>The Stanford Encyclopedia of Philosophy</w:t>
      </w:r>
      <w:r w:rsidRPr="00EB238D">
        <w:rPr>
          <w:szCs w:val="24"/>
        </w:rPr>
        <w:t>, ed. by Edward N. Zalta, Spring 2019 (Metaphysics Research Lab, Stanford University, 2019) &lt;https://plato.stanford.edu/archives/spr2019/entries/stoicism/&gt; [accessed 15 March 2020].</w:t>
      </w:r>
      <w:r>
        <w:fldChar w:fldCharType="end"/>
      </w:r>
    </w:p>
  </w:footnote>
  <w:footnote w:id="15">
    <w:p w14:paraId="154C9FD5" w14:textId="49A90B52" w:rsidR="00EB238D" w:rsidRDefault="00EB238D">
      <w:pPr>
        <w:pStyle w:val="FootnoteText"/>
      </w:pPr>
      <w:r>
        <w:rPr>
          <w:rStyle w:val="FootnoteReference"/>
        </w:rPr>
        <w:footnoteRef/>
      </w:r>
      <w:r>
        <w:t xml:space="preserve"> </w:t>
      </w:r>
      <w:r>
        <w:fldChar w:fldCharType="begin"/>
      </w:r>
      <w:r>
        <w:instrText xml:space="preserve"> ADDIN ZOTERO_ITEM CSL_CITATION {"citationID":"MZA7nwqS","properties":{"formattedCitation":"Baltzly.","plainCitation":"Baltzly.","noteIndex":9},"citationItems":[{"id":768,"uris":["http://zotero.org/users/local/RpYsDwja/items/T5BUS7G3"],"uri":["http://zotero.org/users/local/RpYsDwja/items/T5BUS7G3"],"itemData":{"id":768,"type":"chapter","abstract":"Stoicism was one of the new philosophical movements of the Hellenisticperiod. The name derives from the porch (stoa poikilê)in the Agora at Athens decorated with mural paintings, where themembers of the school congregated, and their lectures were held.Unlike ‘epicurean,’ the sense of the English adjective‘stoical’ is not utterly misleading with regard to itsphilosophical origins. The Stoics did, in fact, hold that emotionslike fear or envy (or impassioned sexual attachments, or passionatelove of anything whatsoever) either were, or arose from, falsejudgements and that the sage – a person who had attained moral andintellectual perfection – would not undergo them. The later Stoicsof Roman Imperial times, Seneca and Epictetus, emphasise the doctrines(already central to the early Stoics’ teachings) that the sageis utterly immune to misfortune and that virtue is sufficient forhappiness. Our phrase ‘stoic calm’ perhaps encapsulatesthe general drift of these claims. It does not, however, hint at theeven more radical ethical views which the Stoics defended, e.g. thatonly the sage is free while all others are slaves, or that all thosewho are morally vicious are equally so. (For other examples, seeCicero’s brief essay ‘Paradoxa Stoicorum’.) Thoughit seems clear that some Stoics took a kind of perverse joy inadvocating views which seem so at odds with common sense, they did notdo so simply to shock. Stoic ethics achieves a certain plausibilitywithin the context of their physical theory and psychology, and withinthe framework of Greek ethical theory as that was handed down to themfrom Plato and Aristotle. It seems that they were well aware of themutually interdependent nature of their philosophical views, likeningphilosophy itself to a living animal in which logic is bones andsinews; ethics and physics, the flesh and the soul respectively(another version reverses this assignment, making ethics the soul).Their views in logic and physics are no less distinctive andinteresting than those in ethics itself.","container-title":"The Stanford Encyclopedia of Philosophy","edition":"Spring 2019","publisher":"Metaphysics Research Lab, Stanford University","source":"Stanford Encyclopedia of Philosophy","title":"Stoicism","URL":"https://plato.stanford.edu/archives/spr2019/entries/stoicism/","author":[{"family":"Baltzly","given":"Dirk"}],"editor":[{"family":"Zalta","given":"Edward N."}],"accessed":{"date-parts":[["2020",3,15]]},"issued":{"date-parts":[["2019"]]}}}],"schema":"https://github.com/citation-style-language/schema/raw/master/csl-citation.json"} </w:instrText>
      </w:r>
      <w:r>
        <w:fldChar w:fldCharType="separate"/>
      </w:r>
      <w:r w:rsidRPr="00EB238D">
        <w:t>Baltzly.</w:t>
      </w:r>
      <w:r>
        <w:fldChar w:fldCharType="end"/>
      </w:r>
    </w:p>
  </w:footnote>
  <w:footnote w:id="16">
    <w:p w14:paraId="5022A372" w14:textId="77777777" w:rsidR="00607E00" w:rsidRDefault="00607E00" w:rsidP="00607E00">
      <w:pPr>
        <w:pStyle w:val="FootnoteText"/>
      </w:pPr>
      <w:r>
        <w:rPr>
          <w:rStyle w:val="FootnoteReference"/>
        </w:rPr>
        <w:footnoteRef/>
      </w:r>
      <w:r>
        <w:t xml:space="preserve"> </w:t>
      </w:r>
      <w:r>
        <w:fldChar w:fldCharType="begin"/>
      </w:r>
      <w:r>
        <w:instrText xml:space="preserve"> ADDIN ZOTERO_ITEM CSL_CITATION {"citationID":"Wlz6mc8G","properties":{"formattedCitation":"Saint Augustine, {\\i{}Confessions, Volume II: Books 9-13}, trans. by Carolyn J.B. Hammond (Cambridge, MA: Cambridge University Press, 2016).","plainCitation":"Saint Augustine, Confessions, Volume II: Books 9-13, trans. by Carolyn J.B. Hammond (Cambridge, MA: Cambridge University Press, 2016).","noteIndex":10},"citationItems":[{"id":761,"uris":["http://zotero.org/users/local/RpYsDwja/items/N9HU9H6V"],"uri":["http://zotero.org/users/local/RpYsDwja/items/N9HU9H6V"],"itemData":{"id":761,"type":"book","event-place":"Cambridge, MA","publisher":"Cambridge University Press","publisher-place":"Cambridge, MA","title":"Confessions, Volume II: Books 9-13","author":[{"literal":"Saint Augustine"}],"translator":[{"family":"Hammond","given":"Carolyn J.B."}],"issued":{"date-parts":[["2016"]]}}}],"schema":"https://github.com/citation-style-language/schema/raw/master/csl-citation.json"} </w:instrText>
      </w:r>
      <w:r>
        <w:fldChar w:fldCharType="separate"/>
      </w:r>
      <w:r w:rsidRPr="00460FF8">
        <w:rPr>
          <w:szCs w:val="24"/>
        </w:rPr>
        <w:t xml:space="preserve">Saint Augustine, </w:t>
      </w:r>
      <w:r w:rsidRPr="00460FF8">
        <w:rPr>
          <w:i/>
          <w:iCs/>
          <w:szCs w:val="24"/>
        </w:rPr>
        <w:t>Confessions, Volume II: Books 9-13</w:t>
      </w:r>
      <w:r w:rsidRPr="00460FF8">
        <w:rPr>
          <w:szCs w:val="24"/>
        </w:rPr>
        <w:t>, trans. by Carolyn J.B. Hammond (Cambridge, MA: Cambridge University Press, 2016).</w:t>
      </w:r>
      <w:r>
        <w:fldChar w:fldCharType="end"/>
      </w:r>
    </w:p>
  </w:footnote>
  <w:footnote w:id="17">
    <w:p w14:paraId="62FBDCD0" w14:textId="6245F841" w:rsidR="00607E00" w:rsidRDefault="00607E00">
      <w:pPr>
        <w:pStyle w:val="FootnoteText"/>
      </w:pPr>
      <w:r>
        <w:rPr>
          <w:rStyle w:val="FootnoteReference"/>
        </w:rPr>
        <w:footnoteRef/>
      </w:r>
      <w:r>
        <w:t xml:space="preserve"> </w:t>
      </w:r>
      <w:r>
        <w:fldChar w:fldCharType="begin"/>
      </w:r>
      <w:r>
        <w:instrText xml:space="preserve"> ADDIN ZOTERO_ITEM CSL_CITATION {"citationID":"2F37JPyr","properties":{"formattedCitation":"Christian Tornau, \\uc0\\u8216{}Saint Augustine\\uc0\\u8217{}, in {\\i{}The Stanford Encyclopedia of Philosophy}, ed. by Edward N. Zalta, Spring 2020 (Metaphysics Research Lab, Stanford University, 2020) &lt;https://plato.stanford.edu/archives/spr2020/entries/augustine/&gt; [accessed 15 March 2020].","plainCitation":"Christian Tornau, ‘Saint Augustine’, in The Stanford Encyclopedia of Philosophy, ed. by Edward N. Zalta, Spring 2020 (Metaphysics Research Lab, Stanford University, 2020) &lt;https://plato.stanford.edu/archives/spr2020/entries/augustine/&gt; [accessed 15 March 2020].","noteIndex":11},"citationItems":[{"id":770,"uris":["http://zotero.org/users/local/RpYsDwja/items/R84Z3NUK"],"uri":["http://zotero.org/users/local/RpYsDwja/items/R84Z3NUK"],"itemData":{"id":770,"type":"chapter","abstract":"Augustine was perhaps the greatest Christian philosopher of Antiquityand certainly the one who exerted the deepest and most lastinginfluence. He is a saint of the Catholic Church, and his authority intheological matters was universally accepted in the Latin Middle Agesand remained, in the Western Christian tradition, virtuallyuncontested till the nineteenth century. The impact of his views onsin, grace, freedom and sexuality on Western culture can hardly beoverrated. These views, deeply at variance with the ancientphilosophical and cultural tradition, provoked however fiercecriticism in Augustine’s lifetime and have, again, beenvigorously opposed in the twentieth and twenty-first centuries fromvarious (e.g., humanist, liberal, feminist) standpoints. Philosopherskeep however being fascinated by his often innovative ideas onlanguage, on skepticism and knowledge, on will and the emotions, onfreedom and determinism and on the structure of the human mind and,last but not least, by his way of doing philosophy, whichis—though of course committed to the truth of biblicalrevelation—surprisingly undogmatic and marked by a spirit ofrelentless inquiry. His most famous work, the Confessiones,is unique in the ancient literary tradition but greatly influenced themodern tradition of autobiography; it is an intriguing piece ofphilosophy from a first-person perspective. Because of his importancefor the philosophical tradition of the Middle Ages he is often listedas the first medieval philosopher. But even though he was born severaldecades after the emperor Constantine I had terminated theanti-Christian persecutions and, in his mature years, saw theanti-pagan and anti-heretic legislation of Theodosius I and his sons,which virtually made Catholic (i.e., Nicene) Christianity the officialreligion of the Roman Empire, Augustine did not live in a“medieval” Christian world. Pagan religious, cultural andsocial traditions were much alive in his congregation, as he oftendeplores in his sermons, and his own cultural outlook was, like thatof most of his learned upper-class contemporaries, shaped by theclassical Latin authors, poets and philosophers whom he studied in theschools of grammar and rhetoric long before he encountered the Bibleand Christian writers. Throughout his work he engages with pre- andnon-Christian philosophy, much of which he knew from firsthand.Platonism in particular remained a decisive ingredient of his thought.He is therefore best read as a Christian philosopher of late antiquityshaped by and in constant dialogue with the classical tradition., Translations from Greek or Latin texts in this entry are by theauthor, unless otherwise stated. Biblical quotations are translatedfrom Augustine’s Latin version; these may differ from the Greekor Hebrew original and/or from the Latin Vulgate.","container-title":"The Stanford Encyclopedia of Philosophy","edition":"Spring 2020","publisher":"Metaphysics Research Lab, Stanford University","source":"Stanford Encyclopedia of Philosophy","title":"Saint Augustine","URL":"https://plato.stanford.edu/archives/spr2020/entries/augustine/","author":[{"family":"Tornau","given":"Christian"}],"editor":[{"family":"Zalta","given":"Edward N."}],"accessed":{"date-parts":[["2020",3,15]]},"issued":{"date-parts":[["2020"]]}}}],"schema":"https://github.com/citation-style-language/schema/raw/master/csl-citation.json"} </w:instrText>
      </w:r>
      <w:r>
        <w:fldChar w:fldCharType="separate"/>
      </w:r>
      <w:r w:rsidRPr="00607E00">
        <w:rPr>
          <w:szCs w:val="24"/>
        </w:rPr>
        <w:t xml:space="preserve">Christian Tornau, ‘Saint Augustine’, in </w:t>
      </w:r>
      <w:r w:rsidRPr="00607E00">
        <w:rPr>
          <w:i/>
          <w:iCs/>
          <w:szCs w:val="24"/>
        </w:rPr>
        <w:t>The Stanford Encyclopedia of Philosophy</w:t>
      </w:r>
      <w:r w:rsidRPr="00607E00">
        <w:rPr>
          <w:szCs w:val="24"/>
        </w:rPr>
        <w:t>, ed. by Edward N. Zalta, Spring 2020 (Metaphysics Research Lab, Stanford University, 2020) &lt;https://plato.stanford.edu/archives/spr2020/entries/augustine/&gt; [accessed 15 March 2020].</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3C6"/>
    <w:rsid w:val="000152B5"/>
    <w:rsid w:val="000B72DA"/>
    <w:rsid w:val="000F35D0"/>
    <w:rsid w:val="00124F52"/>
    <w:rsid w:val="00212F35"/>
    <w:rsid w:val="00267704"/>
    <w:rsid w:val="002D248B"/>
    <w:rsid w:val="002F16FF"/>
    <w:rsid w:val="00300288"/>
    <w:rsid w:val="00347390"/>
    <w:rsid w:val="003C5098"/>
    <w:rsid w:val="004007EC"/>
    <w:rsid w:val="00435C3F"/>
    <w:rsid w:val="00445F07"/>
    <w:rsid w:val="00460FF8"/>
    <w:rsid w:val="004738B2"/>
    <w:rsid w:val="004C60B3"/>
    <w:rsid w:val="004E0F25"/>
    <w:rsid w:val="004F560C"/>
    <w:rsid w:val="0052092A"/>
    <w:rsid w:val="005C69B9"/>
    <w:rsid w:val="005F105C"/>
    <w:rsid w:val="005F61E3"/>
    <w:rsid w:val="00607E00"/>
    <w:rsid w:val="006818AB"/>
    <w:rsid w:val="00683552"/>
    <w:rsid w:val="00775EAF"/>
    <w:rsid w:val="00780330"/>
    <w:rsid w:val="007A1637"/>
    <w:rsid w:val="00880CC4"/>
    <w:rsid w:val="00936399"/>
    <w:rsid w:val="00944E9D"/>
    <w:rsid w:val="00954168"/>
    <w:rsid w:val="009C021F"/>
    <w:rsid w:val="009C1AF8"/>
    <w:rsid w:val="00B21CC5"/>
    <w:rsid w:val="00D9069D"/>
    <w:rsid w:val="00E560AF"/>
    <w:rsid w:val="00E973C6"/>
    <w:rsid w:val="00EA790A"/>
    <w:rsid w:val="00EB238D"/>
    <w:rsid w:val="00ED65C1"/>
    <w:rsid w:val="00F56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59920"/>
  <w15:chartTrackingRefBased/>
  <w15:docId w15:val="{8E31F5C4-6822-498A-8CF3-6AA0F6E43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3C6"/>
    <w:pPr>
      <w:spacing w:line="240" w:lineRule="auto"/>
      <w:ind w:left="851" w:right="1514"/>
    </w:pPr>
    <w:rPr>
      <w:rFonts w:ascii="Times New Roman" w:hAnsi="Times New Roman" w:cs="Times New Roman"/>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B72DA"/>
    <w:pPr>
      <w:spacing w:after="0"/>
    </w:pPr>
    <w:rPr>
      <w:sz w:val="20"/>
      <w:szCs w:val="20"/>
    </w:rPr>
  </w:style>
  <w:style w:type="character" w:customStyle="1" w:styleId="FootnoteTextChar">
    <w:name w:val="Footnote Text Char"/>
    <w:basedOn w:val="DefaultParagraphFont"/>
    <w:link w:val="FootnoteText"/>
    <w:uiPriority w:val="99"/>
    <w:semiHidden/>
    <w:rsid w:val="000B72DA"/>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0B72DA"/>
    <w:rPr>
      <w:vertAlign w:val="superscript"/>
    </w:rPr>
  </w:style>
  <w:style w:type="paragraph" w:styleId="Bibliography">
    <w:name w:val="Bibliography"/>
    <w:basedOn w:val="Normal"/>
    <w:next w:val="Normal"/>
    <w:uiPriority w:val="37"/>
    <w:unhideWhenUsed/>
    <w:rsid w:val="00347390"/>
    <w:pPr>
      <w:spacing w:after="240"/>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TotalTime>
  <Pages>12</Pages>
  <Words>2136</Words>
  <Characters>12177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Biggar (1703322)</dc:creator>
  <cp:keywords/>
  <dc:description/>
  <cp:lastModifiedBy>Georgia Biggar (1703322)</cp:lastModifiedBy>
  <cp:revision>6</cp:revision>
  <dcterms:created xsi:type="dcterms:W3CDTF">2020-03-15T19:55:00Z</dcterms:created>
  <dcterms:modified xsi:type="dcterms:W3CDTF">2020-03-15T21:26:00Z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zotero-version="5.0.84"&gt;&lt;session id="MjWGV6zK"/&gt;&lt;style id="http://www.zotero.org/styles/modern-humanities-research-association" hasBibliography="1" bibliographyStyleHasBeenSet="1"/&gt;&lt;prefs&gt;&lt;pref name="fieldType" value="Field"/&gt;&lt;pref </vt:lpwstr>
  </property>
  <property fmtid="{D5CDD505-2E9C-101B-9397-08002B2CF9AE}" pid="3" name="ZOTERO_PREF_2">
    <vt:lpwstr>name="noteType" value="1"/&gt;&lt;/prefs&gt;&lt;/data&gt;</vt:lpwstr>
  </property>
</Properties>
</file>