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color w:val="4472C4" w:themeColor="accent1"/>
          <w:sz w:val="22"/>
          <w:szCs w:val="22"/>
          <w:lang w:val="en-US" w:eastAsia="zh-CN"/>
        </w:rPr>
        <w:id w:val="-780955720"/>
        <w:docPartObj>
          <w:docPartGallery w:val="Cover Pages"/>
          <w:docPartUnique/>
        </w:docPartObj>
      </w:sdtPr>
      <w:sdtEndPr>
        <w:rPr>
          <w:color w:val="auto"/>
        </w:rPr>
      </w:sdtEndPr>
      <w:sdtContent>
        <w:p w14:paraId="15E545C2" w14:textId="77777777" w:rsidR="00236480" w:rsidRPr="003F16A5" w:rsidRDefault="00236480" w:rsidP="00236480">
          <w:pPr>
            <w:spacing w:line="360" w:lineRule="auto"/>
            <w:jc w:val="both"/>
            <w:rPr>
              <w:rFonts w:ascii="Times New Roman" w:hAnsi="Times New Roman" w:cs="Times New Roman"/>
              <w:lang w:bidi="en-US"/>
            </w:rPr>
          </w:pPr>
        </w:p>
        <w:p w14:paraId="17B1E724" w14:textId="77777777" w:rsidR="00236480" w:rsidRPr="00F23C52" w:rsidRDefault="00236480" w:rsidP="00236480">
          <w:pPr>
            <w:spacing w:after="165" w:line="360" w:lineRule="auto"/>
            <w:rPr>
              <w:rFonts w:ascii="Calibri" w:eastAsia="Calibri" w:hAnsi="Calibri" w:cs="Calibri"/>
              <w:color w:val="000000"/>
            </w:rPr>
          </w:pPr>
          <w:r w:rsidRPr="00F23C52">
            <w:rPr>
              <w:rFonts w:ascii="Calibri" w:eastAsia="Calibri" w:hAnsi="Calibri" w:cs="Calibri"/>
              <w:b/>
              <w:noProof/>
              <w:lang w:eastAsia="en-GB"/>
            </w:rPr>
            <w:drawing>
              <wp:inline distT="0" distB="0" distL="0" distR="0" wp14:anchorId="2B1B2FD3" wp14:editId="4D067AA2">
                <wp:extent cx="2209800" cy="742950"/>
                <wp:effectExtent l="19050" t="0" r="0" b="0"/>
                <wp:docPr id="45" name="Picture 4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EFD0461" w14:textId="77777777" w:rsidR="00236480" w:rsidRDefault="00236480" w:rsidP="00236480">
          <w:pPr>
            <w:spacing w:after="165" w:line="360" w:lineRule="auto"/>
            <w:jc w:val="center"/>
            <w:rPr>
              <w:rFonts w:ascii="Calibri" w:eastAsia="Calibri" w:hAnsi="Calibri" w:cs="Calibri"/>
              <w:color w:val="000000"/>
            </w:rPr>
          </w:pPr>
          <w:r w:rsidRPr="00F23C52">
            <w:rPr>
              <w:rFonts w:ascii="Calibri" w:eastAsia="Calibri" w:hAnsi="Calibri" w:cs="Calibri"/>
              <w:color w:val="000000"/>
            </w:rPr>
            <w:br/>
          </w:r>
        </w:p>
        <w:p w14:paraId="6B9DCED5" w14:textId="77777777" w:rsidR="00236480" w:rsidRDefault="00236480" w:rsidP="00236480">
          <w:pPr>
            <w:spacing w:after="165" w:line="360" w:lineRule="auto"/>
            <w:jc w:val="center"/>
            <w:rPr>
              <w:rFonts w:ascii="Calibri" w:eastAsia="Calibri" w:hAnsi="Calibri" w:cs="Calibri"/>
              <w:color w:val="000000"/>
            </w:rPr>
          </w:pPr>
        </w:p>
        <w:p w14:paraId="2014BA2A" w14:textId="77777777" w:rsidR="00236480" w:rsidRDefault="00236480" w:rsidP="00236480">
          <w:pPr>
            <w:spacing w:after="165" w:line="360" w:lineRule="auto"/>
            <w:jc w:val="center"/>
            <w:rPr>
              <w:rFonts w:ascii="Arial" w:eastAsia="Calibri" w:hAnsi="Arial" w:cs="Arial"/>
              <w:color w:val="000000"/>
            </w:rPr>
          </w:pPr>
          <w:r w:rsidRPr="00EB0782">
            <w:rPr>
              <w:rFonts w:ascii="Arial" w:eastAsia="Calibri" w:hAnsi="Arial" w:cs="Arial"/>
              <w:color w:val="000000"/>
            </w:rPr>
            <w:t>Skills for the Workplace</w:t>
          </w:r>
          <w:r>
            <w:rPr>
              <w:rFonts w:ascii="Arial" w:eastAsia="Calibri" w:hAnsi="Arial" w:cs="Arial"/>
              <w:color w:val="000000"/>
            </w:rPr>
            <w:t xml:space="preserve"> </w:t>
          </w:r>
        </w:p>
        <w:p w14:paraId="5636AF9A" w14:textId="77777777" w:rsidR="00236480" w:rsidRPr="00EB0782" w:rsidRDefault="00236480" w:rsidP="00236480">
          <w:pPr>
            <w:spacing w:after="165" w:line="360" w:lineRule="auto"/>
            <w:jc w:val="center"/>
            <w:rPr>
              <w:rFonts w:ascii="Arial" w:eastAsia="Calibri" w:hAnsi="Arial" w:cs="Arial"/>
              <w:color w:val="000000"/>
            </w:rPr>
          </w:pPr>
          <w:r w:rsidRPr="00EB0782">
            <w:rPr>
              <w:rFonts w:ascii="Arial" w:eastAsia="Calibri" w:hAnsi="Arial" w:cs="Arial"/>
              <w:color w:val="000000"/>
            </w:rPr>
            <w:t>Assignment Submission</w:t>
          </w:r>
        </w:p>
        <w:p w14:paraId="0AFB98B1" w14:textId="77777777" w:rsidR="00236480" w:rsidRPr="00EB0782" w:rsidRDefault="00236480" w:rsidP="00236480">
          <w:pPr>
            <w:spacing w:after="165" w:line="360" w:lineRule="auto"/>
            <w:rPr>
              <w:rFonts w:ascii="Arial" w:eastAsia="Calibri" w:hAnsi="Arial" w:cs="Arial"/>
              <w:color w:val="00000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36480" w:rsidRPr="002F683D" w14:paraId="3776B836" w14:textId="77777777" w:rsidTr="000D1F77">
            <w:tc>
              <w:tcPr>
                <w:tcW w:w="3438" w:type="dxa"/>
                <w:shd w:val="clear" w:color="auto" w:fill="D9D9D9"/>
              </w:tcPr>
              <w:p w14:paraId="711D676F" w14:textId="77777777" w:rsidR="00236480" w:rsidRPr="002F683D" w:rsidRDefault="00236480" w:rsidP="000D1F77">
                <w:pPr>
                  <w:spacing w:before="120" w:after="120" w:line="360" w:lineRule="auto"/>
                  <w:rPr>
                    <w:rFonts w:ascii="Arial" w:eastAsia="Calibri" w:hAnsi="Arial" w:cs="Arial"/>
                  </w:rPr>
                </w:pPr>
                <w:r w:rsidRPr="002F683D">
                  <w:rPr>
                    <w:rFonts w:ascii="Arial" w:eastAsia="Calibri" w:hAnsi="Arial" w:cs="Arial"/>
                  </w:rPr>
                  <w:t>Student Name:</w:t>
                </w:r>
              </w:p>
            </w:tc>
            <w:tc>
              <w:tcPr>
                <w:tcW w:w="6055" w:type="dxa"/>
              </w:tcPr>
              <w:p w14:paraId="101602D1" w14:textId="77777777" w:rsidR="00236480" w:rsidRPr="002F683D" w:rsidRDefault="00236480" w:rsidP="000D1F77">
                <w:pPr>
                  <w:spacing w:before="120" w:after="120" w:line="360" w:lineRule="auto"/>
                  <w:rPr>
                    <w:rFonts w:ascii="Arial" w:eastAsia="Calibri" w:hAnsi="Arial" w:cs="Arial"/>
                    <w:b/>
                    <w:bCs/>
                  </w:rPr>
                </w:pPr>
                <w:r w:rsidRPr="002F683D">
                  <w:rPr>
                    <w:rFonts w:ascii="Arial" w:eastAsia="Calibri" w:hAnsi="Arial" w:cs="Arial"/>
                    <w:b/>
                    <w:bCs/>
                    <w:color w:val="0070C0"/>
                  </w:rPr>
                  <w:t xml:space="preserve">Maryna </w:t>
                </w:r>
                <w:proofErr w:type="spellStart"/>
                <w:r w:rsidRPr="002F683D">
                  <w:rPr>
                    <w:rFonts w:ascii="Arial" w:eastAsia="Calibri" w:hAnsi="Arial" w:cs="Arial"/>
                    <w:b/>
                    <w:bCs/>
                    <w:color w:val="0070C0"/>
                  </w:rPr>
                  <w:t>Krainiuk</w:t>
                </w:r>
                <w:proofErr w:type="spellEnd"/>
              </w:p>
            </w:tc>
          </w:tr>
          <w:tr w:rsidR="00236480" w:rsidRPr="002F683D" w14:paraId="0A4E5D26" w14:textId="77777777" w:rsidTr="000D1F77">
            <w:tc>
              <w:tcPr>
                <w:tcW w:w="3438" w:type="dxa"/>
                <w:shd w:val="clear" w:color="auto" w:fill="D9D9D9"/>
              </w:tcPr>
              <w:p w14:paraId="6085B081" w14:textId="77777777" w:rsidR="00236480" w:rsidRPr="002F683D" w:rsidRDefault="00236480" w:rsidP="000D1F77">
                <w:pPr>
                  <w:spacing w:before="120" w:after="120" w:line="360" w:lineRule="auto"/>
                  <w:rPr>
                    <w:rFonts w:ascii="Arial" w:eastAsia="Calibri" w:hAnsi="Arial" w:cs="Arial"/>
                  </w:rPr>
                </w:pPr>
                <w:r w:rsidRPr="002F683D">
                  <w:rPr>
                    <w:rFonts w:ascii="Arial" w:eastAsia="Calibri" w:hAnsi="Arial" w:cs="Arial"/>
                  </w:rPr>
                  <w:t>Student ID:</w:t>
                </w:r>
              </w:p>
            </w:tc>
            <w:tc>
              <w:tcPr>
                <w:tcW w:w="6055" w:type="dxa"/>
              </w:tcPr>
              <w:p w14:paraId="03D12A3F" w14:textId="77777777" w:rsidR="00236480" w:rsidRPr="002F683D" w:rsidRDefault="00236480" w:rsidP="000D1F77">
                <w:pPr>
                  <w:spacing w:before="120" w:after="120" w:line="360" w:lineRule="auto"/>
                  <w:rPr>
                    <w:rFonts w:ascii="Arial" w:eastAsia="Calibri" w:hAnsi="Arial" w:cs="Arial"/>
                    <w:b/>
                    <w:bCs/>
                  </w:rPr>
                </w:pPr>
                <w:r w:rsidRPr="002F683D">
                  <w:rPr>
                    <w:rFonts w:ascii="Arial" w:eastAsia="Calibri" w:hAnsi="Arial" w:cs="Arial"/>
                    <w:b/>
                    <w:bCs/>
                    <w:color w:val="0070C0"/>
                  </w:rPr>
                  <w:t>2011437</w:t>
                </w:r>
              </w:p>
            </w:tc>
          </w:tr>
          <w:tr w:rsidR="00236480" w:rsidRPr="002F683D" w14:paraId="6EAA5AA0" w14:textId="77777777" w:rsidTr="000D1F77">
            <w:tc>
              <w:tcPr>
                <w:tcW w:w="3438" w:type="dxa"/>
                <w:shd w:val="clear" w:color="auto" w:fill="D9D9D9"/>
              </w:tcPr>
              <w:p w14:paraId="7B583F5C" w14:textId="77777777" w:rsidR="00236480" w:rsidRPr="002F683D" w:rsidRDefault="00236480" w:rsidP="000D1F77">
                <w:pPr>
                  <w:spacing w:before="120" w:after="120" w:line="360" w:lineRule="auto"/>
                  <w:rPr>
                    <w:rFonts w:ascii="Arial" w:eastAsia="Calibri" w:hAnsi="Arial" w:cs="Arial"/>
                  </w:rPr>
                </w:pPr>
                <w:r w:rsidRPr="002F683D">
                  <w:rPr>
                    <w:rFonts w:ascii="Arial" w:eastAsia="Calibri" w:hAnsi="Arial" w:cs="Arial"/>
                  </w:rPr>
                  <w:t>Module No:</w:t>
                </w:r>
              </w:p>
            </w:tc>
            <w:tc>
              <w:tcPr>
                <w:tcW w:w="6055" w:type="dxa"/>
              </w:tcPr>
              <w:p w14:paraId="0383B459" w14:textId="77777777" w:rsidR="00236480" w:rsidRPr="002F683D" w:rsidRDefault="00236480" w:rsidP="000D1F77">
                <w:pPr>
                  <w:spacing w:before="120" w:after="120" w:line="360" w:lineRule="auto"/>
                  <w:rPr>
                    <w:rFonts w:ascii="Arial" w:eastAsia="Calibri" w:hAnsi="Arial" w:cs="Arial"/>
                    <w:b/>
                    <w:bCs/>
                    <w:color w:val="FF0000"/>
                  </w:rPr>
                </w:pPr>
                <w:r w:rsidRPr="002F683D">
                  <w:rPr>
                    <w:rFonts w:ascii="Arial" w:eastAsia="Calibri" w:hAnsi="Arial" w:cs="Arial"/>
                    <w:b/>
                    <w:bCs/>
                    <w:color w:val="0070C0"/>
                  </w:rPr>
                  <w:t>BM</w:t>
                </w:r>
                <w:r>
                  <w:rPr>
                    <w:rFonts w:ascii="Arial" w:eastAsia="Calibri" w:hAnsi="Arial" w:cs="Arial"/>
                    <w:b/>
                    <w:bCs/>
                    <w:color w:val="0070C0"/>
                  </w:rPr>
                  <w:t>HP</w:t>
                </w:r>
                <w:r w:rsidRPr="002F683D">
                  <w:rPr>
                    <w:rFonts w:ascii="Arial" w:eastAsia="Calibri" w:hAnsi="Arial" w:cs="Arial"/>
                    <w:b/>
                    <w:bCs/>
                    <w:color w:val="0070C0"/>
                  </w:rPr>
                  <w:t>400</w:t>
                </w:r>
                <w:r>
                  <w:rPr>
                    <w:rFonts w:ascii="Arial" w:eastAsia="Calibri" w:hAnsi="Arial" w:cs="Arial"/>
                    <w:b/>
                    <w:bCs/>
                    <w:color w:val="0070C0"/>
                  </w:rPr>
                  <w:t>3</w:t>
                </w:r>
                <w:r w:rsidRPr="002F683D">
                  <w:rPr>
                    <w:rFonts w:ascii="Arial" w:eastAsia="Calibri" w:hAnsi="Arial" w:cs="Arial"/>
                    <w:b/>
                    <w:bCs/>
                    <w:color w:val="0070C0"/>
                  </w:rPr>
                  <w:t>_LON</w:t>
                </w:r>
              </w:p>
            </w:tc>
          </w:tr>
          <w:tr w:rsidR="00236480" w:rsidRPr="002F683D" w14:paraId="0E9DA47B" w14:textId="77777777" w:rsidTr="000D1F77">
            <w:trPr>
              <w:trHeight w:val="413"/>
            </w:trPr>
            <w:tc>
              <w:tcPr>
                <w:tcW w:w="3438" w:type="dxa"/>
                <w:shd w:val="clear" w:color="auto" w:fill="D9D9D9"/>
              </w:tcPr>
              <w:p w14:paraId="186390FB" w14:textId="77777777" w:rsidR="00236480" w:rsidRPr="002F683D" w:rsidRDefault="00236480" w:rsidP="000D1F77">
                <w:pPr>
                  <w:spacing w:before="120" w:after="120" w:line="360" w:lineRule="auto"/>
                  <w:rPr>
                    <w:rFonts w:ascii="Arial" w:eastAsia="Calibri" w:hAnsi="Arial" w:cs="Arial"/>
                  </w:rPr>
                </w:pPr>
                <w:r w:rsidRPr="002F683D">
                  <w:rPr>
                    <w:rFonts w:ascii="Arial" w:eastAsia="Calibri" w:hAnsi="Arial" w:cs="Arial"/>
                  </w:rPr>
                  <w:t>Module Title:</w:t>
                </w:r>
              </w:p>
            </w:tc>
            <w:tc>
              <w:tcPr>
                <w:tcW w:w="6055" w:type="dxa"/>
              </w:tcPr>
              <w:p w14:paraId="3EBDB38B" w14:textId="77777777" w:rsidR="00236480" w:rsidRPr="002F683D" w:rsidRDefault="00236480" w:rsidP="000D1F77">
                <w:pPr>
                  <w:spacing w:before="120" w:after="120" w:line="360" w:lineRule="auto"/>
                  <w:rPr>
                    <w:rFonts w:ascii="Arial" w:eastAsia="Calibri" w:hAnsi="Arial" w:cs="Arial"/>
                    <w:b/>
                    <w:bCs/>
                    <w:color w:val="0070C0"/>
                  </w:rPr>
                </w:pPr>
                <w:r w:rsidRPr="002F683D">
                  <w:rPr>
                    <w:rFonts w:ascii="Arial" w:eastAsia="Calibri" w:hAnsi="Arial" w:cs="Arial"/>
                    <w:b/>
                    <w:bCs/>
                    <w:color w:val="0070C0"/>
                  </w:rPr>
                  <w:t>Psych</w:t>
                </w:r>
                <w:r>
                  <w:rPr>
                    <w:rFonts w:ascii="Arial" w:eastAsia="Calibri" w:hAnsi="Arial" w:cs="Arial"/>
                    <w:b/>
                    <w:bCs/>
                    <w:color w:val="0070C0"/>
                  </w:rPr>
                  <w:t>o</w:t>
                </w:r>
                <w:r w:rsidRPr="002F683D">
                  <w:rPr>
                    <w:rFonts w:ascii="Arial" w:eastAsia="Calibri" w:hAnsi="Arial" w:cs="Arial"/>
                    <w:b/>
                    <w:bCs/>
                    <w:color w:val="0070C0"/>
                  </w:rPr>
                  <w:t>logy</w:t>
                </w:r>
                <w:r>
                  <w:rPr>
                    <w:rFonts w:ascii="Arial" w:eastAsia="Calibri" w:hAnsi="Arial" w:cs="Arial"/>
                    <w:b/>
                    <w:bCs/>
                    <w:color w:val="0070C0"/>
                  </w:rPr>
                  <w:t xml:space="preserve"> for Health and Social Care</w:t>
                </w:r>
              </w:p>
            </w:tc>
          </w:tr>
          <w:tr w:rsidR="00236480" w:rsidRPr="002F683D" w14:paraId="6CBC78A8" w14:textId="77777777" w:rsidTr="000D1F77">
            <w:trPr>
              <w:trHeight w:val="413"/>
            </w:trPr>
            <w:tc>
              <w:tcPr>
                <w:tcW w:w="3438" w:type="dxa"/>
                <w:shd w:val="clear" w:color="auto" w:fill="D9D9D9"/>
              </w:tcPr>
              <w:p w14:paraId="50BBB303" w14:textId="77777777" w:rsidR="00236480" w:rsidRPr="002F683D" w:rsidRDefault="00236480" w:rsidP="000D1F77">
                <w:pPr>
                  <w:spacing w:before="120" w:after="120" w:line="360" w:lineRule="auto"/>
                  <w:rPr>
                    <w:rFonts w:ascii="Arial" w:eastAsia="Calibri" w:hAnsi="Arial" w:cs="Arial"/>
                  </w:rPr>
                </w:pPr>
                <w:r w:rsidRPr="002F683D">
                  <w:rPr>
                    <w:rFonts w:ascii="Arial" w:eastAsia="Calibri" w:hAnsi="Arial" w:cs="Arial"/>
                  </w:rPr>
                  <w:t>Lecturer:</w:t>
                </w:r>
              </w:p>
            </w:tc>
            <w:tc>
              <w:tcPr>
                <w:tcW w:w="6055" w:type="dxa"/>
              </w:tcPr>
              <w:p w14:paraId="4BCF59FF" w14:textId="77777777" w:rsidR="00236480" w:rsidRPr="002F683D" w:rsidRDefault="00236480" w:rsidP="000D1F77">
                <w:pPr>
                  <w:spacing w:before="120" w:after="120" w:line="360" w:lineRule="auto"/>
                  <w:rPr>
                    <w:rFonts w:ascii="Arial" w:eastAsia="Calibri" w:hAnsi="Arial" w:cs="Arial"/>
                    <w:b/>
                    <w:bCs/>
                    <w:color w:val="FF0000"/>
                  </w:rPr>
                </w:pPr>
                <w:r w:rsidRPr="002F683D">
                  <w:rPr>
                    <w:rFonts w:ascii="Arial" w:eastAsia="Calibri" w:hAnsi="Arial" w:cs="Arial"/>
                    <w:b/>
                    <w:bCs/>
                    <w:color w:val="0070C0"/>
                  </w:rPr>
                  <w:t xml:space="preserve">Diya </w:t>
                </w:r>
                <w:proofErr w:type="spellStart"/>
                <w:r w:rsidRPr="002F683D">
                  <w:rPr>
                    <w:rFonts w:ascii="Arial" w:eastAsia="Calibri" w:hAnsi="Arial" w:cs="Arial"/>
                    <w:b/>
                    <w:bCs/>
                    <w:color w:val="0070C0"/>
                  </w:rPr>
                  <w:t>Ganguly</w:t>
                </w:r>
                <w:proofErr w:type="spellEnd"/>
                <w:r w:rsidRPr="002F683D">
                  <w:rPr>
                    <w:rFonts w:ascii="Arial" w:eastAsia="Calibri" w:hAnsi="Arial" w:cs="Arial"/>
                    <w:b/>
                    <w:bCs/>
                    <w:color w:val="0070C0"/>
                  </w:rPr>
                  <w:t xml:space="preserve"> </w:t>
                </w:r>
              </w:p>
            </w:tc>
          </w:tr>
        </w:tbl>
        <w:p w14:paraId="46DF72DA" w14:textId="156DA9E3" w:rsidR="00236480" w:rsidRPr="00236480" w:rsidRDefault="00236480" w:rsidP="00236480">
          <w:pPr>
            <w:pStyle w:val="NoSpacing"/>
            <w:spacing w:before="1540" w:after="240"/>
            <w:rPr>
              <w:color w:val="4472C4" w:themeColor="accent1"/>
            </w:rPr>
          </w:pPr>
          <w:r>
            <w:br w:type="page"/>
          </w:r>
        </w:p>
      </w:sdtContent>
    </w:sdt>
    <w:sdt>
      <w:sdtPr>
        <w:rPr>
          <w:rFonts w:asciiTheme="minorHAnsi" w:eastAsiaTheme="minorHAnsi" w:hAnsiTheme="minorHAnsi" w:cstheme="minorBidi"/>
          <w:b w:val="0"/>
          <w:bCs w:val="0"/>
          <w:color w:val="auto"/>
          <w:sz w:val="24"/>
          <w:szCs w:val="24"/>
          <w:lang w:val="en-GB"/>
        </w:rPr>
        <w:id w:val="-225222590"/>
        <w:docPartObj>
          <w:docPartGallery w:val="Table of Contents"/>
          <w:docPartUnique/>
        </w:docPartObj>
      </w:sdtPr>
      <w:sdtEndPr>
        <w:rPr>
          <w:noProof/>
        </w:rPr>
      </w:sdtEndPr>
      <w:sdtContent>
        <w:p w14:paraId="2D494756" w14:textId="7A6E6CA0" w:rsidR="00024537" w:rsidRPr="00203886" w:rsidRDefault="00024537" w:rsidP="00203886">
          <w:pPr>
            <w:pStyle w:val="TOCHeading"/>
            <w:jc w:val="center"/>
            <w:rPr>
              <w:rFonts w:ascii="Arial" w:hAnsi="Arial" w:cs="Arial"/>
              <w:color w:val="000000" w:themeColor="text1"/>
            </w:rPr>
          </w:pPr>
          <w:r w:rsidRPr="00203886">
            <w:rPr>
              <w:rFonts w:ascii="Arial" w:hAnsi="Arial" w:cs="Arial"/>
              <w:color w:val="000000" w:themeColor="text1"/>
            </w:rPr>
            <w:t>Table of Contents</w:t>
          </w:r>
        </w:p>
        <w:p w14:paraId="2DDFA49E" w14:textId="08F2FED6" w:rsidR="0076235D" w:rsidRDefault="0002453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0874640" w:history="1">
            <w:r w:rsidR="0076235D" w:rsidRPr="00DF3B41">
              <w:rPr>
                <w:rStyle w:val="Hyperlink"/>
                <w:rFonts w:ascii="Arial" w:hAnsi="Arial" w:cs="Arial"/>
                <w:noProof/>
                <w:lang w:bidi="en-US"/>
              </w:rPr>
              <w:t>1.Introduction</w:t>
            </w:r>
            <w:r w:rsidR="0076235D">
              <w:rPr>
                <w:noProof/>
                <w:webHidden/>
              </w:rPr>
              <w:tab/>
            </w:r>
            <w:r w:rsidR="0076235D">
              <w:rPr>
                <w:noProof/>
                <w:webHidden/>
              </w:rPr>
              <w:fldChar w:fldCharType="begin"/>
            </w:r>
            <w:r w:rsidR="0076235D">
              <w:rPr>
                <w:noProof/>
                <w:webHidden/>
              </w:rPr>
              <w:instrText xml:space="preserve"> PAGEREF _Toc80874640 \h </w:instrText>
            </w:r>
            <w:r w:rsidR="0076235D">
              <w:rPr>
                <w:noProof/>
                <w:webHidden/>
              </w:rPr>
            </w:r>
            <w:r w:rsidR="0076235D">
              <w:rPr>
                <w:noProof/>
                <w:webHidden/>
              </w:rPr>
              <w:fldChar w:fldCharType="separate"/>
            </w:r>
            <w:r w:rsidR="0076235D">
              <w:rPr>
                <w:noProof/>
                <w:webHidden/>
              </w:rPr>
              <w:t>3</w:t>
            </w:r>
            <w:r w:rsidR="0076235D">
              <w:rPr>
                <w:noProof/>
                <w:webHidden/>
              </w:rPr>
              <w:fldChar w:fldCharType="end"/>
            </w:r>
          </w:hyperlink>
        </w:p>
        <w:p w14:paraId="77BB183D" w14:textId="598EDBAB" w:rsidR="0076235D" w:rsidRDefault="0076235D">
          <w:pPr>
            <w:pStyle w:val="TOC1"/>
            <w:tabs>
              <w:tab w:val="right" w:leader="dot" w:pos="9016"/>
            </w:tabs>
            <w:rPr>
              <w:rFonts w:eastAsiaTheme="minorEastAsia"/>
              <w:b w:val="0"/>
              <w:bCs w:val="0"/>
              <w:i w:val="0"/>
              <w:iCs w:val="0"/>
              <w:noProof/>
              <w:lang w:eastAsia="en-GB"/>
            </w:rPr>
          </w:pPr>
          <w:hyperlink w:anchor="_Toc80874641" w:history="1">
            <w:r w:rsidRPr="00DF3B41">
              <w:rPr>
                <w:rStyle w:val="Hyperlink"/>
                <w:rFonts w:ascii="Arial" w:hAnsi="Arial" w:cs="Arial"/>
                <w:noProof/>
                <w:lang w:bidi="en-US"/>
              </w:rPr>
              <w:t>2.Human Development Stages of Erikson’s Theory</w:t>
            </w:r>
            <w:r>
              <w:rPr>
                <w:noProof/>
                <w:webHidden/>
              </w:rPr>
              <w:tab/>
            </w:r>
            <w:r>
              <w:rPr>
                <w:noProof/>
                <w:webHidden/>
              </w:rPr>
              <w:fldChar w:fldCharType="begin"/>
            </w:r>
            <w:r>
              <w:rPr>
                <w:noProof/>
                <w:webHidden/>
              </w:rPr>
              <w:instrText xml:space="preserve"> PAGEREF _Toc80874641 \h </w:instrText>
            </w:r>
            <w:r>
              <w:rPr>
                <w:noProof/>
                <w:webHidden/>
              </w:rPr>
            </w:r>
            <w:r>
              <w:rPr>
                <w:noProof/>
                <w:webHidden/>
              </w:rPr>
              <w:fldChar w:fldCharType="separate"/>
            </w:r>
            <w:r>
              <w:rPr>
                <w:noProof/>
                <w:webHidden/>
              </w:rPr>
              <w:t>4</w:t>
            </w:r>
            <w:r>
              <w:rPr>
                <w:noProof/>
                <w:webHidden/>
              </w:rPr>
              <w:fldChar w:fldCharType="end"/>
            </w:r>
          </w:hyperlink>
        </w:p>
        <w:p w14:paraId="5F9DCA01" w14:textId="768E8A11" w:rsidR="0076235D" w:rsidRDefault="0076235D">
          <w:pPr>
            <w:pStyle w:val="TOC1"/>
            <w:tabs>
              <w:tab w:val="right" w:leader="dot" w:pos="9016"/>
            </w:tabs>
            <w:rPr>
              <w:rFonts w:eastAsiaTheme="minorEastAsia"/>
              <w:b w:val="0"/>
              <w:bCs w:val="0"/>
              <w:i w:val="0"/>
              <w:iCs w:val="0"/>
              <w:noProof/>
              <w:lang w:eastAsia="en-GB"/>
            </w:rPr>
          </w:pPr>
          <w:hyperlink w:anchor="_Toc80874642" w:history="1">
            <w:r w:rsidRPr="00DF3B41">
              <w:rPr>
                <w:rStyle w:val="Hyperlink"/>
                <w:rFonts w:ascii="Arial" w:hAnsi="Arial" w:cs="Arial"/>
                <w:noProof/>
                <w:lang w:bidi="en-US"/>
              </w:rPr>
              <w:t>3.Consideration of Erikson’s Theory in a Group Presentation</w:t>
            </w:r>
            <w:r>
              <w:rPr>
                <w:noProof/>
                <w:webHidden/>
              </w:rPr>
              <w:tab/>
            </w:r>
            <w:r>
              <w:rPr>
                <w:noProof/>
                <w:webHidden/>
              </w:rPr>
              <w:fldChar w:fldCharType="begin"/>
            </w:r>
            <w:r>
              <w:rPr>
                <w:noProof/>
                <w:webHidden/>
              </w:rPr>
              <w:instrText xml:space="preserve"> PAGEREF _Toc80874642 \h </w:instrText>
            </w:r>
            <w:r>
              <w:rPr>
                <w:noProof/>
                <w:webHidden/>
              </w:rPr>
            </w:r>
            <w:r>
              <w:rPr>
                <w:noProof/>
                <w:webHidden/>
              </w:rPr>
              <w:fldChar w:fldCharType="separate"/>
            </w:r>
            <w:r>
              <w:rPr>
                <w:noProof/>
                <w:webHidden/>
              </w:rPr>
              <w:t>6</w:t>
            </w:r>
            <w:r>
              <w:rPr>
                <w:noProof/>
                <w:webHidden/>
              </w:rPr>
              <w:fldChar w:fldCharType="end"/>
            </w:r>
          </w:hyperlink>
        </w:p>
        <w:p w14:paraId="435B6D4B" w14:textId="6D4C1CD3" w:rsidR="0076235D" w:rsidRDefault="0076235D">
          <w:pPr>
            <w:pStyle w:val="TOC1"/>
            <w:tabs>
              <w:tab w:val="right" w:leader="dot" w:pos="9016"/>
            </w:tabs>
            <w:rPr>
              <w:rFonts w:eastAsiaTheme="minorEastAsia"/>
              <w:b w:val="0"/>
              <w:bCs w:val="0"/>
              <w:i w:val="0"/>
              <w:iCs w:val="0"/>
              <w:noProof/>
              <w:lang w:eastAsia="en-GB"/>
            </w:rPr>
          </w:pPr>
          <w:hyperlink w:anchor="_Toc80874643" w:history="1">
            <w:r w:rsidRPr="00DF3B41">
              <w:rPr>
                <w:rStyle w:val="Hyperlink"/>
                <w:rFonts w:ascii="Arial" w:hAnsi="Arial" w:cs="Arial"/>
                <w:noProof/>
                <w:lang w:bidi="en-US"/>
              </w:rPr>
              <w:t>4.The Impact of Erik Erikson’s Theory on Health and Well-being</w:t>
            </w:r>
            <w:r>
              <w:rPr>
                <w:noProof/>
                <w:webHidden/>
              </w:rPr>
              <w:tab/>
            </w:r>
            <w:r>
              <w:rPr>
                <w:noProof/>
                <w:webHidden/>
              </w:rPr>
              <w:fldChar w:fldCharType="begin"/>
            </w:r>
            <w:r>
              <w:rPr>
                <w:noProof/>
                <w:webHidden/>
              </w:rPr>
              <w:instrText xml:space="preserve"> PAGEREF _Toc80874643 \h </w:instrText>
            </w:r>
            <w:r>
              <w:rPr>
                <w:noProof/>
                <w:webHidden/>
              </w:rPr>
            </w:r>
            <w:r>
              <w:rPr>
                <w:noProof/>
                <w:webHidden/>
              </w:rPr>
              <w:fldChar w:fldCharType="separate"/>
            </w:r>
            <w:r>
              <w:rPr>
                <w:noProof/>
                <w:webHidden/>
              </w:rPr>
              <w:t>7</w:t>
            </w:r>
            <w:r>
              <w:rPr>
                <w:noProof/>
                <w:webHidden/>
              </w:rPr>
              <w:fldChar w:fldCharType="end"/>
            </w:r>
          </w:hyperlink>
        </w:p>
        <w:p w14:paraId="257CA36D" w14:textId="246E70B1" w:rsidR="0076235D" w:rsidRDefault="0076235D">
          <w:pPr>
            <w:pStyle w:val="TOC1"/>
            <w:tabs>
              <w:tab w:val="right" w:leader="dot" w:pos="9016"/>
            </w:tabs>
            <w:rPr>
              <w:rFonts w:eastAsiaTheme="minorEastAsia"/>
              <w:b w:val="0"/>
              <w:bCs w:val="0"/>
              <w:i w:val="0"/>
              <w:iCs w:val="0"/>
              <w:noProof/>
              <w:lang w:eastAsia="en-GB"/>
            </w:rPr>
          </w:pPr>
          <w:hyperlink w:anchor="_Toc80874644" w:history="1">
            <w:r w:rsidRPr="00DF3B41">
              <w:rPr>
                <w:rStyle w:val="Hyperlink"/>
                <w:rFonts w:ascii="Arial" w:hAnsi="Arial" w:cs="Arial"/>
                <w:noProof/>
                <w:lang w:bidi="en-US"/>
              </w:rPr>
              <w:t>5.Practical Implications</w:t>
            </w:r>
            <w:r>
              <w:rPr>
                <w:noProof/>
                <w:webHidden/>
              </w:rPr>
              <w:tab/>
            </w:r>
            <w:r>
              <w:rPr>
                <w:noProof/>
                <w:webHidden/>
              </w:rPr>
              <w:fldChar w:fldCharType="begin"/>
            </w:r>
            <w:r>
              <w:rPr>
                <w:noProof/>
                <w:webHidden/>
              </w:rPr>
              <w:instrText xml:space="preserve"> PAGEREF _Toc80874644 \h </w:instrText>
            </w:r>
            <w:r>
              <w:rPr>
                <w:noProof/>
                <w:webHidden/>
              </w:rPr>
            </w:r>
            <w:r>
              <w:rPr>
                <w:noProof/>
                <w:webHidden/>
              </w:rPr>
              <w:fldChar w:fldCharType="separate"/>
            </w:r>
            <w:r>
              <w:rPr>
                <w:noProof/>
                <w:webHidden/>
              </w:rPr>
              <w:t>7</w:t>
            </w:r>
            <w:r>
              <w:rPr>
                <w:noProof/>
                <w:webHidden/>
              </w:rPr>
              <w:fldChar w:fldCharType="end"/>
            </w:r>
          </w:hyperlink>
        </w:p>
        <w:p w14:paraId="39964385" w14:textId="13C42382" w:rsidR="0076235D" w:rsidRDefault="0076235D">
          <w:pPr>
            <w:pStyle w:val="TOC1"/>
            <w:tabs>
              <w:tab w:val="right" w:leader="dot" w:pos="9016"/>
            </w:tabs>
            <w:rPr>
              <w:rFonts w:eastAsiaTheme="minorEastAsia"/>
              <w:b w:val="0"/>
              <w:bCs w:val="0"/>
              <w:i w:val="0"/>
              <w:iCs w:val="0"/>
              <w:noProof/>
              <w:lang w:eastAsia="en-GB"/>
            </w:rPr>
          </w:pPr>
          <w:hyperlink w:anchor="_Toc80874645" w:history="1">
            <w:r w:rsidRPr="00DF3B41">
              <w:rPr>
                <w:rStyle w:val="Hyperlink"/>
                <w:rFonts w:ascii="Arial" w:hAnsi="Arial" w:cs="Arial"/>
                <w:noProof/>
                <w:lang w:bidi="en-US"/>
              </w:rPr>
              <w:t>6.Conclusion</w:t>
            </w:r>
            <w:r>
              <w:rPr>
                <w:noProof/>
                <w:webHidden/>
              </w:rPr>
              <w:tab/>
            </w:r>
            <w:r>
              <w:rPr>
                <w:noProof/>
                <w:webHidden/>
              </w:rPr>
              <w:fldChar w:fldCharType="begin"/>
            </w:r>
            <w:r>
              <w:rPr>
                <w:noProof/>
                <w:webHidden/>
              </w:rPr>
              <w:instrText xml:space="preserve"> PAGEREF _Toc80874645 \h </w:instrText>
            </w:r>
            <w:r>
              <w:rPr>
                <w:noProof/>
                <w:webHidden/>
              </w:rPr>
            </w:r>
            <w:r>
              <w:rPr>
                <w:noProof/>
                <w:webHidden/>
              </w:rPr>
              <w:fldChar w:fldCharType="separate"/>
            </w:r>
            <w:r>
              <w:rPr>
                <w:noProof/>
                <w:webHidden/>
              </w:rPr>
              <w:t>8</w:t>
            </w:r>
            <w:r>
              <w:rPr>
                <w:noProof/>
                <w:webHidden/>
              </w:rPr>
              <w:fldChar w:fldCharType="end"/>
            </w:r>
          </w:hyperlink>
        </w:p>
        <w:p w14:paraId="54A924A0" w14:textId="6E9FACD5" w:rsidR="0076235D" w:rsidRDefault="0076235D">
          <w:pPr>
            <w:pStyle w:val="TOC1"/>
            <w:tabs>
              <w:tab w:val="right" w:leader="dot" w:pos="9016"/>
            </w:tabs>
            <w:rPr>
              <w:rFonts w:eastAsiaTheme="minorEastAsia"/>
              <w:b w:val="0"/>
              <w:bCs w:val="0"/>
              <w:i w:val="0"/>
              <w:iCs w:val="0"/>
              <w:noProof/>
              <w:lang w:eastAsia="en-GB"/>
            </w:rPr>
          </w:pPr>
          <w:hyperlink w:anchor="_Toc80874646" w:history="1">
            <w:r w:rsidRPr="00DF3B41">
              <w:rPr>
                <w:rStyle w:val="Hyperlink"/>
                <w:rFonts w:ascii="Arial" w:hAnsi="Arial" w:cs="Arial"/>
                <w:noProof/>
                <w:lang w:bidi="en-US"/>
              </w:rPr>
              <w:t>References</w:t>
            </w:r>
            <w:r>
              <w:rPr>
                <w:noProof/>
                <w:webHidden/>
              </w:rPr>
              <w:tab/>
            </w:r>
            <w:r>
              <w:rPr>
                <w:noProof/>
                <w:webHidden/>
              </w:rPr>
              <w:fldChar w:fldCharType="begin"/>
            </w:r>
            <w:r>
              <w:rPr>
                <w:noProof/>
                <w:webHidden/>
              </w:rPr>
              <w:instrText xml:space="preserve"> PAGEREF _Toc80874646 \h </w:instrText>
            </w:r>
            <w:r>
              <w:rPr>
                <w:noProof/>
                <w:webHidden/>
              </w:rPr>
            </w:r>
            <w:r>
              <w:rPr>
                <w:noProof/>
                <w:webHidden/>
              </w:rPr>
              <w:fldChar w:fldCharType="separate"/>
            </w:r>
            <w:r>
              <w:rPr>
                <w:noProof/>
                <w:webHidden/>
              </w:rPr>
              <w:t>9</w:t>
            </w:r>
            <w:r>
              <w:rPr>
                <w:noProof/>
                <w:webHidden/>
              </w:rPr>
              <w:fldChar w:fldCharType="end"/>
            </w:r>
          </w:hyperlink>
        </w:p>
        <w:p w14:paraId="6F4274D2" w14:textId="77EEE9C2" w:rsidR="00024537" w:rsidRDefault="00024537">
          <w:r>
            <w:rPr>
              <w:b/>
              <w:bCs/>
              <w:noProof/>
            </w:rPr>
            <w:fldChar w:fldCharType="end"/>
          </w:r>
        </w:p>
      </w:sdtContent>
    </w:sdt>
    <w:p w14:paraId="41C71CC2" w14:textId="77777777" w:rsidR="00236480" w:rsidRDefault="00236480"/>
    <w:p w14:paraId="22575581" w14:textId="21268AE4" w:rsidR="002E2F6C" w:rsidRPr="002E2F6C" w:rsidRDefault="00236480" w:rsidP="002E2F6C">
      <w:pPr>
        <w:pStyle w:val="Heading1"/>
        <w:jc w:val="center"/>
        <w:rPr>
          <w:rFonts w:ascii="Arial" w:hAnsi="Arial" w:cs="Arial"/>
        </w:rPr>
      </w:pPr>
      <w:r>
        <w:br w:type="page"/>
      </w:r>
      <w:bookmarkStart w:id="0" w:name="_Toc80205498"/>
      <w:bookmarkStart w:id="1" w:name="_Toc80630903"/>
      <w:bookmarkStart w:id="2" w:name="_Toc80631602"/>
      <w:bookmarkStart w:id="3" w:name="_Toc80874640"/>
      <w:r w:rsidR="002E2F6C" w:rsidRPr="002E2F6C">
        <w:rPr>
          <w:rFonts w:ascii="Arial" w:hAnsi="Arial" w:cs="Arial"/>
          <w:color w:val="000000" w:themeColor="text1"/>
        </w:rPr>
        <w:lastRenderedPageBreak/>
        <w:t>1.Introduction</w:t>
      </w:r>
      <w:bookmarkEnd w:id="0"/>
      <w:bookmarkEnd w:id="1"/>
      <w:bookmarkEnd w:id="2"/>
      <w:bookmarkEnd w:id="3"/>
    </w:p>
    <w:p w14:paraId="0B77EAEB" w14:textId="77777777" w:rsidR="002E2F6C" w:rsidRPr="008F78BB" w:rsidRDefault="002E2F6C" w:rsidP="002E2F6C">
      <w:pPr>
        <w:rPr>
          <w:lang w:bidi="en-US"/>
        </w:rPr>
      </w:pPr>
    </w:p>
    <w:p w14:paraId="127BDD91" w14:textId="77777777" w:rsidR="002E2F6C" w:rsidRPr="000B74A6" w:rsidRDefault="002E2F6C" w:rsidP="002E2F6C">
      <w:pPr>
        <w:spacing w:line="360" w:lineRule="auto"/>
        <w:jc w:val="both"/>
        <w:rPr>
          <w:rFonts w:ascii="Arial" w:hAnsi="Arial" w:cs="Arial"/>
          <w:sz w:val="22"/>
          <w:szCs w:val="22"/>
          <w:lang w:bidi="en-US"/>
        </w:rPr>
      </w:pPr>
      <w:r w:rsidRPr="000B74A6">
        <w:rPr>
          <w:rFonts w:ascii="Arial" w:hAnsi="Arial" w:cs="Arial"/>
          <w:sz w:val="22"/>
          <w:szCs w:val="22"/>
          <w:lang w:bidi="en-US"/>
        </w:rPr>
        <w:t xml:space="preserve">           Psychology is a science aimed at studying human behaviours, as well as thought processes and emotions of an individual (BPS,2021).</w:t>
      </w:r>
      <w:r w:rsidRPr="000B74A6">
        <w:rPr>
          <w:sz w:val="22"/>
          <w:szCs w:val="22"/>
        </w:rPr>
        <w:t xml:space="preserve"> </w:t>
      </w:r>
      <w:r w:rsidRPr="000B74A6">
        <w:rPr>
          <w:rFonts w:ascii="Arial" w:hAnsi="Arial" w:cs="Arial"/>
          <w:sz w:val="22"/>
          <w:szCs w:val="22"/>
          <w:lang w:bidi="en-US"/>
        </w:rPr>
        <w:t>In the field of healthcare, knowledge of psychology is of vital importance, since healthcare professionals spend most of their time in communication with patients, their families, service users, and agencies.</w:t>
      </w:r>
      <w:r w:rsidRPr="000B74A6">
        <w:rPr>
          <w:sz w:val="22"/>
          <w:szCs w:val="22"/>
        </w:rPr>
        <w:t xml:space="preserve"> </w:t>
      </w:r>
      <w:r w:rsidRPr="000B74A6">
        <w:rPr>
          <w:rFonts w:ascii="Arial" w:hAnsi="Arial" w:cs="Arial"/>
          <w:sz w:val="22"/>
          <w:szCs w:val="22"/>
          <w:lang w:bidi="en-US"/>
        </w:rPr>
        <w:t>An important aspect for the healthcare professional is understanding the concept of psychology, the factors influencing human behaviour that can contribute to the well-being and health of people.</w:t>
      </w:r>
    </w:p>
    <w:p w14:paraId="34EFACE3" w14:textId="37A64970" w:rsidR="002E2F6C" w:rsidRPr="000B74A6" w:rsidRDefault="002E2F6C" w:rsidP="002E2F6C">
      <w:pPr>
        <w:spacing w:line="360" w:lineRule="auto"/>
        <w:jc w:val="both"/>
        <w:rPr>
          <w:rFonts w:ascii="Arial" w:hAnsi="Arial" w:cs="Arial"/>
          <w:sz w:val="22"/>
          <w:szCs w:val="22"/>
        </w:rPr>
      </w:pPr>
      <w:r w:rsidRPr="000B74A6">
        <w:rPr>
          <w:rFonts w:ascii="Arial" w:hAnsi="Arial" w:cs="Arial"/>
          <w:sz w:val="22"/>
          <w:szCs w:val="22"/>
        </w:rPr>
        <w:t xml:space="preserve">According to the World Health Organization, well-being is “a state of complete physical, mental and social well-being and not merely the absence of disease or infirmity”, </w:t>
      </w:r>
      <w:r w:rsidR="00F03577" w:rsidRPr="000B74A6">
        <w:rPr>
          <w:rFonts w:ascii="Arial" w:hAnsi="Arial" w:cs="Arial"/>
          <w:noProof/>
          <w:sz w:val="22"/>
          <w:szCs w:val="22"/>
        </w:rPr>
        <w:t>(Wyatt et al. , 2017)</w:t>
      </w:r>
      <w:r w:rsidRPr="000B74A6">
        <w:rPr>
          <w:rFonts w:ascii="Arial" w:hAnsi="Arial" w:cs="Arial"/>
          <w:sz w:val="22"/>
          <w:szCs w:val="22"/>
        </w:rPr>
        <w:t xml:space="preserve">. Due to this characterization, it has been made immensely clear that psychology has a very important role when it comes to Health and Societal Care. This definition highpoints the position of emotional well-being and why various psychological viewpoints are important when it comes to social care and health. Examples can include helping individuals cope up with the loss of a loved one, dealing with anger management and various problems when it comes to relationships </w:t>
      </w:r>
      <w:r w:rsidR="00F03577" w:rsidRPr="000B74A6">
        <w:rPr>
          <w:rFonts w:ascii="Arial" w:hAnsi="Arial" w:cs="Arial"/>
          <w:noProof/>
          <w:sz w:val="22"/>
          <w:szCs w:val="22"/>
        </w:rPr>
        <w:t>(Haslbeck , McCorkle, &amp; Schaeffer, 2012)</w:t>
      </w:r>
      <w:r w:rsidRPr="000B74A6">
        <w:rPr>
          <w:rFonts w:ascii="Arial" w:hAnsi="Arial" w:cs="Arial"/>
          <w:sz w:val="22"/>
          <w:szCs w:val="22"/>
        </w:rPr>
        <w:t xml:space="preserve">. </w:t>
      </w:r>
    </w:p>
    <w:p w14:paraId="69C8568E" w14:textId="77777777" w:rsidR="002E2F6C" w:rsidRPr="000B74A6" w:rsidRDefault="002E2F6C" w:rsidP="002E2F6C">
      <w:pPr>
        <w:spacing w:line="360" w:lineRule="auto"/>
        <w:jc w:val="both"/>
        <w:rPr>
          <w:rFonts w:ascii="Arial" w:hAnsi="Arial" w:cs="Arial"/>
          <w:sz w:val="22"/>
          <w:szCs w:val="22"/>
        </w:rPr>
      </w:pPr>
      <w:r w:rsidRPr="000B74A6">
        <w:rPr>
          <w:rFonts w:ascii="Arial" w:hAnsi="Arial" w:cs="Arial"/>
          <w:sz w:val="22"/>
          <w:szCs w:val="22"/>
        </w:rPr>
        <w:t xml:space="preserve">This report aims to develop an understanding of various factors that influence the human behaviour </w:t>
      </w:r>
      <w:proofErr w:type="gramStart"/>
      <w:r w:rsidRPr="000B74A6">
        <w:rPr>
          <w:rFonts w:ascii="Arial" w:hAnsi="Arial" w:cs="Arial"/>
          <w:sz w:val="22"/>
          <w:szCs w:val="22"/>
        </w:rPr>
        <w:t>and also</w:t>
      </w:r>
      <w:proofErr w:type="gramEnd"/>
      <w:r w:rsidRPr="000B74A6">
        <w:rPr>
          <w:rFonts w:ascii="Arial" w:hAnsi="Arial" w:cs="Arial"/>
          <w:sz w:val="22"/>
          <w:szCs w:val="22"/>
        </w:rPr>
        <w:t xml:space="preserve"> how it applies to Health and Social Care. The role it covers will also be discussed in addition to Erik Erikson’s theory in Psychology.  Further, the report will consist of an introduction, a discussion in depth of the theory under consideration, the impacts, practical </w:t>
      </w:r>
      <w:proofErr w:type="gramStart"/>
      <w:r w:rsidRPr="000B74A6">
        <w:rPr>
          <w:rFonts w:ascii="Arial" w:hAnsi="Arial" w:cs="Arial"/>
          <w:sz w:val="22"/>
          <w:szCs w:val="22"/>
        </w:rPr>
        <w:t>implications</w:t>
      </w:r>
      <w:proofErr w:type="gramEnd"/>
      <w:r w:rsidRPr="000B74A6">
        <w:rPr>
          <w:rFonts w:ascii="Arial" w:hAnsi="Arial" w:cs="Arial"/>
          <w:sz w:val="22"/>
          <w:szCs w:val="22"/>
        </w:rPr>
        <w:t xml:space="preserve"> and conclusion. </w:t>
      </w:r>
    </w:p>
    <w:p w14:paraId="755963AB" w14:textId="77777777" w:rsidR="000B74A6" w:rsidRDefault="000B74A6" w:rsidP="000B74A6">
      <w:pPr>
        <w:pStyle w:val="Heading1"/>
        <w:spacing w:line="360" w:lineRule="auto"/>
        <w:ind w:firstLine="0"/>
        <w:jc w:val="center"/>
        <w:rPr>
          <w:rFonts w:ascii="Arial" w:hAnsi="Arial" w:cs="Arial"/>
          <w:color w:val="auto"/>
          <w:lang w:val="en-GB"/>
        </w:rPr>
      </w:pPr>
      <w:bookmarkStart w:id="4" w:name="_Toc80630904"/>
      <w:bookmarkStart w:id="5" w:name="_Toc80631603"/>
    </w:p>
    <w:p w14:paraId="2F587D3B" w14:textId="77777777" w:rsidR="000B74A6" w:rsidRDefault="000B74A6" w:rsidP="000B74A6">
      <w:pPr>
        <w:pStyle w:val="Heading1"/>
        <w:spacing w:line="360" w:lineRule="auto"/>
        <w:ind w:firstLine="0"/>
        <w:jc w:val="center"/>
        <w:rPr>
          <w:rFonts w:ascii="Arial" w:hAnsi="Arial" w:cs="Arial"/>
          <w:color w:val="auto"/>
          <w:lang w:val="en-GB"/>
        </w:rPr>
      </w:pPr>
    </w:p>
    <w:p w14:paraId="6E272AEB" w14:textId="77777777" w:rsidR="000B74A6" w:rsidRDefault="000B74A6" w:rsidP="000B74A6">
      <w:pPr>
        <w:pStyle w:val="Heading1"/>
        <w:spacing w:line="360" w:lineRule="auto"/>
        <w:ind w:firstLine="0"/>
        <w:jc w:val="center"/>
        <w:rPr>
          <w:rFonts w:ascii="Arial" w:hAnsi="Arial" w:cs="Arial"/>
          <w:color w:val="auto"/>
          <w:lang w:val="en-GB"/>
        </w:rPr>
      </w:pPr>
    </w:p>
    <w:p w14:paraId="60704FB3" w14:textId="77777777" w:rsidR="000B74A6" w:rsidRDefault="000B74A6" w:rsidP="000B74A6">
      <w:pPr>
        <w:pStyle w:val="Heading1"/>
        <w:spacing w:line="360" w:lineRule="auto"/>
        <w:ind w:firstLine="0"/>
        <w:jc w:val="center"/>
        <w:rPr>
          <w:rFonts w:ascii="Arial" w:hAnsi="Arial" w:cs="Arial"/>
          <w:color w:val="auto"/>
          <w:lang w:val="en-GB"/>
        </w:rPr>
      </w:pPr>
    </w:p>
    <w:p w14:paraId="15CE7ADE" w14:textId="2D4C4FE5" w:rsidR="000B74A6" w:rsidRDefault="000B74A6" w:rsidP="000B74A6">
      <w:pPr>
        <w:pStyle w:val="Heading1"/>
        <w:spacing w:line="360" w:lineRule="auto"/>
        <w:ind w:firstLine="0"/>
        <w:jc w:val="center"/>
        <w:rPr>
          <w:rFonts w:ascii="Arial" w:hAnsi="Arial" w:cs="Arial"/>
          <w:color w:val="auto"/>
          <w:lang w:val="en-GB"/>
        </w:rPr>
      </w:pPr>
    </w:p>
    <w:p w14:paraId="63A1D556" w14:textId="77777777" w:rsidR="000B74A6" w:rsidRPr="000B74A6" w:rsidRDefault="000B74A6" w:rsidP="000B74A6">
      <w:pPr>
        <w:rPr>
          <w:lang w:bidi="en-US"/>
        </w:rPr>
      </w:pPr>
    </w:p>
    <w:p w14:paraId="0CE5E0DB" w14:textId="28105660" w:rsidR="000B74A6" w:rsidRPr="000B74A6" w:rsidRDefault="000B74A6" w:rsidP="000B74A6">
      <w:pPr>
        <w:pStyle w:val="Heading1"/>
        <w:spacing w:line="360" w:lineRule="auto"/>
        <w:ind w:firstLine="0"/>
        <w:jc w:val="center"/>
        <w:rPr>
          <w:rFonts w:ascii="Arial" w:hAnsi="Arial" w:cs="Arial"/>
          <w:color w:val="auto"/>
          <w:lang w:val="en-GB"/>
        </w:rPr>
      </w:pPr>
      <w:bookmarkStart w:id="6" w:name="_Toc80874641"/>
      <w:r w:rsidRPr="00A8421C">
        <w:rPr>
          <w:rFonts w:ascii="Arial" w:hAnsi="Arial" w:cs="Arial"/>
          <w:color w:val="auto"/>
          <w:lang w:val="en-GB"/>
        </w:rPr>
        <w:lastRenderedPageBreak/>
        <w:t>2.Human Development Stages of Erikson’s Theory</w:t>
      </w:r>
      <w:bookmarkEnd w:id="6"/>
    </w:p>
    <w:bookmarkEnd w:id="4"/>
    <w:bookmarkEnd w:id="5"/>
    <w:p w14:paraId="0E9159EE" w14:textId="69EFE794" w:rsidR="002E2F6C" w:rsidRPr="004B1267" w:rsidRDefault="002E2F6C" w:rsidP="002E2F6C">
      <w:pPr>
        <w:spacing w:line="360" w:lineRule="auto"/>
        <w:jc w:val="both"/>
        <w:rPr>
          <w:rFonts w:ascii="Arial" w:hAnsi="Arial" w:cs="Arial"/>
          <w:sz w:val="22"/>
          <w:szCs w:val="22"/>
        </w:rPr>
      </w:pPr>
      <w:r w:rsidRPr="004B1267">
        <w:rPr>
          <w:rFonts w:ascii="Arial" w:hAnsi="Arial" w:cs="Arial"/>
          <w:sz w:val="22"/>
          <w:szCs w:val="22"/>
        </w:rPr>
        <w:t xml:space="preserve">Erik Erikson (1902 – 1994) took the debated theory of psychosexual growth and then improved it into the psychosocial concept. He highlighted that ego positively develops humans by contribution. Abilities and ideas at each stage of improvement are mastered because of this theory. As a result, this mastery aids children in developing into contributing members of the society. </w:t>
      </w:r>
    </w:p>
    <w:p w14:paraId="7933C5E4" w14:textId="1A7259F3" w:rsidR="002E2F6C" w:rsidRDefault="002E2F6C" w:rsidP="002E2F6C">
      <w:pPr>
        <w:spacing w:line="360" w:lineRule="auto"/>
        <w:jc w:val="both"/>
        <w:rPr>
          <w:rFonts w:ascii="Arial" w:hAnsi="Arial" w:cs="Arial"/>
          <w:sz w:val="22"/>
          <w:szCs w:val="22"/>
        </w:rPr>
      </w:pPr>
      <w:r w:rsidRPr="004B1267">
        <w:rPr>
          <w:rFonts w:ascii="Arial" w:hAnsi="Arial" w:cs="Arial"/>
          <w:sz w:val="22"/>
          <w:szCs w:val="22"/>
        </w:rPr>
        <w:t xml:space="preserve">Erikson proposed that it is the need for achievement that motivates individuals to be competent in various areas of life. Erikson further added to Freud’s stages by conversing the culture-based repercussions in terms of development </w:t>
      </w:r>
      <w:r w:rsidR="00F03577" w:rsidRPr="004B1267">
        <w:rPr>
          <w:rFonts w:ascii="Arial" w:hAnsi="Arial" w:cs="Arial"/>
          <w:noProof/>
          <w:sz w:val="22"/>
          <w:szCs w:val="22"/>
        </w:rPr>
        <w:t>(Erikson &amp; Erikson, Introduction: Reflections on Aging, 1978)</w:t>
      </w:r>
      <w:r w:rsidRPr="004B1267">
        <w:rPr>
          <w:rFonts w:ascii="Arial" w:hAnsi="Arial" w:cs="Arial"/>
          <w:sz w:val="22"/>
          <w:szCs w:val="22"/>
        </w:rPr>
        <w:t xml:space="preserve">. Certain cultures may need to resolve the stages in diverse ways </w:t>
      </w:r>
      <w:proofErr w:type="gramStart"/>
      <w:r w:rsidRPr="004B1267">
        <w:rPr>
          <w:rFonts w:ascii="Arial" w:hAnsi="Arial" w:cs="Arial"/>
          <w:sz w:val="22"/>
          <w:szCs w:val="22"/>
        </w:rPr>
        <w:t>on the basis of</w:t>
      </w:r>
      <w:proofErr w:type="gramEnd"/>
      <w:r w:rsidRPr="004B1267">
        <w:rPr>
          <w:rFonts w:ascii="Arial" w:hAnsi="Arial" w:cs="Arial"/>
          <w:sz w:val="22"/>
          <w:szCs w:val="22"/>
        </w:rPr>
        <w:t xml:space="preserve"> the survival needs. In case if these stages are successfully completed, it may result in the formation of a good personality. In case if they aren’t resolved, fixation can take place </w:t>
      </w:r>
    </w:p>
    <w:p w14:paraId="523BB224" w14:textId="77777777" w:rsidR="002E2F6C" w:rsidRDefault="002E2F6C" w:rsidP="002E2F6C">
      <w:pPr>
        <w:spacing w:line="360" w:lineRule="auto"/>
        <w:jc w:val="both"/>
        <w:rPr>
          <w:rFonts w:ascii="Arial" w:hAnsi="Arial" w:cs="Arial"/>
          <w:sz w:val="22"/>
          <w:szCs w:val="22"/>
        </w:rPr>
      </w:pPr>
    </w:p>
    <w:p w14:paraId="572DE1B9" w14:textId="77777777" w:rsidR="002E2F6C" w:rsidRPr="004B1267" w:rsidRDefault="002E2F6C" w:rsidP="002E2F6C">
      <w:pPr>
        <w:spacing w:line="360" w:lineRule="auto"/>
        <w:jc w:val="both"/>
        <w:rPr>
          <w:rFonts w:ascii="Arial" w:hAnsi="Arial" w:cs="Arial"/>
          <w:sz w:val="22"/>
          <w:szCs w:val="22"/>
        </w:rPr>
      </w:pPr>
    </w:p>
    <w:p w14:paraId="16395D76" w14:textId="77777777" w:rsidR="002E2F6C" w:rsidRDefault="002E2F6C" w:rsidP="002E2F6C">
      <w:pPr>
        <w:spacing w:line="360" w:lineRule="auto"/>
        <w:jc w:val="both"/>
        <w:rPr>
          <w:rFonts w:ascii="Times New Roman" w:hAnsi="Times New Roman" w:cs="Times New Roman"/>
          <w:b/>
        </w:rPr>
      </w:pPr>
      <w:r>
        <w:rPr>
          <w:rFonts w:ascii="Arial" w:hAnsi="Arial" w:cs="Arial"/>
          <w:noProof/>
          <w:sz w:val="22"/>
          <w:szCs w:val="22"/>
        </w:rPr>
        <w:drawing>
          <wp:inline distT="0" distB="0" distL="0" distR="0" wp14:anchorId="4E0BC0F4" wp14:editId="33F641DC">
            <wp:extent cx="5943600" cy="2099945"/>
            <wp:effectExtent l="0" t="0" r="0" b="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8"/>
                    <a:stretch>
                      <a:fillRect/>
                    </a:stretch>
                  </pic:blipFill>
                  <pic:spPr>
                    <a:xfrm>
                      <a:off x="0" y="0"/>
                      <a:ext cx="5943600" cy="2099945"/>
                    </a:xfrm>
                    <a:prstGeom prst="rect">
                      <a:avLst/>
                    </a:prstGeom>
                  </pic:spPr>
                </pic:pic>
              </a:graphicData>
            </a:graphic>
          </wp:inline>
        </w:drawing>
      </w:r>
    </w:p>
    <w:p w14:paraId="31C336E2" w14:textId="77777777" w:rsidR="002E2F6C" w:rsidRDefault="002E2F6C" w:rsidP="002E2F6C">
      <w:pPr>
        <w:spacing w:line="360" w:lineRule="auto"/>
        <w:jc w:val="both"/>
        <w:rPr>
          <w:rFonts w:ascii="Times New Roman" w:hAnsi="Times New Roman" w:cs="Times New Roman"/>
          <w:b/>
        </w:rPr>
      </w:pPr>
    </w:p>
    <w:p w14:paraId="291D4CBA" w14:textId="77777777" w:rsidR="002E2F6C" w:rsidRPr="003F16A5" w:rsidRDefault="002E2F6C" w:rsidP="002E2F6C">
      <w:pPr>
        <w:spacing w:line="360" w:lineRule="auto"/>
        <w:jc w:val="both"/>
        <w:rPr>
          <w:rFonts w:ascii="Times New Roman" w:hAnsi="Times New Roman" w:cs="Times New Roman"/>
          <w:b/>
        </w:rPr>
      </w:pPr>
    </w:p>
    <w:p w14:paraId="64154021" w14:textId="7777777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t xml:space="preserve">Trust vs. Mistrust </w:t>
      </w:r>
    </w:p>
    <w:p w14:paraId="1E4A138C" w14:textId="5A9365B2" w:rsidR="002E2F6C" w:rsidRPr="004B1267" w:rsidRDefault="002E2F6C" w:rsidP="002E2F6C">
      <w:pPr>
        <w:spacing w:line="360" w:lineRule="auto"/>
        <w:ind w:firstLine="720"/>
        <w:jc w:val="both"/>
        <w:rPr>
          <w:rFonts w:ascii="Arial" w:hAnsi="Arial" w:cs="Arial"/>
          <w:sz w:val="22"/>
          <w:szCs w:val="22"/>
        </w:rPr>
      </w:pPr>
      <w:r w:rsidRPr="004B1267">
        <w:rPr>
          <w:rFonts w:ascii="Arial" w:hAnsi="Arial" w:cs="Arial"/>
          <w:sz w:val="22"/>
          <w:szCs w:val="22"/>
        </w:rPr>
        <w:t xml:space="preserve">When the caregivers of an infant develop a sense of trust or mistrust in the infant. Following the viewpoint of how they are raised, the infants start to see the world from a similar stance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1ADCA85F" w14:textId="7777777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t xml:space="preserve">Autonomy vs. Shame/Doubt </w:t>
      </w:r>
    </w:p>
    <w:p w14:paraId="1E33F511" w14:textId="65F50873" w:rsidR="002E2F6C" w:rsidRPr="004B1267" w:rsidRDefault="002E2F6C" w:rsidP="002E2F6C">
      <w:pPr>
        <w:spacing w:line="360" w:lineRule="auto"/>
        <w:ind w:firstLine="720"/>
        <w:jc w:val="both"/>
        <w:rPr>
          <w:rFonts w:ascii="Arial" w:hAnsi="Arial" w:cs="Arial"/>
          <w:sz w:val="22"/>
          <w:szCs w:val="22"/>
        </w:rPr>
      </w:pPr>
      <w:r w:rsidRPr="004B1267">
        <w:rPr>
          <w:rFonts w:ascii="Arial" w:hAnsi="Arial" w:cs="Arial"/>
          <w:sz w:val="22"/>
          <w:szCs w:val="22"/>
        </w:rPr>
        <w:t xml:space="preserve">The ages 1 – 3 years are the “me do it” stage for toddlers. Toddlers in such an age initiate to have clear inclinations for certain essentials such as food, clothes, etc. The main task of the toddlers here is to resolve the task of independence vs. shame by functioning to develop independence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4F9E9EF8" w14:textId="77777777" w:rsidR="002E2F6C" w:rsidRDefault="002E2F6C" w:rsidP="002E2F6C">
      <w:pPr>
        <w:spacing w:line="360" w:lineRule="auto"/>
        <w:jc w:val="both"/>
        <w:rPr>
          <w:rFonts w:ascii="Arial" w:hAnsi="Arial" w:cs="Arial"/>
          <w:b/>
          <w:sz w:val="22"/>
          <w:szCs w:val="22"/>
        </w:rPr>
      </w:pPr>
    </w:p>
    <w:p w14:paraId="12DCE5F9" w14:textId="77777777" w:rsidR="00DD56BB" w:rsidRDefault="00DD56BB" w:rsidP="002E2F6C">
      <w:pPr>
        <w:spacing w:line="360" w:lineRule="auto"/>
        <w:jc w:val="both"/>
        <w:rPr>
          <w:rFonts w:ascii="Arial" w:hAnsi="Arial" w:cs="Arial"/>
          <w:b/>
          <w:sz w:val="22"/>
          <w:szCs w:val="22"/>
        </w:rPr>
      </w:pPr>
    </w:p>
    <w:p w14:paraId="4A4D5BA0" w14:textId="3DC6E8C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lastRenderedPageBreak/>
        <w:t xml:space="preserve">Initiative vs. Guilt </w:t>
      </w:r>
    </w:p>
    <w:p w14:paraId="14C0E9C9" w14:textId="4E58878F" w:rsidR="002E2F6C" w:rsidRPr="004B1267" w:rsidRDefault="002E2F6C" w:rsidP="002E2F6C">
      <w:pPr>
        <w:spacing w:line="360" w:lineRule="auto"/>
        <w:ind w:firstLine="720"/>
        <w:jc w:val="both"/>
        <w:rPr>
          <w:rFonts w:ascii="Arial" w:hAnsi="Arial" w:cs="Arial"/>
          <w:sz w:val="22"/>
          <w:szCs w:val="22"/>
        </w:rPr>
      </w:pPr>
      <w:r w:rsidRPr="004B1267">
        <w:rPr>
          <w:rFonts w:ascii="Arial" w:hAnsi="Arial" w:cs="Arial"/>
          <w:sz w:val="22"/>
          <w:szCs w:val="22"/>
        </w:rPr>
        <w:t xml:space="preserve">Initiative occurs when the parents of the child (3 – 6 years) allow the child to explore within limits. They in addition also support the choices of the child. Whereas those who are unsuccessful in this stage may develop feelings of guilt in their life because of over-controlling and possessive parents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47D583A2" w14:textId="7777777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t xml:space="preserve">Industry vs. Inferiority </w:t>
      </w:r>
    </w:p>
    <w:p w14:paraId="6527BFDB" w14:textId="6E942E33" w:rsidR="002E2F6C" w:rsidRPr="004B1267" w:rsidRDefault="002E2F6C" w:rsidP="002E2F6C">
      <w:pPr>
        <w:spacing w:line="360" w:lineRule="auto"/>
        <w:ind w:firstLine="720"/>
        <w:jc w:val="both"/>
        <w:rPr>
          <w:rFonts w:ascii="Arial" w:hAnsi="Arial" w:cs="Arial"/>
          <w:sz w:val="22"/>
          <w:szCs w:val="22"/>
        </w:rPr>
      </w:pPr>
      <w:r w:rsidRPr="004B1267">
        <w:rPr>
          <w:rFonts w:ascii="Arial" w:hAnsi="Arial" w:cs="Arial"/>
          <w:sz w:val="22"/>
          <w:szCs w:val="22"/>
        </w:rPr>
        <w:t xml:space="preserve">Throughout the elementary school phase (6 – 12 years), children start to face the chore of industry vs. inferiority. They start to measure themselves with their peers </w:t>
      </w:r>
      <w:proofErr w:type="gramStart"/>
      <w:r w:rsidRPr="004B1267">
        <w:rPr>
          <w:rFonts w:ascii="Arial" w:hAnsi="Arial" w:cs="Arial"/>
          <w:sz w:val="22"/>
          <w:szCs w:val="22"/>
        </w:rPr>
        <w:t>in order to</w:t>
      </w:r>
      <w:proofErr w:type="gramEnd"/>
      <w:r w:rsidRPr="004B1267">
        <w:rPr>
          <w:rFonts w:ascii="Arial" w:hAnsi="Arial" w:cs="Arial"/>
          <w:sz w:val="22"/>
          <w:szCs w:val="22"/>
        </w:rPr>
        <w:t xml:space="preserve"> feel accomplished or inferior. Negative experiences during this stage can lead to an inferiority complex in the adulthood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40F824E0" w14:textId="7777777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t xml:space="preserve">Identity vs. Role Confusion </w:t>
      </w:r>
    </w:p>
    <w:p w14:paraId="0AAB89EF" w14:textId="7909B2CC" w:rsidR="002E2F6C" w:rsidRPr="004B1267" w:rsidRDefault="002E2F6C" w:rsidP="002E2F6C">
      <w:pPr>
        <w:spacing w:line="360" w:lineRule="auto"/>
        <w:ind w:firstLine="720"/>
        <w:jc w:val="both"/>
        <w:rPr>
          <w:rFonts w:ascii="Arial" w:hAnsi="Arial" w:cs="Arial"/>
          <w:sz w:val="22"/>
          <w:szCs w:val="22"/>
        </w:rPr>
      </w:pPr>
      <w:r w:rsidRPr="004B1267">
        <w:rPr>
          <w:rFonts w:ascii="Arial" w:hAnsi="Arial" w:cs="Arial"/>
          <w:sz w:val="22"/>
          <w:szCs w:val="22"/>
        </w:rPr>
        <w:t xml:space="preserve">In the teenage years (12 – 18 years), the main task of an adolescent is to develop a sense of self. The ones who are prosperous in this period develop a strong individuality. The remaining do not make the conscious search for their identities and are pressurized to follow the footsteps that have been set for them. Such individuals experience role confusion and in later parts of their lives remain unsure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71D74028" w14:textId="7777777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t xml:space="preserve">Intimacy vs. Isolation </w:t>
      </w:r>
    </w:p>
    <w:p w14:paraId="69C5306C" w14:textId="015C2172" w:rsidR="002E2F6C" w:rsidRPr="004B1267" w:rsidRDefault="002E2F6C" w:rsidP="002E2F6C">
      <w:pPr>
        <w:spacing w:line="360" w:lineRule="auto"/>
        <w:ind w:firstLine="720"/>
        <w:jc w:val="both"/>
        <w:rPr>
          <w:rFonts w:ascii="Arial" w:hAnsi="Arial" w:cs="Arial"/>
          <w:sz w:val="22"/>
          <w:szCs w:val="22"/>
        </w:rPr>
      </w:pPr>
      <w:r w:rsidRPr="004B1267">
        <w:rPr>
          <w:rFonts w:ascii="Arial" w:hAnsi="Arial" w:cs="Arial"/>
          <w:sz w:val="22"/>
          <w:szCs w:val="22"/>
        </w:rPr>
        <w:t xml:space="preserve">People in early maturity (20s – early 40s) after developing a sense of self begin to love the idea of sharing their life with a significant other. In case if the earlier stages have been problematic, issues may surface while developing relations with individuals. In case of individuals do not develop an affirmative sense of self, it might lead towards isolation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4CDF7CAB" w14:textId="7777777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t xml:space="preserve">Generativity vs. Stagnation </w:t>
      </w:r>
    </w:p>
    <w:p w14:paraId="34BE995E" w14:textId="244C2E65" w:rsidR="002E2F6C" w:rsidRPr="004B1267" w:rsidRDefault="002E2F6C" w:rsidP="002E2F6C">
      <w:pPr>
        <w:spacing w:line="360" w:lineRule="auto"/>
        <w:ind w:firstLine="720"/>
        <w:jc w:val="both"/>
        <w:rPr>
          <w:rFonts w:ascii="Arial" w:hAnsi="Arial" w:cs="Arial"/>
          <w:sz w:val="22"/>
          <w:szCs w:val="22"/>
        </w:rPr>
      </w:pPr>
      <w:r w:rsidRPr="004B1267">
        <w:rPr>
          <w:rFonts w:ascii="Arial" w:hAnsi="Arial" w:cs="Arial"/>
          <w:sz w:val="22"/>
          <w:szCs w:val="22"/>
        </w:rPr>
        <w:t xml:space="preserve">This developmental stage extends from the 40s to the mid-60s. Generativity includes finding life’s work and contributing to the growth of other individuals. Those individuals who do not dominate this stage may experience inactivity and little interest in output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0F0E7E8C" w14:textId="77777777" w:rsidR="002E2F6C" w:rsidRPr="004B1267" w:rsidRDefault="002E2F6C" w:rsidP="002E2F6C">
      <w:pPr>
        <w:spacing w:line="360" w:lineRule="auto"/>
        <w:jc w:val="both"/>
        <w:rPr>
          <w:rFonts w:ascii="Arial" w:hAnsi="Arial" w:cs="Arial"/>
          <w:b/>
          <w:sz w:val="22"/>
          <w:szCs w:val="22"/>
        </w:rPr>
      </w:pPr>
      <w:r w:rsidRPr="004B1267">
        <w:rPr>
          <w:rFonts w:ascii="Arial" w:hAnsi="Arial" w:cs="Arial"/>
          <w:b/>
          <w:sz w:val="22"/>
          <w:szCs w:val="22"/>
        </w:rPr>
        <w:t xml:space="preserve">Integrity vs. Despair </w:t>
      </w:r>
    </w:p>
    <w:p w14:paraId="3A197AB4" w14:textId="53F77511" w:rsidR="002E2F6C" w:rsidRPr="004B1267" w:rsidRDefault="002E2F6C" w:rsidP="002E2F6C">
      <w:pPr>
        <w:spacing w:line="360" w:lineRule="auto"/>
        <w:ind w:firstLine="360"/>
        <w:jc w:val="both"/>
        <w:rPr>
          <w:rFonts w:ascii="Arial" w:hAnsi="Arial" w:cs="Arial"/>
          <w:sz w:val="22"/>
          <w:szCs w:val="22"/>
        </w:rPr>
      </w:pPr>
      <w:r w:rsidRPr="004B1267">
        <w:rPr>
          <w:rFonts w:ascii="Arial" w:hAnsi="Arial" w:cs="Arial"/>
          <w:sz w:val="22"/>
          <w:szCs w:val="22"/>
        </w:rPr>
        <w:t xml:space="preserve">This stage extends from the mid-60s to the end of life for an individual. People in such a stage of life begin to redirect on their lives and either feel content or a sense of disappointment. Those who experience failure begin to focus on what “would have” and “could have” been. In addition, they face the end of their lives with feelings of resentment and misery </w:t>
      </w:r>
      <w:r w:rsidR="00F03577" w:rsidRPr="004B1267">
        <w:rPr>
          <w:rFonts w:ascii="Arial" w:hAnsi="Arial" w:cs="Arial"/>
          <w:noProof/>
          <w:sz w:val="22"/>
          <w:szCs w:val="22"/>
        </w:rPr>
        <w:t>(Coles, Hunt, &amp; Maher, 2002)</w:t>
      </w:r>
      <w:r w:rsidRPr="004B1267">
        <w:rPr>
          <w:rFonts w:ascii="Arial" w:hAnsi="Arial" w:cs="Arial"/>
          <w:sz w:val="22"/>
          <w:szCs w:val="22"/>
        </w:rPr>
        <w:t xml:space="preserve">. </w:t>
      </w:r>
    </w:p>
    <w:p w14:paraId="6AC9B2CD" w14:textId="77777777" w:rsidR="002E2F6C" w:rsidRDefault="002E2F6C" w:rsidP="002E2F6C">
      <w:pPr>
        <w:spacing w:line="360" w:lineRule="auto"/>
        <w:ind w:firstLine="360"/>
        <w:jc w:val="both"/>
        <w:rPr>
          <w:rFonts w:ascii="Arial" w:hAnsi="Arial" w:cs="Arial"/>
          <w:sz w:val="22"/>
          <w:szCs w:val="22"/>
        </w:rPr>
      </w:pPr>
    </w:p>
    <w:p w14:paraId="04FA25CA" w14:textId="77777777" w:rsidR="002E2F6C" w:rsidRDefault="002E2F6C" w:rsidP="002E2F6C">
      <w:pPr>
        <w:spacing w:line="360" w:lineRule="auto"/>
        <w:ind w:firstLine="360"/>
        <w:jc w:val="both"/>
        <w:rPr>
          <w:rFonts w:ascii="Arial" w:hAnsi="Arial" w:cs="Arial"/>
          <w:sz w:val="22"/>
          <w:szCs w:val="22"/>
        </w:rPr>
      </w:pPr>
    </w:p>
    <w:p w14:paraId="685064B3" w14:textId="77777777" w:rsidR="00920226" w:rsidRDefault="00920226" w:rsidP="00920226">
      <w:pPr>
        <w:spacing w:line="360" w:lineRule="auto"/>
        <w:jc w:val="both"/>
        <w:rPr>
          <w:rFonts w:ascii="Arial" w:hAnsi="Arial" w:cs="Arial"/>
          <w:sz w:val="22"/>
          <w:szCs w:val="22"/>
        </w:rPr>
      </w:pPr>
    </w:p>
    <w:p w14:paraId="7E852DEB" w14:textId="29610495" w:rsidR="002E2F6C" w:rsidRDefault="00920226" w:rsidP="00003319">
      <w:pPr>
        <w:spacing w:line="360" w:lineRule="auto"/>
        <w:jc w:val="both"/>
        <w:rPr>
          <w:rFonts w:ascii="Arial" w:hAnsi="Arial" w:cs="Arial"/>
          <w:sz w:val="22"/>
          <w:szCs w:val="22"/>
        </w:rPr>
      </w:pPr>
      <w:r>
        <w:rPr>
          <w:rFonts w:ascii="Arial" w:hAnsi="Arial" w:cs="Arial"/>
          <w:sz w:val="22"/>
          <w:szCs w:val="22"/>
        </w:rPr>
        <w:lastRenderedPageBreak/>
        <w:t xml:space="preserve">   </w:t>
      </w:r>
      <w:r w:rsidR="002E2F6C" w:rsidRPr="004B1267">
        <w:rPr>
          <w:rFonts w:ascii="Arial" w:hAnsi="Arial" w:cs="Arial"/>
          <w:sz w:val="22"/>
          <w:szCs w:val="22"/>
        </w:rPr>
        <w:t xml:space="preserve">According to the theory, an individual goes through eight stages of growth from infancy to adulthood. At each developmental stage, there may be a crisis or a task that the individual needs to resolve </w:t>
      </w:r>
      <w:proofErr w:type="gramStart"/>
      <w:r w:rsidR="002E2F6C" w:rsidRPr="004B1267">
        <w:rPr>
          <w:rFonts w:ascii="Arial" w:hAnsi="Arial" w:cs="Arial"/>
          <w:sz w:val="22"/>
          <w:szCs w:val="22"/>
        </w:rPr>
        <w:t>in order to</w:t>
      </w:r>
      <w:proofErr w:type="gramEnd"/>
      <w:r w:rsidR="002E2F6C" w:rsidRPr="004B1267">
        <w:rPr>
          <w:rFonts w:ascii="Arial" w:hAnsi="Arial" w:cs="Arial"/>
          <w:sz w:val="22"/>
          <w:szCs w:val="22"/>
        </w:rPr>
        <w:t xml:space="preserve"> grow and develop. When these tasks are completed, a sense of competence is developed and signals the presence of a healthy personality </w:t>
      </w:r>
      <w:r w:rsidR="00F03577" w:rsidRPr="004B1267">
        <w:rPr>
          <w:rFonts w:ascii="Arial" w:hAnsi="Arial" w:cs="Arial"/>
          <w:noProof/>
          <w:sz w:val="22"/>
          <w:szCs w:val="22"/>
        </w:rPr>
        <w:t>(Coles, Hunt, &amp; Maher, 2002)</w:t>
      </w:r>
      <w:r w:rsidR="002E2F6C" w:rsidRPr="004B1267">
        <w:rPr>
          <w:rFonts w:ascii="Arial" w:hAnsi="Arial" w:cs="Arial"/>
          <w:sz w:val="22"/>
          <w:szCs w:val="22"/>
        </w:rPr>
        <w:t xml:space="preserve">. In comparison, when such tasks are not completed, it can lead to feelings of inadequacy and insufficiency.  </w:t>
      </w:r>
    </w:p>
    <w:p w14:paraId="46182504" w14:textId="28760E0F" w:rsidR="002E2F6C" w:rsidRPr="0076235D" w:rsidRDefault="002E2F6C" w:rsidP="00003319">
      <w:pPr>
        <w:pStyle w:val="Heading1"/>
        <w:spacing w:line="360" w:lineRule="auto"/>
        <w:ind w:firstLine="0"/>
        <w:jc w:val="center"/>
        <w:rPr>
          <w:rFonts w:ascii="Arial" w:hAnsi="Arial" w:cs="Arial"/>
          <w:color w:val="000000" w:themeColor="text1"/>
        </w:rPr>
      </w:pPr>
      <w:bookmarkStart w:id="7" w:name="_Toc80874642"/>
      <w:r w:rsidRPr="0076235D">
        <w:rPr>
          <w:rFonts w:ascii="Arial" w:hAnsi="Arial" w:cs="Arial"/>
          <w:color w:val="000000" w:themeColor="text1"/>
        </w:rPr>
        <w:t>3.Consideration of Erikson’s Theory in a Group Presentation</w:t>
      </w:r>
      <w:bookmarkEnd w:id="7"/>
    </w:p>
    <w:p w14:paraId="2750DB74" w14:textId="31B8E8C5" w:rsidR="002E2F6C" w:rsidRPr="00202B2C" w:rsidRDefault="002E2F6C" w:rsidP="00003319">
      <w:pPr>
        <w:spacing w:line="360" w:lineRule="auto"/>
        <w:ind w:left="-284" w:firstLine="284"/>
        <w:jc w:val="both"/>
        <w:rPr>
          <w:rFonts w:ascii="Arial" w:hAnsi="Arial" w:cs="Arial"/>
          <w:sz w:val="22"/>
          <w:szCs w:val="22"/>
        </w:rPr>
      </w:pPr>
      <w:r w:rsidRPr="00202B2C">
        <w:rPr>
          <w:rFonts w:ascii="Arial" w:hAnsi="Arial" w:cs="Arial"/>
          <w:b/>
          <w:bCs/>
          <w:sz w:val="22"/>
          <w:szCs w:val="22"/>
        </w:rPr>
        <w:t xml:space="preserve"> </w:t>
      </w:r>
      <w:r w:rsidRPr="00202B2C">
        <w:rPr>
          <w:rFonts w:ascii="Arial" w:hAnsi="Arial" w:cs="Arial"/>
          <w:sz w:val="22"/>
          <w:szCs w:val="22"/>
        </w:rPr>
        <w:t xml:space="preserve">Part of my studies this semester was preparing a presentation and looking at the stages of human </w:t>
      </w:r>
      <w:r>
        <w:rPr>
          <w:rFonts w:ascii="Arial" w:hAnsi="Arial" w:cs="Arial"/>
          <w:sz w:val="22"/>
          <w:szCs w:val="22"/>
        </w:rPr>
        <w:t xml:space="preserve">        </w:t>
      </w:r>
      <w:r w:rsidRPr="00202B2C">
        <w:rPr>
          <w:rFonts w:ascii="Arial" w:hAnsi="Arial" w:cs="Arial"/>
          <w:sz w:val="22"/>
          <w:szCs w:val="22"/>
        </w:rPr>
        <w:t xml:space="preserve">development. My training assignment was submitted by me and 4 other team workers. During the preparation, we made a joint decision to choose Erikson's theory and the sixth stage of lifespan is an early adult. We have chosen a psychological theory which, within the framework of our research, provides a wide range of information and discusses the physical and emotional development of the early adult stage. </w:t>
      </w:r>
    </w:p>
    <w:p w14:paraId="63FFB22D" w14:textId="2E420A71" w:rsidR="002E2F6C" w:rsidRPr="007C03BB" w:rsidRDefault="002E2F6C" w:rsidP="00003319">
      <w:pPr>
        <w:spacing w:line="360" w:lineRule="auto"/>
        <w:ind w:left="-284"/>
        <w:jc w:val="both"/>
        <w:rPr>
          <w:rFonts w:ascii="Arial" w:hAnsi="Arial" w:cs="Arial"/>
          <w:sz w:val="22"/>
          <w:szCs w:val="22"/>
        </w:rPr>
      </w:pPr>
      <w:r w:rsidRPr="00202B2C">
        <w:rPr>
          <w:rFonts w:ascii="Arial" w:hAnsi="Arial" w:cs="Arial"/>
          <w:sz w:val="22"/>
          <w:szCs w:val="22"/>
        </w:rPr>
        <w:t xml:space="preserve">In addition, we relied on other theories of human development such as Freud's Theory, Levinson's Theory, </w:t>
      </w:r>
      <w:proofErr w:type="spellStart"/>
      <w:r w:rsidRPr="00202B2C">
        <w:rPr>
          <w:rFonts w:ascii="Arial" w:hAnsi="Arial" w:cs="Arial"/>
          <w:sz w:val="22"/>
          <w:szCs w:val="22"/>
        </w:rPr>
        <w:t>Piguet's</w:t>
      </w:r>
      <w:proofErr w:type="spellEnd"/>
      <w:r w:rsidRPr="00202B2C">
        <w:rPr>
          <w:rFonts w:ascii="Arial" w:hAnsi="Arial" w:cs="Arial"/>
          <w:sz w:val="22"/>
          <w:szCs w:val="22"/>
        </w:rPr>
        <w:t xml:space="preserve"> Theory </w:t>
      </w:r>
      <w:r>
        <w:rPr>
          <w:rFonts w:ascii="Arial" w:hAnsi="Arial" w:cs="Arial"/>
          <w:sz w:val="22"/>
          <w:szCs w:val="22"/>
        </w:rPr>
        <w:t xml:space="preserve">and other theorists </w:t>
      </w:r>
      <w:r w:rsidRPr="00202B2C">
        <w:rPr>
          <w:rFonts w:ascii="Arial" w:hAnsi="Arial" w:cs="Arial"/>
          <w:sz w:val="22"/>
          <w:szCs w:val="22"/>
        </w:rPr>
        <w:t>during the research and preparation of the assignment.</w:t>
      </w:r>
      <w:r w:rsidRPr="00FB3D9E">
        <w:rPr>
          <w:rFonts w:ascii="Arial" w:hAnsi="Arial" w:cs="Arial"/>
          <w:sz w:val="22"/>
          <w:szCs w:val="22"/>
        </w:rPr>
        <w:t xml:space="preserve"> </w:t>
      </w:r>
      <w:r w:rsidRPr="007C03BB">
        <w:rPr>
          <w:rFonts w:ascii="Arial" w:hAnsi="Arial" w:cs="Arial"/>
          <w:sz w:val="22"/>
          <w:szCs w:val="22"/>
        </w:rPr>
        <w:t xml:space="preserve">How each developmental stage is based on the foundation of a specific crisis or task that must be achieved </w:t>
      </w:r>
      <w:proofErr w:type="gramStart"/>
      <w:r w:rsidRPr="007C03BB">
        <w:rPr>
          <w:rFonts w:ascii="Arial" w:hAnsi="Arial" w:cs="Arial"/>
          <w:sz w:val="22"/>
          <w:szCs w:val="22"/>
        </w:rPr>
        <w:t>in order to</w:t>
      </w:r>
      <w:proofErr w:type="gramEnd"/>
      <w:r w:rsidRPr="007C03BB">
        <w:rPr>
          <w:rFonts w:ascii="Arial" w:hAnsi="Arial" w:cs="Arial"/>
          <w:sz w:val="22"/>
          <w:szCs w:val="22"/>
        </w:rPr>
        <w:t xml:space="preserve"> progressively move ahead. In accordance with the theory of cognitive development by Jean Piaget, learning is proceeded by the combination of assimilation and</w:t>
      </w:r>
      <w:r w:rsidRPr="003F16A5">
        <w:rPr>
          <w:rFonts w:ascii="Times New Roman" w:hAnsi="Times New Roman" w:cs="Times New Roman"/>
        </w:rPr>
        <w:t xml:space="preserve"> </w:t>
      </w:r>
      <w:r w:rsidRPr="007C03BB">
        <w:rPr>
          <w:rFonts w:ascii="Arial" w:hAnsi="Arial" w:cs="Arial"/>
          <w:sz w:val="22"/>
          <w:szCs w:val="22"/>
        </w:rPr>
        <w:t>accommodation of experiences. The to-and-fro movement between assimilation and accommodation leads to both the short-term and the long-term learning of individuals</w:t>
      </w:r>
      <w:r w:rsidR="00F03577" w:rsidRPr="007C03BB">
        <w:rPr>
          <w:rFonts w:ascii="Arial" w:hAnsi="Arial" w:cs="Arial"/>
          <w:noProof/>
          <w:sz w:val="22"/>
          <w:szCs w:val="22"/>
        </w:rPr>
        <w:t xml:space="preserve"> (Erikson &amp; Erikson , 1997)</w:t>
      </w:r>
      <w:r w:rsidRPr="007C03BB">
        <w:rPr>
          <w:rFonts w:ascii="Arial" w:hAnsi="Arial" w:cs="Arial"/>
          <w:sz w:val="22"/>
          <w:szCs w:val="22"/>
        </w:rPr>
        <w:t xml:space="preserve">. According to the psychosexual theory proposed by Freud, each phase of human development is marked by struggles that can support the individual to grow or can stifle his growth. In case if these stages are successfully completed, it may result in the formation of a healthy personality. In case if they aren’t resolved, fixation can take place. Until the issues faced in the prior psychosexual stages are dealt with, the individual remains “stuck” in the present stage. </w:t>
      </w:r>
    </w:p>
    <w:p w14:paraId="1B8B7CA5" w14:textId="288E366E" w:rsidR="002E2F6C" w:rsidRPr="00202B2C" w:rsidRDefault="002E2F6C" w:rsidP="00003319">
      <w:pPr>
        <w:spacing w:line="360" w:lineRule="auto"/>
        <w:ind w:left="-284"/>
        <w:jc w:val="both"/>
        <w:rPr>
          <w:rFonts w:ascii="Arial" w:hAnsi="Arial" w:cs="Arial"/>
          <w:sz w:val="22"/>
          <w:szCs w:val="22"/>
        </w:rPr>
      </w:pPr>
      <w:r w:rsidRPr="007C03BB">
        <w:rPr>
          <w:rFonts w:ascii="Arial" w:hAnsi="Arial" w:cs="Arial"/>
          <w:sz w:val="22"/>
          <w:szCs w:val="22"/>
        </w:rPr>
        <w:t xml:space="preserve">It is very clear from the ideas that have been discussed above that in case if the developmental stage of an individual is fixated, growth can be compromised in terms of personality </w:t>
      </w:r>
      <w:r w:rsidR="00F03577" w:rsidRPr="007C03BB">
        <w:rPr>
          <w:rFonts w:ascii="Arial" w:hAnsi="Arial" w:cs="Arial"/>
          <w:noProof/>
          <w:sz w:val="22"/>
          <w:szCs w:val="22"/>
        </w:rPr>
        <w:t>(Peedicayil, 2012)</w:t>
      </w:r>
      <w:r w:rsidRPr="007C03BB">
        <w:rPr>
          <w:rFonts w:ascii="Arial" w:hAnsi="Arial" w:cs="Arial"/>
          <w:sz w:val="22"/>
          <w:szCs w:val="22"/>
        </w:rPr>
        <w:t>.</w:t>
      </w:r>
    </w:p>
    <w:p w14:paraId="75C05123" w14:textId="0D430617" w:rsidR="002E2F6C" w:rsidRPr="000B74A6" w:rsidRDefault="002E2F6C" w:rsidP="00003319">
      <w:pPr>
        <w:spacing w:line="360" w:lineRule="auto"/>
        <w:ind w:left="-284"/>
        <w:jc w:val="both"/>
      </w:pPr>
      <w:r w:rsidRPr="00202B2C">
        <w:rPr>
          <w:rFonts w:ascii="Arial" w:hAnsi="Arial" w:cs="Arial"/>
          <w:bCs/>
          <w:sz w:val="22"/>
          <w:szCs w:val="22"/>
        </w:rPr>
        <w:t xml:space="preserve">These theorists have many </w:t>
      </w:r>
      <w:proofErr w:type="gramStart"/>
      <w:r w:rsidRPr="00202B2C">
        <w:rPr>
          <w:rFonts w:ascii="Arial" w:hAnsi="Arial" w:cs="Arial"/>
          <w:bCs/>
          <w:sz w:val="22"/>
          <w:szCs w:val="22"/>
        </w:rPr>
        <w:t>more or less general</w:t>
      </w:r>
      <w:proofErr w:type="gramEnd"/>
      <w:r w:rsidRPr="00202B2C">
        <w:rPr>
          <w:rFonts w:ascii="Arial" w:hAnsi="Arial" w:cs="Arial"/>
          <w:bCs/>
          <w:sz w:val="22"/>
          <w:szCs w:val="22"/>
        </w:rPr>
        <w:t xml:space="preserve"> ideas, considering that the main factors influencing the development of the individual are biological processes of maturation within the individual. Other theorists, learning theorists such as Bandura, Watson, Skinner emphasize that the role of the environment is more than that of biology in development.</w:t>
      </w:r>
      <w:r w:rsidRPr="00202B2C">
        <w:t xml:space="preserve"> </w:t>
      </w:r>
      <w:r w:rsidRPr="00202B2C">
        <w:rPr>
          <w:rFonts w:ascii="Arial" w:hAnsi="Arial" w:cs="Arial"/>
          <w:bCs/>
          <w:sz w:val="22"/>
          <w:szCs w:val="22"/>
        </w:rPr>
        <w:t>It is rather difficult to combine all points of view into one. But it can be concluded that the role in human development</w:t>
      </w:r>
      <w:r w:rsidR="000B74A6">
        <w:rPr>
          <w:rFonts w:ascii="Arial" w:hAnsi="Arial" w:cs="Arial"/>
          <w:bCs/>
          <w:sz w:val="22"/>
          <w:szCs w:val="22"/>
        </w:rPr>
        <w:t xml:space="preserve"> </w:t>
      </w:r>
      <w:r w:rsidRPr="00202B2C">
        <w:rPr>
          <w:rFonts w:ascii="Arial" w:hAnsi="Arial" w:cs="Arial"/>
          <w:bCs/>
          <w:sz w:val="22"/>
          <w:szCs w:val="22"/>
        </w:rPr>
        <w:t>is played by the individuals themselves, as well as the environment, as integral components of a large system.</w:t>
      </w:r>
    </w:p>
    <w:p w14:paraId="5F9F914A" w14:textId="7DB3A817" w:rsidR="002E2F6C" w:rsidRPr="00A8421C" w:rsidRDefault="002E2F6C" w:rsidP="00325723">
      <w:pPr>
        <w:pStyle w:val="Heading1"/>
        <w:spacing w:line="360" w:lineRule="auto"/>
        <w:ind w:firstLine="0"/>
        <w:jc w:val="center"/>
        <w:rPr>
          <w:rFonts w:ascii="Arial" w:hAnsi="Arial" w:cs="Arial"/>
          <w:color w:val="auto"/>
          <w:lang w:val="en-GB"/>
        </w:rPr>
      </w:pPr>
      <w:bookmarkStart w:id="8" w:name="_Toc80205500"/>
      <w:bookmarkStart w:id="9" w:name="_Toc80630905"/>
      <w:bookmarkStart w:id="10" w:name="_Toc80631604"/>
      <w:bookmarkStart w:id="11" w:name="_Toc80874643"/>
      <w:r w:rsidRPr="00A8421C">
        <w:rPr>
          <w:rFonts w:ascii="Arial" w:hAnsi="Arial" w:cs="Arial"/>
          <w:color w:val="auto"/>
          <w:lang w:val="en-GB"/>
        </w:rPr>
        <w:lastRenderedPageBreak/>
        <w:t>4.The Impact of Erik Erikson’s Theory on Health and Well-being</w:t>
      </w:r>
      <w:bookmarkEnd w:id="8"/>
      <w:bookmarkEnd w:id="9"/>
      <w:bookmarkEnd w:id="10"/>
      <w:bookmarkEnd w:id="11"/>
    </w:p>
    <w:p w14:paraId="125D848C" w14:textId="4193F9C4" w:rsidR="002E2F6C" w:rsidRPr="004B1267" w:rsidRDefault="002E2F6C" w:rsidP="002E2F6C">
      <w:pPr>
        <w:spacing w:line="360" w:lineRule="auto"/>
        <w:jc w:val="both"/>
        <w:rPr>
          <w:rFonts w:ascii="Arial" w:hAnsi="Arial" w:cs="Arial"/>
          <w:sz w:val="22"/>
          <w:szCs w:val="22"/>
        </w:rPr>
      </w:pPr>
      <w:r w:rsidRPr="004B1267">
        <w:rPr>
          <w:rFonts w:ascii="Arial" w:hAnsi="Arial" w:cs="Arial"/>
          <w:sz w:val="22"/>
          <w:szCs w:val="22"/>
        </w:rPr>
        <w:t xml:space="preserve">Agreeing to Erikson and his colleagues, older individuals may cultivate a sense of comprehensive knowledge by renewing the previous stages of growth </w:t>
      </w:r>
      <w:r w:rsidR="00F03577" w:rsidRPr="004B1267">
        <w:rPr>
          <w:rFonts w:ascii="Arial" w:hAnsi="Arial" w:cs="Arial"/>
          <w:noProof/>
          <w:sz w:val="22"/>
          <w:szCs w:val="22"/>
        </w:rPr>
        <w:t>(Erikson, Erikson, &amp; Kivinick, 1986)</w:t>
      </w:r>
      <w:r w:rsidRPr="004B1267">
        <w:rPr>
          <w:rFonts w:ascii="Arial" w:hAnsi="Arial" w:cs="Arial"/>
          <w:sz w:val="22"/>
          <w:szCs w:val="22"/>
        </w:rPr>
        <w:t xml:space="preserve">. The engagement of well-being self-management of adults is an example of this scenario. When individuals face a decline in the status of their health, it can be a threat towards their independence visiting the stage of autonomy vs. shame. Individuals begin to revisit their sense of resilience hence giving them a strong will power. When individuals in an emergency visit the accident and emergency department of the hospital, they undergo a sense of shame and doubt. Had they not experienced such a serious accident which led them to the hospital, they would have been fully autonomous, doing things on their own. This eventually leads them to revisit the developmental stage of integrity vs. despair. Individuals in serious and fatal conditions experience disparity </w:t>
      </w:r>
      <w:r w:rsidR="00F03577" w:rsidRPr="004B1267">
        <w:rPr>
          <w:rFonts w:ascii="Arial" w:hAnsi="Arial" w:cs="Arial"/>
          <w:noProof/>
          <w:sz w:val="22"/>
          <w:szCs w:val="22"/>
        </w:rPr>
        <w:t>(Fiske, Wetherell, &amp; Gatz, 2009)</w:t>
      </w:r>
      <w:r w:rsidRPr="004B1267">
        <w:rPr>
          <w:rFonts w:ascii="Arial" w:hAnsi="Arial" w:cs="Arial"/>
          <w:sz w:val="22"/>
          <w:szCs w:val="22"/>
        </w:rPr>
        <w:t xml:space="preserve">. They begin to question what their life “would have” been like if they didn’t meet such an accident. </w:t>
      </w:r>
    </w:p>
    <w:p w14:paraId="28B2B512" w14:textId="77777777" w:rsidR="002E2F6C" w:rsidRPr="00130A1B" w:rsidRDefault="002E2F6C" w:rsidP="002E2F6C">
      <w:pPr>
        <w:spacing w:line="360" w:lineRule="auto"/>
        <w:ind w:firstLine="360"/>
        <w:jc w:val="both"/>
        <w:rPr>
          <w:rFonts w:ascii="Arial" w:hAnsi="Arial" w:cs="Arial"/>
          <w:sz w:val="22"/>
          <w:szCs w:val="22"/>
        </w:rPr>
      </w:pPr>
      <w:r w:rsidRPr="004B1267">
        <w:rPr>
          <w:rFonts w:ascii="Arial" w:hAnsi="Arial" w:cs="Arial"/>
          <w:sz w:val="22"/>
          <w:szCs w:val="22"/>
        </w:rPr>
        <w:t xml:space="preserve">In </w:t>
      </w:r>
      <w:proofErr w:type="gramStart"/>
      <w:r w:rsidRPr="004B1267">
        <w:rPr>
          <w:rFonts w:ascii="Arial" w:hAnsi="Arial" w:cs="Arial"/>
          <w:sz w:val="22"/>
          <w:szCs w:val="22"/>
        </w:rPr>
        <w:t>addition</w:t>
      </w:r>
      <w:proofErr w:type="gramEnd"/>
      <w:r w:rsidRPr="004B1267">
        <w:rPr>
          <w:rFonts w:ascii="Arial" w:hAnsi="Arial" w:cs="Arial"/>
          <w:sz w:val="22"/>
          <w:szCs w:val="22"/>
        </w:rPr>
        <w:t xml:space="preserve"> </w:t>
      </w:r>
      <w:r>
        <w:rPr>
          <w:rFonts w:ascii="Arial" w:hAnsi="Arial" w:cs="Arial"/>
          <w:sz w:val="22"/>
          <w:szCs w:val="22"/>
        </w:rPr>
        <w:t xml:space="preserve">in </w:t>
      </w:r>
      <w:r w:rsidRPr="004B1267">
        <w:rPr>
          <w:rFonts w:ascii="Arial" w:hAnsi="Arial" w:cs="Arial"/>
          <w:sz w:val="22"/>
          <w:szCs w:val="22"/>
        </w:rPr>
        <w:t xml:space="preserve">another scenario, a teenager, who is the victim of a life-threatening accident may be a victim of inferiority. At some point, he even starts questioning his life goals and the life ahead of him. He begins comparing himself to his peers and looks at the condition he is currently in. It is during these problematic times that the medical executives can help the patients. </w:t>
      </w:r>
    </w:p>
    <w:p w14:paraId="6AD92E95" w14:textId="283CAA3B" w:rsidR="002E2F6C" w:rsidRPr="00A8421C" w:rsidRDefault="002E2F6C" w:rsidP="00DD56BB">
      <w:pPr>
        <w:pStyle w:val="Heading1"/>
        <w:spacing w:line="360" w:lineRule="auto"/>
        <w:ind w:left="-360" w:firstLine="0"/>
        <w:jc w:val="center"/>
        <w:rPr>
          <w:rFonts w:ascii="Arial" w:hAnsi="Arial" w:cs="Arial"/>
          <w:color w:val="auto"/>
          <w:lang w:val="en-GB"/>
        </w:rPr>
      </w:pPr>
      <w:bookmarkStart w:id="12" w:name="_Toc80205501"/>
      <w:bookmarkStart w:id="13" w:name="_Toc80630906"/>
      <w:bookmarkStart w:id="14" w:name="_Toc80631605"/>
      <w:bookmarkStart w:id="15" w:name="_Toc80874644"/>
      <w:r>
        <w:rPr>
          <w:rFonts w:ascii="Arial" w:hAnsi="Arial" w:cs="Arial"/>
          <w:color w:val="auto"/>
          <w:lang w:val="en-GB"/>
        </w:rPr>
        <w:t>5.</w:t>
      </w:r>
      <w:r w:rsidRPr="00A8421C">
        <w:rPr>
          <w:rFonts w:ascii="Arial" w:hAnsi="Arial" w:cs="Arial"/>
          <w:color w:val="auto"/>
          <w:lang w:val="en-GB"/>
        </w:rPr>
        <w:t>Practical Implication</w:t>
      </w:r>
      <w:bookmarkEnd w:id="12"/>
      <w:r w:rsidRPr="00A8421C">
        <w:rPr>
          <w:rFonts w:ascii="Arial" w:hAnsi="Arial" w:cs="Arial"/>
          <w:color w:val="auto"/>
          <w:lang w:val="en-GB"/>
        </w:rPr>
        <w:t>s</w:t>
      </w:r>
      <w:bookmarkEnd w:id="13"/>
      <w:bookmarkEnd w:id="14"/>
      <w:bookmarkEnd w:id="15"/>
    </w:p>
    <w:p w14:paraId="3DE5EA0C" w14:textId="6B2C1984" w:rsidR="002E2F6C" w:rsidRPr="004B1267" w:rsidRDefault="002E2F6C" w:rsidP="002E2F6C">
      <w:pPr>
        <w:spacing w:line="360" w:lineRule="auto"/>
        <w:jc w:val="both"/>
        <w:rPr>
          <w:rFonts w:ascii="Arial" w:hAnsi="Arial" w:cs="Arial"/>
          <w:sz w:val="22"/>
          <w:szCs w:val="22"/>
        </w:rPr>
      </w:pPr>
      <w:r w:rsidRPr="004B1267">
        <w:rPr>
          <w:rFonts w:ascii="Arial" w:hAnsi="Arial" w:cs="Arial"/>
          <w:sz w:val="22"/>
          <w:szCs w:val="22"/>
        </w:rPr>
        <w:t>In terms of a future job</w:t>
      </w:r>
      <w:proofErr w:type="gramStart"/>
      <w:r w:rsidRPr="004B1267">
        <w:rPr>
          <w:rFonts w:ascii="Arial" w:hAnsi="Arial" w:cs="Arial"/>
          <w:sz w:val="22"/>
          <w:szCs w:val="22"/>
        </w:rPr>
        <w:t>, as a nurse, this theory</w:t>
      </w:r>
      <w:proofErr w:type="gramEnd"/>
      <w:r w:rsidRPr="004B1267">
        <w:rPr>
          <w:rFonts w:ascii="Arial" w:hAnsi="Arial" w:cs="Arial"/>
          <w:sz w:val="22"/>
          <w:szCs w:val="22"/>
        </w:rPr>
        <w:t xml:space="preserve"> can have a variety of practical implications. Aspects of this theory can be reapplied to understand the patients even better. In case if the patients were healthy during their initial stages, they can be persuaded towards self-management towards their health. Patients can from time to time revisit the developmental stage of industry vs. inferiority by looking at the bodily challenges they are the victims of. The health executives can help such patients by listening to them so they can feel better and still be motivated </w:t>
      </w:r>
      <w:r w:rsidR="00F03577" w:rsidRPr="004B1267">
        <w:rPr>
          <w:rFonts w:ascii="Arial" w:hAnsi="Arial" w:cs="Arial"/>
          <w:noProof/>
          <w:sz w:val="22"/>
          <w:szCs w:val="22"/>
        </w:rPr>
        <w:t>(Barlow, Wright, Sheasby , Turner, &amp; Hainsworth, 2002)</w:t>
      </w:r>
      <w:r w:rsidRPr="004B1267">
        <w:rPr>
          <w:rFonts w:ascii="Arial" w:hAnsi="Arial" w:cs="Arial"/>
          <w:sz w:val="22"/>
          <w:szCs w:val="22"/>
        </w:rPr>
        <w:t xml:space="preserve">. </w:t>
      </w:r>
    </w:p>
    <w:p w14:paraId="3850A307" w14:textId="4F837153" w:rsidR="002E2F6C" w:rsidRDefault="002E2F6C" w:rsidP="002E2F6C">
      <w:pPr>
        <w:spacing w:line="360" w:lineRule="auto"/>
        <w:jc w:val="both"/>
        <w:rPr>
          <w:rFonts w:ascii="Arial" w:hAnsi="Arial" w:cs="Arial"/>
          <w:sz w:val="22"/>
          <w:szCs w:val="22"/>
        </w:rPr>
      </w:pPr>
      <w:r w:rsidRPr="004B1267">
        <w:rPr>
          <w:rFonts w:ascii="Arial" w:hAnsi="Arial" w:cs="Arial"/>
          <w:sz w:val="22"/>
          <w:szCs w:val="22"/>
        </w:rPr>
        <w:t xml:space="preserve">During practice with the patients, this theory can help reapply the well-being self-management teaching for older patients. Currently, health-management learning revolves around coaching older patients on medication management, how to communication, and make decisions. Older patients will not necessarily have the expertise in such areas in which they will likely be engaged all their lives. </w:t>
      </w:r>
      <w:proofErr w:type="gramStart"/>
      <w:r w:rsidRPr="004B1267">
        <w:rPr>
          <w:rFonts w:ascii="Arial" w:hAnsi="Arial" w:cs="Arial"/>
          <w:sz w:val="22"/>
          <w:szCs w:val="22"/>
        </w:rPr>
        <w:t>This is why</w:t>
      </w:r>
      <w:proofErr w:type="gramEnd"/>
      <w:r w:rsidRPr="004B1267">
        <w:rPr>
          <w:rFonts w:ascii="Arial" w:hAnsi="Arial" w:cs="Arial"/>
          <w:sz w:val="22"/>
          <w:szCs w:val="22"/>
        </w:rPr>
        <w:t xml:space="preserve"> they need to be re-trained as per new concepts. By findings ways in which the health self-management can be personalized, the effectiveness of various treatments can be </w:t>
      </w:r>
      <w:proofErr w:type="gramStart"/>
      <w:r w:rsidRPr="004B1267">
        <w:rPr>
          <w:rFonts w:ascii="Arial" w:hAnsi="Arial" w:cs="Arial"/>
          <w:sz w:val="22"/>
          <w:szCs w:val="22"/>
        </w:rPr>
        <w:t>improved</w:t>
      </w:r>
      <w:proofErr w:type="gramEnd"/>
      <w:r w:rsidRPr="004B1267">
        <w:rPr>
          <w:rFonts w:ascii="Arial" w:hAnsi="Arial" w:cs="Arial"/>
          <w:sz w:val="22"/>
          <w:szCs w:val="22"/>
        </w:rPr>
        <w:t xml:space="preserve"> and the health outcomes can also be made better. Further, it can help me as a practitioner in areas where health self-management has not been initially present </w:t>
      </w:r>
      <w:r w:rsidR="00F03577" w:rsidRPr="004B1267">
        <w:rPr>
          <w:rFonts w:ascii="Arial" w:hAnsi="Arial" w:cs="Arial"/>
          <w:noProof/>
          <w:sz w:val="22"/>
          <w:szCs w:val="22"/>
        </w:rPr>
        <w:t>(Deakin , Welschen, Nijpels, &amp; Singh, 2006)</w:t>
      </w:r>
      <w:r w:rsidRPr="004B1267">
        <w:rPr>
          <w:rFonts w:ascii="Arial" w:hAnsi="Arial" w:cs="Arial"/>
          <w:sz w:val="22"/>
          <w:szCs w:val="22"/>
        </w:rPr>
        <w:t xml:space="preserve">. </w:t>
      </w:r>
    </w:p>
    <w:p w14:paraId="3E552E77" w14:textId="0A21AA46" w:rsidR="002E2F6C" w:rsidRDefault="002E2F6C" w:rsidP="00003319">
      <w:pPr>
        <w:pStyle w:val="Heading1"/>
        <w:spacing w:line="360" w:lineRule="auto"/>
        <w:ind w:left="-360" w:firstLine="0"/>
        <w:jc w:val="center"/>
        <w:rPr>
          <w:rFonts w:ascii="Arial" w:hAnsi="Arial" w:cs="Arial"/>
          <w:color w:val="auto"/>
          <w:lang w:val="en-GB"/>
        </w:rPr>
      </w:pPr>
      <w:bookmarkStart w:id="16" w:name="_Toc80205502"/>
      <w:bookmarkStart w:id="17" w:name="_Toc80630907"/>
      <w:bookmarkStart w:id="18" w:name="_Toc80631606"/>
      <w:bookmarkStart w:id="19" w:name="_Toc80874645"/>
      <w:r>
        <w:rPr>
          <w:rFonts w:ascii="Arial" w:hAnsi="Arial" w:cs="Arial"/>
          <w:color w:val="auto"/>
          <w:lang w:val="en-GB"/>
        </w:rPr>
        <w:lastRenderedPageBreak/>
        <w:t>6.</w:t>
      </w:r>
      <w:r w:rsidRPr="00A8421C">
        <w:rPr>
          <w:rFonts w:ascii="Arial" w:hAnsi="Arial" w:cs="Arial"/>
          <w:color w:val="auto"/>
          <w:lang w:val="en-GB"/>
        </w:rPr>
        <w:t>Conclusion</w:t>
      </w:r>
      <w:bookmarkEnd w:id="16"/>
      <w:bookmarkEnd w:id="17"/>
      <w:bookmarkEnd w:id="18"/>
      <w:bookmarkEnd w:id="19"/>
    </w:p>
    <w:p w14:paraId="2AEF283C" w14:textId="77777777" w:rsidR="00DD56BB" w:rsidRPr="00DD56BB" w:rsidRDefault="00DD56BB" w:rsidP="00003319">
      <w:pPr>
        <w:spacing w:line="360" w:lineRule="auto"/>
        <w:rPr>
          <w:lang w:bidi="en-US"/>
        </w:rPr>
      </w:pPr>
    </w:p>
    <w:p w14:paraId="276847D6" w14:textId="77777777" w:rsidR="002E2F6C" w:rsidRPr="00226F9D" w:rsidRDefault="002E2F6C" w:rsidP="00003319">
      <w:pPr>
        <w:spacing w:line="360" w:lineRule="auto"/>
        <w:rPr>
          <w:rFonts w:ascii="Arial" w:hAnsi="Arial" w:cs="Arial"/>
          <w:sz w:val="22"/>
          <w:szCs w:val="22"/>
          <w:lang w:bidi="en-US"/>
        </w:rPr>
      </w:pPr>
      <w:r w:rsidRPr="00226F9D">
        <w:rPr>
          <w:rFonts w:ascii="Arial" w:hAnsi="Arial" w:cs="Arial"/>
          <w:sz w:val="22"/>
          <w:szCs w:val="22"/>
          <w:lang w:bidi="en-US"/>
        </w:rPr>
        <w:t xml:space="preserve">The Module </w:t>
      </w:r>
      <w:r>
        <w:rPr>
          <w:rFonts w:ascii="Arial" w:hAnsi="Arial" w:cs="Arial"/>
          <w:sz w:val="22"/>
          <w:szCs w:val="22"/>
          <w:lang w:bidi="en-US"/>
        </w:rPr>
        <w:t>“</w:t>
      </w:r>
      <w:r w:rsidRPr="00226F9D">
        <w:rPr>
          <w:rFonts w:ascii="Arial" w:hAnsi="Arial" w:cs="Arial"/>
          <w:sz w:val="22"/>
          <w:szCs w:val="22"/>
          <w:lang w:bidi="en-US"/>
        </w:rPr>
        <w:t xml:space="preserve">Psychology </w:t>
      </w:r>
      <w:r>
        <w:rPr>
          <w:rFonts w:ascii="Arial" w:hAnsi="Arial" w:cs="Arial"/>
          <w:sz w:val="22"/>
          <w:szCs w:val="22"/>
          <w:lang w:bidi="en-US"/>
        </w:rPr>
        <w:t>i</w:t>
      </w:r>
      <w:r w:rsidRPr="00226F9D">
        <w:rPr>
          <w:rFonts w:ascii="Arial" w:hAnsi="Arial" w:cs="Arial"/>
          <w:sz w:val="22"/>
          <w:szCs w:val="22"/>
          <w:lang w:bidi="en-US"/>
        </w:rPr>
        <w:t>n Health and Social Care</w:t>
      </w:r>
      <w:r>
        <w:rPr>
          <w:rFonts w:ascii="Arial" w:hAnsi="Arial" w:cs="Arial"/>
          <w:sz w:val="22"/>
          <w:szCs w:val="22"/>
          <w:lang w:bidi="en-US"/>
        </w:rPr>
        <w:t>”</w:t>
      </w:r>
      <w:r w:rsidRPr="00226F9D">
        <w:rPr>
          <w:rFonts w:ascii="Arial" w:hAnsi="Arial" w:cs="Arial"/>
          <w:sz w:val="22"/>
          <w:szCs w:val="22"/>
          <w:lang w:bidi="en-US"/>
        </w:rPr>
        <w:t xml:space="preserve"> gave me a deeper understanding of the possible work style in healthcare. Psychological theories of human life development show the various changes that occur throughout the human life cycle, </w:t>
      </w:r>
      <w:proofErr w:type="gramStart"/>
      <w:r w:rsidRPr="00226F9D">
        <w:rPr>
          <w:rFonts w:ascii="Arial" w:hAnsi="Arial" w:cs="Arial"/>
          <w:sz w:val="22"/>
          <w:szCs w:val="22"/>
          <w:lang w:bidi="en-US"/>
        </w:rPr>
        <w:t>demonstrate</w:t>
      </w:r>
      <w:proofErr w:type="gramEnd"/>
      <w:r w:rsidRPr="00226F9D">
        <w:rPr>
          <w:rFonts w:ascii="Arial" w:hAnsi="Arial" w:cs="Arial"/>
          <w:sz w:val="22"/>
          <w:szCs w:val="22"/>
          <w:lang w:bidi="en-US"/>
        </w:rPr>
        <w:t xml:space="preserve"> and explain the connection with human life and behaviours.</w:t>
      </w:r>
    </w:p>
    <w:p w14:paraId="6698A1C0" w14:textId="77777777" w:rsidR="002E2F6C" w:rsidRPr="007C03BB" w:rsidRDefault="002E2F6C" w:rsidP="00003319">
      <w:pPr>
        <w:spacing w:line="360" w:lineRule="auto"/>
        <w:jc w:val="both"/>
        <w:rPr>
          <w:rFonts w:ascii="Arial" w:hAnsi="Arial" w:cs="Arial"/>
          <w:sz w:val="22"/>
          <w:szCs w:val="22"/>
        </w:rPr>
      </w:pPr>
      <w:r w:rsidRPr="007C03BB">
        <w:rPr>
          <w:rFonts w:ascii="Arial" w:hAnsi="Arial" w:cs="Arial"/>
          <w:sz w:val="22"/>
          <w:szCs w:val="22"/>
        </w:rPr>
        <w:t xml:space="preserve">This report presented a clear understanding of the life stages of individuals as per Eric Erikson’s theory. </w:t>
      </w:r>
    </w:p>
    <w:p w14:paraId="088227C2" w14:textId="77777777" w:rsidR="002E2F6C" w:rsidRDefault="002E2F6C" w:rsidP="00003319">
      <w:pPr>
        <w:spacing w:line="360" w:lineRule="auto"/>
        <w:jc w:val="both"/>
        <w:rPr>
          <w:rFonts w:ascii="Arial" w:hAnsi="Arial" w:cs="Arial"/>
          <w:sz w:val="22"/>
          <w:szCs w:val="22"/>
        </w:rPr>
      </w:pPr>
      <w:r w:rsidRPr="007C03BB">
        <w:rPr>
          <w:rFonts w:ascii="Arial" w:hAnsi="Arial" w:cs="Arial"/>
          <w:sz w:val="22"/>
          <w:szCs w:val="22"/>
        </w:rPr>
        <w:t xml:space="preserve">It is vital that the developmental stages of individuals remain progressive. Any issue in any of the stages can result in a personality that is doubtful, inferior, insecure, confused, and stagnated. </w:t>
      </w:r>
    </w:p>
    <w:p w14:paraId="043BEB43" w14:textId="77777777" w:rsidR="002E2F6C" w:rsidRPr="00064D79" w:rsidRDefault="002E2F6C" w:rsidP="00003319">
      <w:pPr>
        <w:spacing w:line="360" w:lineRule="auto"/>
        <w:jc w:val="both"/>
        <w:rPr>
          <w:rFonts w:ascii="Arial" w:hAnsi="Arial" w:cs="Arial"/>
          <w:sz w:val="22"/>
          <w:szCs w:val="22"/>
        </w:rPr>
      </w:pPr>
      <w:r>
        <w:rPr>
          <w:rFonts w:ascii="Arial" w:hAnsi="Arial" w:cs="Arial"/>
          <w:sz w:val="22"/>
          <w:szCs w:val="22"/>
          <w:lang w:bidi="en-US"/>
        </w:rPr>
        <w:t>Moreover, t</w:t>
      </w:r>
      <w:r w:rsidRPr="00064D79">
        <w:rPr>
          <w:rFonts w:ascii="Arial" w:hAnsi="Arial" w:cs="Arial"/>
          <w:sz w:val="22"/>
          <w:szCs w:val="22"/>
          <w:lang w:bidi="en-US"/>
        </w:rPr>
        <w:t>his report proves that knowledge of psychology is an important aspect in the health and social care industry.</w:t>
      </w:r>
    </w:p>
    <w:p w14:paraId="09BD1C25" w14:textId="77777777" w:rsidR="002E2F6C" w:rsidRPr="00064D79" w:rsidRDefault="002E2F6C" w:rsidP="00003319">
      <w:pPr>
        <w:spacing w:line="360" w:lineRule="auto"/>
        <w:ind w:firstLine="360"/>
        <w:jc w:val="both"/>
        <w:rPr>
          <w:rFonts w:ascii="Arial" w:hAnsi="Arial" w:cs="Arial"/>
          <w:sz w:val="22"/>
          <w:szCs w:val="22"/>
        </w:rPr>
      </w:pPr>
    </w:p>
    <w:p w14:paraId="0CA15595" w14:textId="36ED70C3" w:rsidR="00236480" w:rsidRDefault="00236480" w:rsidP="00003319">
      <w:pPr>
        <w:spacing w:line="360" w:lineRule="auto"/>
      </w:pPr>
    </w:p>
    <w:p w14:paraId="02F80093" w14:textId="77777777" w:rsidR="00236480" w:rsidRDefault="00236480"/>
    <w:p w14:paraId="6DEED4CA" w14:textId="0F66C31B" w:rsidR="00236480" w:rsidRDefault="00236480"/>
    <w:p w14:paraId="7457AE09" w14:textId="77777777" w:rsidR="00236480" w:rsidRDefault="00236480">
      <w:r>
        <w:br w:type="page"/>
      </w:r>
    </w:p>
    <w:bookmarkStart w:id="20" w:name="_Toc80874646" w:displacedByCustomXml="next"/>
    <w:sdt>
      <w:sdtPr>
        <w:rPr>
          <w:rFonts w:asciiTheme="minorHAnsi" w:eastAsiaTheme="minorHAnsi" w:hAnsiTheme="minorHAnsi" w:cstheme="minorBidi"/>
          <w:b w:val="0"/>
          <w:bCs w:val="0"/>
          <w:color w:val="auto"/>
          <w:sz w:val="24"/>
          <w:szCs w:val="24"/>
          <w:lang w:val="en-GB" w:bidi="ar-SA"/>
        </w:rPr>
        <w:id w:val="529762269"/>
        <w:docPartObj>
          <w:docPartGallery w:val="Bibliographies"/>
          <w:docPartUnique/>
        </w:docPartObj>
      </w:sdtPr>
      <w:sdtEndPr>
        <w:rPr>
          <w:rFonts w:ascii="Times New Roman" w:hAnsi="Times New Roman" w:cs="Times New Roman"/>
        </w:rPr>
      </w:sdtEndPr>
      <w:sdtContent>
        <w:p w14:paraId="26C626E7" w14:textId="6C03A31F" w:rsidR="001C2178" w:rsidRPr="00F03577" w:rsidRDefault="00F03577" w:rsidP="00F03577">
          <w:pPr>
            <w:pStyle w:val="Heading1"/>
            <w:ind w:firstLine="0"/>
            <w:jc w:val="center"/>
            <w:rPr>
              <w:rFonts w:ascii="Arial" w:hAnsi="Arial" w:cs="Arial"/>
              <w:color w:val="000000" w:themeColor="text1"/>
            </w:rPr>
          </w:pPr>
          <w:r w:rsidRPr="00F03577">
            <w:rPr>
              <w:rFonts w:ascii="Arial" w:hAnsi="Arial" w:cs="Arial"/>
              <w:color w:val="000000" w:themeColor="text1"/>
            </w:rPr>
            <w:t>References</w:t>
          </w:r>
          <w:bookmarkEnd w:id="20"/>
        </w:p>
        <w:p w14:paraId="5D22FE08" w14:textId="77777777" w:rsidR="001C2178" w:rsidRPr="001C2178" w:rsidRDefault="001C2178" w:rsidP="00003319">
          <w:pPr>
            <w:spacing w:line="360" w:lineRule="auto"/>
            <w:ind w:firstLine="360"/>
            <w:jc w:val="center"/>
            <w:rPr>
              <w:rFonts w:ascii="Arial" w:eastAsiaTheme="majorEastAsia" w:hAnsi="Arial" w:cs="Arial"/>
              <w:b/>
              <w:bCs/>
              <w:sz w:val="28"/>
              <w:szCs w:val="28"/>
              <w:lang w:bidi="en-US"/>
            </w:rPr>
          </w:pPr>
        </w:p>
        <w:sdt>
          <w:sdtPr>
            <w:rPr>
              <w:rFonts w:ascii="Arial" w:eastAsiaTheme="minorHAnsi" w:hAnsi="Arial" w:cs="Arial"/>
              <w:sz w:val="22"/>
              <w:szCs w:val="22"/>
              <w:lang w:val="en-GB"/>
            </w:rPr>
            <w:id w:val="111145805"/>
            <w:bibliography/>
          </w:sdtPr>
          <w:sdtEndPr>
            <w:rPr>
              <w:rFonts w:ascii="Times New Roman" w:hAnsi="Times New Roman" w:cs="Times New Roman"/>
              <w:sz w:val="24"/>
              <w:szCs w:val="24"/>
            </w:rPr>
          </w:sdtEndPr>
          <w:sdtContent>
            <w:p w14:paraId="45CE0369" w14:textId="77777777" w:rsidR="003E1879" w:rsidRDefault="003E1879" w:rsidP="00003319">
              <w:pPr>
                <w:pStyle w:val="Bibliography"/>
                <w:tabs>
                  <w:tab w:val="left" w:pos="426"/>
                </w:tabs>
                <w:spacing w:line="360" w:lineRule="auto"/>
                <w:ind w:firstLine="0"/>
                <w:rPr>
                  <w:rFonts w:ascii="Arial" w:hAnsi="Arial" w:cs="Arial"/>
                  <w:sz w:val="22"/>
                  <w:szCs w:val="22"/>
                </w:rPr>
              </w:pPr>
              <w:r w:rsidRPr="003E1879">
                <w:rPr>
                  <w:rFonts w:ascii="Arial" w:hAnsi="Arial" w:cs="Arial"/>
                  <w:sz w:val="22"/>
                  <w:szCs w:val="22"/>
                </w:rPr>
                <w:t>Bps.org.uk. 2021. </w:t>
              </w:r>
              <w:r w:rsidRPr="003E1879">
                <w:rPr>
                  <w:rFonts w:ascii="Arial" w:hAnsi="Arial" w:cs="Arial"/>
                  <w:i/>
                  <w:iCs/>
                  <w:sz w:val="22"/>
                  <w:szCs w:val="22"/>
                </w:rPr>
                <w:t>What is Psychology? | BPS</w:t>
              </w:r>
              <w:r w:rsidRPr="003E1879">
                <w:rPr>
                  <w:rFonts w:ascii="Arial" w:hAnsi="Arial" w:cs="Arial"/>
                  <w:sz w:val="22"/>
                  <w:szCs w:val="22"/>
                </w:rPr>
                <w:t xml:space="preserve">. [online] </w:t>
              </w:r>
            </w:p>
            <w:p w14:paraId="5FF4E94A" w14:textId="41F09697" w:rsidR="003E1879" w:rsidRDefault="003E1879" w:rsidP="00003319">
              <w:pPr>
                <w:pStyle w:val="Bibliography"/>
                <w:tabs>
                  <w:tab w:val="left" w:pos="426"/>
                </w:tabs>
                <w:spacing w:line="360" w:lineRule="auto"/>
                <w:ind w:firstLine="0"/>
                <w:rPr>
                  <w:rFonts w:ascii="Arial" w:hAnsi="Arial" w:cs="Arial"/>
                  <w:sz w:val="22"/>
                  <w:szCs w:val="22"/>
                </w:rPr>
              </w:pPr>
              <w:r w:rsidRPr="003E1879">
                <w:rPr>
                  <w:rFonts w:ascii="Arial" w:hAnsi="Arial" w:cs="Arial"/>
                  <w:sz w:val="22"/>
                  <w:szCs w:val="22"/>
                </w:rPr>
                <w:t>Available at: &lt;</w:t>
              </w:r>
              <w:r>
                <w:rPr>
                  <w:rFonts w:ascii="Arial" w:hAnsi="Arial" w:cs="Arial"/>
                  <w:sz w:val="22"/>
                  <w:szCs w:val="22"/>
                </w:rPr>
                <w:t xml:space="preserve"> </w:t>
              </w:r>
              <w:hyperlink r:id="rId9" w:history="1">
                <w:r w:rsidRPr="001A72D6">
                  <w:rPr>
                    <w:rStyle w:val="Hyperlink"/>
                    <w:rFonts w:ascii="Arial" w:hAnsi="Arial" w:cs="Arial"/>
                    <w:sz w:val="22"/>
                    <w:szCs w:val="22"/>
                  </w:rPr>
                  <w:t>https://www.bps.org.uk/public/what-is-psychology</w:t>
                </w:r>
              </w:hyperlink>
              <w:r>
                <w:rPr>
                  <w:rFonts w:ascii="Arial" w:hAnsi="Arial" w:cs="Arial"/>
                  <w:sz w:val="22"/>
                  <w:szCs w:val="22"/>
                </w:rPr>
                <w:t xml:space="preserve"> </w:t>
              </w:r>
              <w:r w:rsidRPr="003E1879">
                <w:rPr>
                  <w:rFonts w:ascii="Arial" w:hAnsi="Arial" w:cs="Arial"/>
                  <w:sz w:val="22"/>
                  <w:szCs w:val="22"/>
                </w:rPr>
                <w:t xml:space="preserve">&gt; </w:t>
              </w:r>
            </w:p>
            <w:p w14:paraId="3DDC48F1" w14:textId="7CB8FDFE" w:rsidR="003E1879" w:rsidRPr="003E1879" w:rsidRDefault="003E1879" w:rsidP="00003319">
              <w:pPr>
                <w:pStyle w:val="Bibliography"/>
                <w:tabs>
                  <w:tab w:val="left" w:pos="426"/>
                </w:tabs>
                <w:spacing w:line="360" w:lineRule="auto"/>
                <w:ind w:firstLine="0"/>
                <w:rPr>
                  <w:rFonts w:ascii="Arial" w:hAnsi="Arial" w:cs="Arial"/>
                  <w:sz w:val="22"/>
                  <w:szCs w:val="22"/>
                </w:rPr>
              </w:pPr>
              <w:r w:rsidRPr="003E1879">
                <w:rPr>
                  <w:rFonts w:ascii="Arial" w:hAnsi="Arial" w:cs="Arial"/>
                  <w:sz w:val="22"/>
                  <w:szCs w:val="22"/>
                </w:rPr>
                <w:t>[Accessed 23 August 2021].</w:t>
              </w:r>
            </w:p>
            <w:p w14:paraId="1ACF44A3" w14:textId="085EF4A6"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sz w:val="22"/>
                  <w:szCs w:val="22"/>
                  <w:lang w:val="en-GB"/>
                </w:rPr>
                <w:t>“</w:t>
              </w:r>
              <w:r w:rsidRPr="001C2178">
                <w:rPr>
                  <w:rFonts w:ascii="Arial" w:hAnsi="Arial" w:cs="Arial"/>
                  <w:sz w:val="22"/>
                  <w:szCs w:val="22"/>
                  <w:lang w:val="en-GB"/>
                </w:rPr>
                <w:fldChar w:fldCharType="begin"/>
              </w:r>
              <w:r w:rsidRPr="001C2178">
                <w:rPr>
                  <w:rFonts w:ascii="Arial" w:hAnsi="Arial" w:cs="Arial"/>
                  <w:sz w:val="22"/>
                  <w:szCs w:val="22"/>
                  <w:lang w:val="en-GB"/>
                </w:rPr>
                <w:instrText xml:space="preserve"> BIBLIOGRAPHY </w:instrText>
              </w:r>
              <w:r w:rsidRPr="001C2178">
                <w:rPr>
                  <w:rFonts w:ascii="Arial" w:hAnsi="Arial" w:cs="Arial"/>
                  <w:sz w:val="22"/>
                  <w:szCs w:val="22"/>
                  <w:lang w:val="en-GB"/>
                </w:rPr>
                <w:fldChar w:fldCharType="separate"/>
              </w:r>
              <w:r w:rsidRPr="001C2178">
                <w:rPr>
                  <w:rFonts w:ascii="Arial" w:hAnsi="Arial" w:cs="Arial"/>
                  <w:noProof/>
                  <w:sz w:val="22"/>
                  <w:szCs w:val="22"/>
                  <w:lang w:val="en-GB"/>
                </w:rPr>
                <w:t>Wyatt et al. . (2017). CACHA Technical Level 3 Extended Diploma in Health and Social Care. 123.</w:t>
              </w:r>
            </w:p>
            <w:p w14:paraId="1C88D717"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 xml:space="preserve">Barlow, J., Wright, C., Sheasby , J., Turner, A., &amp; Hainsworth, J. (2002). Self-Management Approaches for People with Chronic Conditions. </w:t>
              </w:r>
              <w:r w:rsidRPr="001C2178">
                <w:rPr>
                  <w:rFonts w:ascii="Arial" w:hAnsi="Arial" w:cs="Arial"/>
                  <w:i/>
                  <w:iCs/>
                  <w:noProof/>
                  <w:sz w:val="22"/>
                  <w:szCs w:val="22"/>
                  <w:lang w:val="en-GB"/>
                </w:rPr>
                <w:t xml:space="preserve">Patient Education and Counseling </w:t>
              </w:r>
              <w:r w:rsidRPr="001C2178">
                <w:rPr>
                  <w:rFonts w:ascii="Arial" w:hAnsi="Arial" w:cs="Arial"/>
                  <w:noProof/>
                  <w:sz w:val="22"/>
                  <w:szCs w:val="22"/>
                  <w:lang w:val="en-GB"/>
                </w:rPr>
                <w:t>, 177-187.</w:t>
              </w:r>
            </w:p>
            <w:p w14:paraId="48B057D6"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 xml:space="preserve">Coles, R., Hunt, R., &amp; Maher, B. (2002). Erik Erikson: Faculty of Arts and Sciences memorial Minute. </w:t>
              </w:r>
              <w:r w:rsidRPr="001C2178">
                <w:rPr>
                  <w:rFonts w:ascii="Arial" w:hAnsi="Arial" w:cs="Arial"/>
                  <w:i/>
                  <w:iCs/>
                  <w:noProof/>
                  <w:sz w:val="22"/>
                  <w:szCs w:val="22"/>
                  <w:lang w:val="en-GB"/>
                </w:rPr>
                <w:t xml:space="preserve">Harvard Gazette Archives </w:t>
              </w:r>
              <w:r w:rsidRPr="001C2178">
                <w:rPr>
                  <w:rFonts w:ascii="Arial" w:hAnsi="Arial" w:cs="Arial"/>
                  <w:noProof/>
                  <w:sz w:val="22"/>
                  <w:szCs w:val="22"/>
                  <w:lang w:val="en-GB"/>
                </w:rPr>
                <w:t>.</w:t>
              </w:r>
            </w:p>
            <w:p w14:paraId="30267559"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Erikson , E., &amp; Erikson , J. (1997). The Life Cycle Completed .</w:t>
              </w:r>
            </w:p>
            <w:p w14:paraId="4E70B18C"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Erikson, E., &amp; Erikson, J. (1978). Introduction: Reflections on Aging. 1-8.</w:t>
              </w:r>
            </w:p>
            <w:p w14:paraId="54581602"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Erikson, E., Erikson, J., &amp; Kivinick, H. (1986). Vital Involvement in Old Age.</w:t>
              </w:r>
            </w:p>
            <w:p w14:paraId="525135E0" w14:textId="77777777" w:rsidR="001C2178" w:rsidRPr="001C2178" w:rsidRDefault="001C2178" w:rsidP="00003319">
              <w:pPr>
                <w:pStyle w:val="Bibliography"/>
                <w:tabs>
                  <w:tab w:val="left" w:pos="426"/>
                </w:tabs>
                <w:spacing w:line="360" w:lineRule="auto"/>
                <w:ind w:right="-46" w:firstLine="0"/>
                <w:rPr>
                  <w:rFonts w:ascii="Arial" w:hAnsi="Arial" w:cs="Arial"/>
                  <w:noProof/>
                  <w:sz w:val="22"/>
                  <w:szCs w:val="22"/>
                  <w:lang w:val="en-GB"/>
                </w:rPr>
              </w:pPr>
              <w:r w:rsidRPr="001C2178">
                <w:rPr>
                  <w:rFonts w:ascii="Arial" w:hAnsi="Arial" w:cs="Arial"/>
                  <w:noProof/>
                  <w:sz w:val="22"/>
                  <w:szCs w:val="22"/>
                  <w:lang w:val="en-GB"/>
                </w:rPr>
                <w:t>Deakin , T., Welschen, L., Nijpels, G., &amp; Singh, D. (2006). Self-Management Programmes for Older People May Help Reduce Blood Pressure . 52-55.</w:t>
              </w:r>
            </w:p>
            <w:p w14:paraId="108CA27A"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 xml:space="preserve">Fiske, A., Wetherell, J., &amp; Gatz, M. (2009). Depression in Older Adults . </w:t>
              </w:r>
              <w:r w:rsidRPr="001C2178">
                <w:rPr>
                  <w:rFonts w:ascii="Arial" w:hAnsi="Arial" w:cs="Arial"/>
                  <w:i/>
                  <w:iCs/>
                  <w:noProof/>
                  <w:sz w:val="22"/>
                  <w:szCs w:val="22"/>
                  <w:lang w:val="en-GB"/>
                </w:rPr>
                <w:t xml:space="preserve">Annual Reveiw in clinical Psychology </w:t>
              </w:r>
              <w:r w:rsidRPr="001C2178">
                <w:rPr>
                  <w:rFonts w:ascii="Arial" w:hAnsi="Arial" w:cs="Arial"/>
                  <w:noProof/>
                  <w:sz w:val="22"/>
                  <w:szCs w:val="22"/>
                  <w:lang w:val="en-GB"/>
                </w:rPr>
                <w:t>, 363-389.</w:t>
              </w:r>
            </w:p>
            <w:p w14:paraId="7E41DC76"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 xml:space="preserve">Haslbeck , J., McCorkle, R., &amp; Schaeffer, D. (2012). Chronic Illness Self-Management While Living Alone in Later Life. </w:t>
              </w:r>
              <w:r w:rsidRPr="001C2178">
                <w:rPr>
                  <w:rFonts w:ascii="Arial" w:hAnsi="Arial" w:cs="Arial"/>
                  <w:i/>
                  <w:iCs/>
                  <w:noProof/>
                  <w:sz w:val="22"/>
                  <w:szCs w:val="22"/>
                  <w:lang w:val="en-GB"/>
                </w:rPr>
                <w:t xml:space="preserve">Research on Aging </w:t>
              </w:r>
              <w:r w:rsidRPr="001C2178">
                <w:rPr>
                  <w:rFonts w:ascii="Arial" w:hAnsi="Arial" w:cs="Arial"/>
                  <w:noProof/>
                  <w:sz w:val="22"/>
                  <w:szCs w:val="22"/>
                  <w:lang w:val="en-GB"/>
                </w:rPr>
                <w:t>, 507-547.</w:t>
              </w:r>
            </w:p>
            <w:p w14:paraId="3FB39946" w14:textId="77777777" w:rsidR="001C2178" w:rsidRPr="001C2178" w:rsidRDefault="001C2178" w:rsidP="00003319">
              <w:pPr>
                <w:pStyle w:val="Bibliography"/>
                <w:tabs>
                  <w:tab w:val="left" w:pos="426"/>
                </w:tabs>
                <w:spacing w:line="360" w:lineRule="auto"/>
                <w:ind w:firstLine="0"/>
                <w:rPr>
                  <w:rFonts w:ascii="Arial" w:hAnsi="Arial" w:cs="Arial"/>
                  <w:noProof/>
                  <w:sz w:val="22"/>
                  <w:szCs w:val="22"/>
                  <w:lang w:val="en-GB"/>
                </w:rPr>
              </w:pPr>
              <w:r w:rsidRPr="001C2178">
                <w:rPr>
                  <w:rFonts w:ascii="Arial" w:hAnsi="Arial" w:cs="Arial"/>
                  <w:noProof/>
                  <w:sz w:val="22"/>
                  <w:szCs w:val="22"/>
                  <w:lang w:val="en-GB"/>
                </w:rPr>
                <w:t xml:space="preserve">Peedicayil, J. (2012). A Comparison of Erikson's Epigenetic Principle with Epigenetics . </w:t>
              </w:r>
              <w:r w:rsidRPr="001C2178">
                <w:rPr>
                  <w:rFonts w:ascii="Arial" w:hAnsi="Arial" w:cs="Arial"/>
                  <w:i/>
                  <w:iCs/>
                  <w:noProof/>
                  <w:sz w:val="22"/>
                  <w:szCs w:val="22"/>
                  <w:lang w:val="en-GB"/>
                </w:rPr>
                <w:t xml:space="preserve">Journal of Theoretical Biology </w:t>
              </w:r>
              <w:r w:rsidRPr="001C2178">
                <w:rPr>
                  <w:rFonts w:ascii="Arial" w:hAnsi="Arial" w:cs="Arial"/>
                  <w:noProof/>
                  <w:sz w:val="22"/>
                  <w:szCs w:val="22"/>
                  <w:lang w:val="en-GB"/>
                </w:rPr>
                <w:t>, 144-145.</w:t>
              </w:r>
            </w:p>
            <w:p w14:paraId="680BD663" w14:textId="77777777" w:rsidR="001C2178" w:rsidRDefault="001C2178" w:rsidP="00003319">
              <w:pPr>
                <w:tabs>
                  <w:tab w:val="left" w:pos="426"/>
                </w:tabs>
                <w:spacing w:line="360" w:lineRule="auto"/>
                <w:ind w:left="288"/>
                <w:rPr>
                  <w:rFonts w:ascii="Times New Roman" w:hAnsi="Times New Roman" w:cs="Times New Roman"/>
                </w:rPr>
              </w:pPr>
              <w:r w:rsidRPr="001C2178">
                <w:rPr>
                  <w:rFonts w:ascii="Arial" w:hAnsi="Arial" w:cs="Arial"/>
                  <w:sz w:val="22"/>
                  <w:szCs w:val="22"/>
                </w:rPr>
                <w:fldChar w:fldCharType="end"/>
              </w:r>
            </w:p>
          </w:sdtContent>
        </w:sdt>
      </w:sdtContent>
    </w:sdt>
    <w:p w14:paraId="391901CC" w14:textId="77777777" w:rsidR="00236480" w:rsidRDefault="00236480"/>
    <w:sectPr w:rsidR="00236480" w:rsidSect="001C2178">
      <w:footerReference w:type="even" r:id="rId10"/>
      <w:footerReference w:type="default" r:id="rId11"/>
      <w:pgSz w:w="11906" w:h="16838"/>
      <w:pgMar w:top="1440" w:right="1440" w:bottom="1440" w:left="1440" w:header="567" w:footer="56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ED34B" w14:textId="77777777" w:rsidR="008E5F67" w:rsidRDefault="008E5F67" w:rsidP="00236480">
      <w:r>
        <w:separator/>
      </w:r>
    </w:p>
  </w:endnote>
  <w:endnote w:type="continuationSeparator" w:id="0">
    <w:p w14:paraId="2C8E565C" w14:textId="77777777" w:rsidR="008E5F67" w:rsidRDefault="008E5F67" w:rsidP="00236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728366"/>
      <w:docPartObj>
        <w:docPartGallery w:val="Page Numbers (Bottom of Page)"/>
        <w:docPartUnique/>
      </w:docPartObj>
    </w:sdtPr>
    <w:sdtEndPr>
      <w:rPr>
        <w:rStyle w:val="PageNumber"/>
      </w:rPr>
    </w:sdtEndPr>
    <w:sdtContent>
      <w:p w14:paraId="2E0973C3" w14:textId="24007ECD" w:rsidR="00236480" w:rsidRDefault="00236480" w:rsidP="002364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ADDD23" w14:textId="77777777" w:rsidR="00236480" w:rsidRDefault="00236480" w:rsidP="002364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2919975"/>
      <w:docPartObj>
        <w:docPartGallery w:val="Page Numbers (Bottom of Page)"/>
        <w:docPartUnique/>
      </w:docPartObj>
    </w:sdtPr>
    <w:sdtEndPr>
      <w:rPr>
        <w:rStyle w:val="PageNumber"/>
      </w:rPr>
    </w:sdtEndPr>
    <w:sdtContent>
      <w:p w14:paraId="4AB1245E" w14:textId="235D37A2" w:rsidR="00236480" w:rsidRDefault="00236480" w:rsidP="002364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57954A5" w14:textId="77777777" w:rsidR="00236480" w:rsidRDefault="00236480" w:rsidP="002364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3144E" w14:textId="77777777" w:rsidR="008E5F67" w:rsidRDefault="008E5F67" w:rsidP="00236480">
      <w:r>
        <w:separator/>
      </w:r>
    </w:p>
  </w:footnote>
  <w:footnote w:type="continuationSeparator" w:id="0">
    <w:p w14:paraId="0D79F61E" w14:textId="77777777" w:rsidR="008E5F67" w:rsidRDefault="008E5F67" w:rsidP="0023648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480"/>
    <w:rsid w:val="00003319"/>
    <w:rsid w:val="00024537"/>
    <w:rsid w:val="000B74A6"/>
    <w:rsid w:val="001C2178"/>
    <w:rsid w:val="00203886"/>
    <w:rsid w:val="00236480"/>
    <w:rsid w:val="002E2F6C"/>
    <w:rsid w:val="00325723"/>
    <w:rsid w:val="0038535F"/>
    <w:rsid w:val="003E1879"/>
    <w:rsid w:val="00444A5F"/>
    <w:rsid w:val="004B5095"/>
    <w:rsid w:val="0076235D"/>
    <w:rsid w:val="008A3BF4"/>
    <w:rsid w:val="008E5F67"/>
    <w:rsid w:val="008F6E3D"/>
    <w:rsid w:val="00920226"/>
    <w:rsid w:val="009E4326"/>
    <w:rsid w:val="00A540AA"/>
    <w:rsid w:val="00DD56BB"/>
    <w:rsid w:val="00F03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56D7F2"/>
  <w15:chartTrackingRefBased/>
  <w15:docId w15:val="{1D28B4CE-779B-BE4F-AB92-F2E1AEA1C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F6C"/>
    <w:pPr>
      <w:keepNext/>
      <w:keepLines/>
      <w:spacing w:before="480" w:line="276" w:lineRule="auto"/>
      <w:ind w:hanging="720"/>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8F6E3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36480"/>
    <w:pPr>
      <w:tabs>
        <w:tab w:val="center" w:pos="4513"/>
        <w:tab w:val="right" w:pos="9026"/>
      </w:tabs>
    </w:pPr>
  </w:style>
  <w:style w:type="character" w:customStyle="1" w:styleId="FooterChar">
    <w:name w:val="Footer Char"/>
    <w:basedOn w:val="DefaultParagraphFont"/>
    <w:link w:val="Footer"/>
    <w:uiPriority w:val="99"/>
    <w:rsid w:val="00236480"/>
  </w:style>
  <w:style w:type="character" w:styleId="PageNumber">
    <w:name w:val="page number"/>
    <w:basedOn w:val="DefaultParagraphFont"/>
    <w:uiPriority w:val="99"/>
    <w:semiHidden/>
    <w:unhideWhenUsed/>
    <w:rsid w:val="00236480"/>
  </w:style>
  <w:style w:type="paragraph" w:styleId="NoSpacing">
    <w:name w:val="No Spacing"/>
    <w:link w:val="NoSpacingChar"/>
    <w:uiPriority w:val="1"/>
    <w:qFormat/>
    <w:rsid w:val="00236480"/>
    <w:rPr>
      <w:rFonts w:eastAsiaTheme="minorEastAsia"/>
      <w:sz w:val="22"/>
      <w:szCs w:val="22"/>
      <w:lang w:val="en-US" w:eastAsia="zh-CN"/>
    </w:rPr>
  </w:style>
  <w:style w:type="character" w:customStyle="1" w:styleId="NoSpacingChar">
    <w:name w:val="No Spacing Char"/>
    <w:basedOn w:val="DefaultParagraphFont"/>
    <w:link w:val="NoSpacing"/>
    <w:uiPriority w:val="1"/>
    <w:rsid w:val="00236480"/>
    <w:rPr>
      <w:rFonts w:eastAsiaTheme="minorEastAsia"/>
      <w:sz w:val="22"/>
      <w:szCs w:val="22"/>
      <w:lang w:val="en-US" w:eastAsia="zh-CN"/>
    </w:rPr>
  </w:style>
  <w:style w:type="character" w:customStyle="1" w:styleId="Heading1Char">
    <w:name w:val="Heading 1 Char"/>
    <w:basedOn w:val="DefaultParagraphFont"/>
    <w:link w:val="Heading1"/>
    <w:uiPriority w:val="9"/>
    <w:rsid w:val="002E2F6C"/>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2E2F6C"/>
    <w:pPr>
      <w:ind w:left="720" w:hanging="720"/>
      <w:contextualSpacing/>
    </w:pPr>
    <w:rPr>
      <w:rFonts w:eastAsiaTheme="minorEastAsia"/>
      <w:lang w:val="en-US"/>
    </w:rPr>
  </w:style>
  <w:style w:type="paragraph" w:styleId="Title">
    <w:name w:val="Title"/>
    <w:basedOn w:val="Normal"/>
    <w:next w:val="Normal"/>
    <w:link w:val="TitleChar"/>
    <w:uiPriority w:val="10"/>
    <w:qFormat/>
    <w:rsid w:val="002E2F6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F6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E2F6C"/>
    <w:pPr>
      <w:tabs>
        <w:tab w:val="center" w:pos="4513"/>
        <w:tab w:val="right" w:pos="9026"/>
      </w:tabs>
    </w:pPr>
  </w:style>
  <w:style w:type="character" w:customStyle="1" w:styleId="HeaderChar">
    <w:name w:val="Header Char"/>
    <w:basedOn w:val="DefaultParagraphFont"/>
    <w:link w:val="Header"/>
    <w:uiPriority w:val="99"/>
    <w:rsid w:val="002E2F6C"/>
  </w:style>
  <w:style w:type="paragraph" w:styleId="TOCHeading">
    <w:name w:val="TOC Heading"/>
    <w:basedOn w:val="Heading1"/>
    <w:next w:val="Normal"/>
    <w:uiPriority w:val="39"/>
    <w:unhideWhenUsed/>
    <w:qFormat/>
    <w:rsid w:val="008A3BF4"/>
    <w:pPr>
      <w:ind w:firstLine="0"/>
      <w:outlineLvl w:val="9"/>
    </w:pPr>
    <w:rPr>
      <w:lang w:bidi="ar-SA"/>
    </w:rPr>
  </w:style>
  <w:style w:type="paragraph" w:styleId="TOC1">
    <w:name w:val="toc 1"/>
    <w:basedOn w:val="Normal"/>
    <w:next w:val="Normal"/>
    <w:autoRedefine/>
    <w:uiPriority w:val="39"/>
    <w:unhideWhenUsed/>
    <w:rsid w:val="008A3BF4"/>
    <w:pPr>
      <w:spacing w:before="120"/>
    </w:pPr>
    <w:rPr>
      <w:b/>
      <w:bCs/>
      <w:i/>
      <w:iCs/>
    </w:rPr>
  </w:style>
  <w:style w:type="character" w:styleId="Hyperlink">
    <w:name w:val="Hyperlink"/>
    <w:basedOn w:val="DefaultParagraphFont"/>
    <w:uiPriority w:val="99"/>
    <w:unhideWhenUsed/>
    <w:rsid w:val="008A3BF4"/>
    <w:rPr>
      <w:color w:val="0563C1" w:themeColor="hyperlink"/>
      <w:u w:val="single"/>
    </w:rPr>
  </w:style>
  <w:style w:type="paragraph" w:styleId="TOC2">
    <w:name w:val="toc 2"/>
    <w:basedOn w:val="Normal"/>
    <w:next w:val="Normal"/>
    <w:autoRedefine/>
    <w:uiPriority w:val="39"/>
    <w:semiHidden/>
    <w:unhideWhenUsed/>
    <w:rsid w:val="008A3BF4"/>
    <w:pPr>
      <w:spacing w:before="120"/>
      <w:ind w:left="240"/>
    </w:pPr>
    <w:rPr>
      <w:b/>
      <w:bCs/>
      <w:sz w:val="22"/>
      <w:szCs w:val="22"/>
    </w:rPr>
  </w:style>
  <w:style w:type="paragraph" w:styleId="TOC3">
    <w:name w:val="toc 3"/>
    <w:basedOn w:val="Normal"/>
    <w:next w:val="Normal"/>
    <w:autoRedefine/>
    <w:uiPriority w:val="39"/>
    <w:semiHidden/>
    <w:unhideWhenUsed/>
    <w:rsid w:val="008A3BF4"/>
    <w:pPr>
      <w:ind w:left="480"/>
    </w:pPr>
    <w:rPr>
      <w:sz w:val="20"/>
      <w:szCs w:val="20"/>
    </w:rPr>
  </w:style>
  <w:style w:type="paragraph" w:styleId="TOC4">
    <w:name w:val="toc 4"/>
    <w:basedOn w:val="Normal"/>
    <w:next w:val="Normal"/>
    <w:autoRedefine/>
    <w:uiPriority w:val="39"/>
    <w:semiHidden/>
    <w:unhideWhenUsed/>
    <w:rsid w:val="008A3BF4"/>
    <w:pPr>
      <w:ind w:left="720"/>
    </w:pPr>
    <w:rPr>
      <w:sz w:val="20"/>
      <w:szCs w:val="20"/>
    </w:rPr>
  </w:style>
  <w:style w:type="paragraph" w:styleId="TOC5">
    <w:name w:val="toc 5"/>
    <w:basedOn w:val="Normal"/>
    <w:next w:val="Normal"/>
    <w:autoRedefine/>
    <w:uiPriority w:val="39"/>
    <w:semiHidden/>
    <w:unhideWhenUsed/>
    <w:rsid w:val="008A3BF4"/>
    <w:pPr>
      <w:ind w:left="960"/>
    </w:pPr>
    <w:rPr>
      <w:sz w:val="20"/>
      <w:szCs w:val="20"/>
    </w:rPr>
  </w:style>
  <w:style w:type="paragraph" w:styleId="TOC6">
    <w:name w:val="toc 6"/>
    <w:basedOn w:val="Normal"/>
    <w:next w:val="Normal"/>
    <w:autoRedefine/>
    <w:uiPriority w:val="39"/>
    <w:semiHidden/>
    <w:unhideWhenUsed/>
    <w:rsid w:val="008A3BF4"/>
    <w:pPr>
      <w:ind w:left="1200"/>
    </w:pPr>
    <w:rPr>
      <w:sz w:val="20"/>
      <w:szCs w:val="20"/>
    </w:rPr>
  </w:style>
  <w:style w:type="paragraph" w:styleId="TOC7">
    <w:name w:val="toc 7"/>
    <w:basedOn w:val="Normal"/>
    <w:next w:val="Normal"/>
    <w:autoRedefine/>
    <w:uiPriority w:val="39"/>
    <w:semiHidden/>
    <w:unhideWhenUsed/>
    <w:rsid w:val="008A3BF4"/>
    <w:pPr>
      <w:ind w:left="1440"/>
    </w:pPr>
    <w:rPr>
      <w:sz w:val="20"/>
      <w:szCs w:val="20"/>
    </w:rPr>
  </w:style>
  <w:style w:type="paragraph" w:styleId="TOC8">
    <w:name w:val="toc 8"/>
    <w:basedOn w:val="Normal"/>
    <w:next w:val="Normal"/>
    <w:autoRedefine/>
    <w:uiPriority w:val="39"/>
    <w:semiHidden/>
    <w:unhideWhenUsed/>
    <w:rsid w:val="008A3BF4"/>
    <w:pPr>
      <w:ind w:left="1680"/>
    </w:pPr>
    <w:rPr>
      <w:sz w:val="20"/>
      <w:szCs w:val="20"/>
    </w:rPr>
  </w:style>
  <w:style w:type="paragraph" w:styleId="TOC9">
    <w:name w:val="toc 9"/>
    <w:basedOn w:val="Normal"/>
    <w:next w:val="Normal"/>
    <w:autoRedefine/>
    <w:uiPriority w:val="39"/>
    <w:semiHidden/>
    <w:unhideWhenUsed/>
    <w:rsid w:val="008A3BF4"/>
    <w:pPr>
      <w:ind w:left="1920"/>
    </w:pPr>
    <w:rPr>
      <w:sz w:val="20"/>
      <w:szCs w:val="20"/>
    </w:rPr>
  </w:style>
  <w:style w:type="paragraph" w:styleId="Bibliography">
    <w:name w:val="Bibliography"/>
    <w:basedOn w:val="Normal"/>
    <w:next w:val="Normal"/>
    <w:uiPriority w:val="37"/>
    <w:unhideWhenUsed/>
    <w:rsid w:val="001C2178"/>
    <w:pPr>
      <w:ind w:hanging="720"/>
    </w:pPr>
    <w:rPr>
      <w:rFonts w:eastAsiaTheme="minorEastAsia"/>
      <w:lang w:val="en-US"/>
    </w:rPr>
  </w:style>
  <w:style w:type="character" w:customStyle="1" w:styleId="Heading2Char">
    <w:name w:val="Heading 2 Char"/>
    <w:basedOn w:val="DefaultParagraphFont"/>
    <w:link w:val="Heading2"/>
    <w:uiPriority w:val="9"/>
    <w:rsid w:val="008F6E3D"/>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8F6E3D"/>
    <w:rPr>
      <w:i/>
      <w:iCs/>
      <w:color w:val="404040" w:themeColor="text1" w:themeTint="BF"/>
    </w:rPr>
  </w:style>
  <w:style w:type="paragraph" w:styleId="Subtitle">
    <w:name w:val="Subtitle"/>
    <w:basedOn w:val="Normal"/>
    <w:next w:val="Normal"/>
    <w:link w:val="SubtitleChar"/>
    <w:uiPriority w:val="11"/>
    <w:qFormat/>
    <w:rsid w:val="008F6E3D"/>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8F6E3D"/>
    <w:rPr>
      <w:rFonts w:eastAsiaTheme="minorEastAsia"/>
      <w:color w:val="5A5A5A" w:themeColor="text1" w:themeTint="A5"/>
      <w:spacing w:val="15"/>
      <w:sz w:val="22"/>
      <w:szCs w:val="22"/>
    </w:rPr>
  </w:style>
  <w:style w:type="character" w:styleId="Emphasis">
    <w:name w:val="Emphasis"/>
    <w:basedOn w:val="DefaultParagraphFont"/>
    <w:uiPriority w:val="20"/>
    <w:qFormat/>
    <w:rsid w:val="008F6E3D"/>
    <w:rPr>
      <w:i/>
      <w:iCs/>
    </w:rPr>
  </w:style>
  <w:style w:type="character" w:styleId="UnresolvedMention">
    <w:name w:val="Unresolved Mention"/>
    <w:basedOn w:val="DefaultParagraphFont"/>
    <w:uiPriority w:val="99"/>
    <w:semiHidden/>
    <w:unhideWhenUsed/>
    <w:rsid w:val="003E18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992359">
      <w:bodyDiv w:val="1"/>
      <w:marLeft w:val="0"/>
      <w:marRight w:val="0"/>
      <w:marTop w:val="0"/>
      <w:marBottom w:val="0"/>
      <w:divBdr>
        <w:top w:val="none" w:sz="0" w:space="0" w:color="auto"/>
        <w:left w:val="none" w:sz="0" w:space="0" w:color="auto"/>
        <w:bottom w:val="none" w:sz="0" w:space="0" w:color="auto"/>
        <w:right w:val="none" w:sz="0" w:space="0" w:color="auto"/>
      </w:divBdr>
    </w:div>
    <w:div w:id="1680426608">
      <w:bodyDiv w:val="1"/>
      <w:marLeft w:val="0"/>
      <w:marRight w:val="0"/>
      <w:marTop w:val="0"/>
      <w:marBottom w:val="0"/>
      <w:divBdr>
        <w:top w:val="none" w:sz="0" w:space="0" w:color="auto"/>
        <w:left w:val="none" w:sz="0" w:space="0" w:color="auto"/>
        <w:bottom w:val="none" w:sz="0" w:space="0" w:color="auto"/>
        <w:right w:val="none" w:sz="0" w:space="0" w:color="auto"/>
      </w:divBdr>
    </w:div>
    <w:div w:id="1874461481">
      <w:bodyDiv w:val="1"/>
      <w:marLeft w:val="0"/>
      <w:marRight w:val="0"/>
      <w:marTop w:val="0"/>
      <w:marBottom w:val="0"/>
      <w:divBdr>
        <w:top w:val="none" w:sz="0" w:space="0" w:color="auto"/>
        <w:left w:val="none" w:sz="0" w:space="0" w:color="auto"/>
        <w:bottom w:val="none" w:sz="0" w:space="0" w:color="auto"/>
        <w:right w:val="none" w:sz="0" w:space="0" w:color="auto"/>
      </w:divBdr>
    </w:div>
    <w:div w:id="200273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ps.org.uk/public/what-is-psych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Wed17</b:Tag>
    <b:SourceType>JournalArticle</b:SourceType>
    <b:Guid>{6ABF0B3F-D12A-DC4F-88EB-DBF77FE15634}</b:Guid>
    <b:Title>CACHA Technical Level 3 Extended Diploma in Health and Social Care</b:Title>
    <b:Year>2017</b:Year>
    <b:Pages>123</b:Pages>
    <b:Author>
      <b:Author>
        <b:NameList>
          <b:Person>
            <b:Last>Wyatt et al. </b:Last>
          </b:Person>
        </b:NameList>
      </b:Author>
    </b:Author>
    <b:RefOrder>1</b:RefOrder>
  </b:Source>
  <b:Source>
    <b:Tag>Has12</b:Tag>
    <b:SourceType>JournalArticle</b:SourceType>
    <b:Guid>{C4F588BA-46AA-D446-B0B1-B9B5587A2F72}</b:Guid>
    <b:Title>Chronic Illness Self-Management While Living Alone in Later Life</b:Title>
    <b:JournalName>Research on Aging </b:JournalName>
    <b:Year>2012</b:Year>
    <b:Pages>507-547</b:Pages>
    <b:Author>
      <b:Author>
        <b:NameList>
          <b:Person>
            <b:Last>Haslbeck </b:Last>
            <b:First>JW</b:First>
          </b:Person>
          <b:Person>
            <b:Last>McCorkle</b:Last>
            <b:First>R</b:First>
          </b:Person>
          <b:Person>
            <b:Last>Schaeffer</b:Last>
            <b:First>D</b:First>
          </b:Person>
        </b:NameList>
      </b:Author>
    </b:Author>
    <b:RefOrder>2</b:RefOrder>
  </b:Source>
  <b:Source>
    <b:Tag>Eri78</b:Tag>
    <b:SourceType>JournalArticle</b:SourceType>
    <b:Guid>{C8536BB2-11ED-374C-A2F5-AF872DF33432}</b:Guid>
    <b:Title>Introduction: Reflections on Aging</b:Title>
    <b:Year>1978</b:Year>
    <b:Pages>1-8</b:Pages>
    <b:Author>
      <b:Author>
        <b:NameList>
          <b:Person>
            <b:Last>Erikson</b:Last>
            <b:First>EH</b:First>
          </b:Person>
          <b:Person>
            <b:Last>Erikson</b:Last>
            <b:First>JM</b:First>
          </b:Person>
        </b:NameList>
      </b:Author>
    </b:Author>
    <b:RefOrder>3</b:RefOrder>
  </b:Source>
  <b:Source>
    <b:Tag>Col02</b:Tag>
    <b:SourceType>JournalArticle</b:SourceType>
    <b:Guid>{19630F06-BF87-1F4B-BBF6-FE6285B743BA}</b:Guid>
    <b:Title>Erik Erikson: Faculty of Arts and Sciences memorial Minute</b:Title>
    <b:JournalName>Harvard Gazette Archives </b:JournalName>
    <b:Year>2002</b:Year>
    <b:Author>
      <b:Author>
        <b:NameList>
          <b:Person>
            <b:Last>Coles</b:Last>
            <b:First>R</b:First>
          </b:Person>
          <b:Person>
            <b:Last>Hunt</b:Last>
            <b:First>R</b:First>
          </b:Person>
          <b:Person>
            <b:Last>Maher</b:Last>
            <b:First>B</b:First>
          </b:Person>
        </b:NameList>
      </b:Author>
    </b:Author>
    <b:RefOrder>4</b:RefOrder>
  </b:Source>
  <b:Source>
    <b:Tag>Eri97</b:Tag>
    <b:SourceType>JournalArticle</b:SourceType>
    <b:Guid>{E8DAB887-A974-4943-B73F-920462AFFD14}</b:Guid>
    <b:Title>The Life Cycle Completed </b:Title>
    <b:Year>1997</b:Year>
    <b:Author>
      <b:Author>
        <b:NameList>
          <b:Person>
            <b:Last>Erikson </b:Last>
            <b:First>EH</b:First>
          </b:Person>
          <b:Person>
            <b:Last>Erikson </b:Last>
            <b:First>JM</b:First>
          </b:Person>
        </b:NameList>
      </b:Author>
    </b:Author>
    <b:RefOrder>9</b:RefOrder>
  </b:Source>
  <b:Source>
    <b:Tag>Pee12</b:Tag>
    <b:SourceType>JournalArticle</b:SourceType>
    <b:Guid>{F47ECD87-CCB5-1543-B78C-28B48B15F650}</b:Guid>
    <b:Title>A Comparison of Erikson's Epigenetic Principle with Epigenetics </b:Title>
    <b:JournalName>Journal of Theoretical Biology </b:JournalName>
    <b:Year>2012</b:Year>
    <b:Pages>144-145</b:Pages>
    <b:Author>
      <b:Author>
        <b:NameList>
          <b:Person>
            <b:Last>Peedicayil</b:Last>
            <b:First>J</b:First>
          </b:Person>
        </b:NameList>
      </b:Author>
    </b:Author>
    <b:RefOrder>10</b:RefOrder>
  </b:Source>
  <b:Source>
    <b:Tag>JME86</b:Tag>
    <b:SourceType>JournalArticle</b:SourceType>
    <b:Guid>{068817BA-892A-DB43-9B71-A814A6CACD02}</b:Guid>
    <b:Title>Vital Involvement in Old Age</b:Title>
    <b:Year>1986</b:Year>
    <b:Author>
      <b:Author>
        <b:NameList>
          <b:Person>
            <b:Last>Erikson</b:Last>
            <b:First>EH</b:First>
          </b:Person>
          <b:Person>
            <b:Last>Erikson</b:Last>
            <b:First>JM</b:First>
          </b:Person>
          <b:Person>
            <b:Last>Kivinick</b:Last>
            <b:First>HQ</b:First>
          </b:Person>
        </b:NameList>
      </b:Author>
    </b:Author>
    <b:RefOrder>5</b:RefOrder>
  </b:Source>
  <b:Source>
    <b:Tag>Fis09</b:Tag>
    <b:SourceType>JournalArticle</b:SourceType>
    <b:Guid>{5817FD96-B57E-3E4F-A380-50F0533EB95B}</b:Guid>
    <b:Title>Depression in Older Adults </b:Title>
    <b:JournalName>Annual Reveiw in clinical Psychology </b:JournalName>
    <b:Year>2009</b:Year>
    <b:Pages>363-389</b:Pages>
    <b:Author>
      <b:Author>
        <b:NameList>
          <b:Person>
            <b:Last>Fiske</b:Last>
            <b:First>A</b:First>
          </b:Person>
          <b:Person>
            <b:Last>Wetherell</b:Last>
            <b:First>JL</b:First>
          </b:Person>
          <b:Person>
            <b:Last>Gatz</b:Last>
            <b:First>M.</b:First>
          </b:Person>
        </b:NameList>
      </b:Author>
    </b:Author>
    <b:RefOrder>6</b:RefOrder>
  </b:Source>
  <b:Source>
    <b:Tag>Bar02</b:Tag>
    <b:SourceType>JournalArticle</b:SourceType>
    <b:Guid>{B90B0D9A-1516-A24F-92EB-5E238AE6BD59}</b:Guid>
    <b:Title>Self-Management Approaches for People with Chronic Conditions</b:Title>
    <b:JournalName>Patient Education and Counseling </b:JournalName>
    <b:Year>2002</b:Year>
    <b:Pages>177-187</b:Pages>
    <b:Author>
      <b:Author>
        <b:NameList>
          <b:Person>
            <b:Last>Barlow</b:Last>
            <b:First>J</b:First>
          </b:Person>
          <b:Person>
            <b:Last>Wright</b:Last>
            <b:First>C</b:First>
          </b:Person>
          <b:Person>
            <b:Last>Sheasby </b:Last>
            <b:First>J</b:First>
          </b:Person>
          <b:Person>
            <b:Last>Turner</b:Last>
            <b:First>A</b:First>
          </b:Person>
          <b:Person>
            <b:Last>Hainsworth</b:Last>
            <b:First>J.</b:First>
          </b:Person>
        </b:NameList>
      </b:Author>
    </b:Author>
    <b:RefOrder>7</b:RefOrder>
  </b:Source>
  <b:Source>
    <b:Tag>Dea06</b:Tag>
    <b:SourceType>JournalArticle</b:SourceType>
    <b:Guid>{F275B762-7633-C34B-B5F6-1DBA4CEE6D28}</b:Guid>
    <b:Title>Self-Management Programmes for Older People May Help Reduce Blood Pressure </b:Title>
    <b:Year>2006</b:Year>
    <b:Pages>52-55</b:Pages>
    <b:Author>
      <b:Author>
        <b:NameList>
          <b:Person>
            <b:Last>Deakin </b:Last>
            <b:First>T</b:First>
          </b:Person>
          <b:Person>
            <b:Last>Welschen</b:Last>
            <b:First>LMC</b:First>
          </b:Person>
          <b:Person>
            <b:Last>Nijpels</b:Last>
            <b:First>G</b:First>
          </b:Person>
          <b:Person>
            <b:Last>Singh</b:Last>
            <b:First>D.</b:First>
          </b:Person>
        </b:NameList>
      </b:Author>
    </b:Author>
    <b:RefOrder>8</b:RefOrder>
  </b:Source>
</b:Sources>
</file>

<file path=customXml/itemProps1.xml><?xml version="1.0" encoding="utf-8"?>
<ds:datastoreItem xmlns:ds="http://schemas.openxmlformats.org/officeDocument/2006/customXml" ds:itemID="{3CC95852-2679-F841-80EC-E55A2E8FB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2195</Words>
  <Characters>12517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Maryna Krainiuk</dc:creator>
  <cp:keywords/>
  <dc:description/>
  <cp:lastModifiedBy>Maryna Krainiuk</cp:lastModifiedBy>
  <cp:revision>4</cp:revision>
  <dcterms:created xsi:type="dcterms:W3CDTF">2021-08-25T20:07:00Z</dcterms:created>
  <dcterms:modified xsi:type="dcterms:W3CDTF">2021-08-26T11:52:00Z</dcterms:modified>
</cp:coreProperties>
</file>