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14F71" w14:textId="77777777" w:rsidR="000B743B" w:rsidRDefault="000B743B">
      <w:pPr>
        <w:rPr>
          <w:lang w:val="en-GB"/>
        </w:rPr>
      </w:pPr>
    </w:p>
    <w:p w14:paraId="6EAAB978" w14:textId="77777777" w:rsidR="001246C7" w:rsidRPr="00354029" w:rsidRDefault="001246C7" w:rsidP="001246C7">
      <w:pPr>
        <w:jc w:val="center"/>
        <w:rPr>
          <w:b/>
          <w:bCs/>
          <w:sz w:val="28"/>
          <w:szCs w:val="32"/>
        </w:rPr>
      </w:pPr>
      <w:r w:rsidRPr="00354029">
        <w:rPr>
          <w:b/>
          <w:bCs/>
          <w:sz w:val="28"/>
          <w:szCs w:val="32"/>
        </w:rPr>
        <w:t>Course: BSc (Hons) Health and Social Care</w:t>
      </w:r>
    </w:p>
    <w:p w14:paraId="269A1081" w14:textId="77777777" w:rsidR="001246C7" w:rsidRPr="00354029" w:rsidRDefault="001246C7" w:rsidP="001246C7">
      <w:pPr>
        <w:jc w:val="center"/>
        <w:rPr>
          <w:b/>
          <w:bCs/>
          <w:sz w:val="28"/>
          <w:szCs w:val="32"/>
        </w:rPr>
      </w:pPr>
      <w:r w:rsidRPr="00354029">
        <w:rPr>
          <w:b/>
          <w:bCs/>
          <w:sz w:val="28"/>
          <w:szCs w:val="32"/>
        </w:rPr>
        <w:t>Module: Independent Project (BMHP6020_BIRM)</w:t>
      </w:r>
    </w:p>
    <w:p w14:paraId="7F77EB84" w14:textId="77777777" w:rsidR="001246C7" w:rsidRPr="00354029" w:rsidRDefault="001246C7" w:rsidP="001246C7">
      <w:pPr>
        <w:jc w:val="center"/>
        <w:rPr>
          <w:b/>
          <w:bCs/>
          <w:sz w:val="28"/>
          <w:szCs w:val="32"/>
        </w:rPr>
      </w:pPr>
    </w:p>
    <w:p w14:paraId="3693322C" w14:textId="77777777" w:rsidR="001246C7" w:rsidRPr="00354029" w:rsidRDefault="001246C7" w:rsidP="0F0CE01E">
      <w:pPr>
        <w:jc w:val="center"/>
        <w:rPr>
          <w:b/>
          <w:bCs/>
          <w:sz w:val="28"/>
          <w:szCs w:val="28"/>
        </w:rPr>
      </w:pPr>
      <w:r w:rsidRPr="0F0CE01E">
        <w:rPr>
          <w:b/>
          <w:bCs/>
          <w:sz w:val="28"/>
          <w:szCs w:val="28"/>
        </w:rPr>
        <w:t>Component 1: Element 1 - Project Proposal</w:t>
      </w:r>
    </w:p>
    <w:p w14:paraId="47F88831" w14:textId="77777777" w:rsidR="001246C7" w:rsidRDefault="001246C7" w:rsidP="001246C7">
      <w:pPr>
        <w:jc w:val="center"/>
        <w:rPr>
          <w:b/>
          <w:bCs/>
          <w:sz w:val="28"/>
          <w:szCs w:val="32"/>
        </w:rPr>
      </w:pPr>
    </w:p>
    <w:p w14:paraId="248DA136" w14:textId="77777777" w:rsidR="001246C7" w:rsidRDefault="001246C7" w:rsidP="001246C7">
      <w:pPr>
        <w:jc w:val="center"/>
        <w:rPr>
          <w:b/>
          <w:bCs/>
          <w:sz w:val="28"/>
          <w:szCs w:val="32"/>
        </w:rPr>
      </w:pPr>
    </w:p>
    <w:p w14:paraId="686E4D30" w14:textId="77777777" w:rsidR="001246C7" w:rsidRPr="00354029" w:rsidRDefault="001246C7" w:rsidP="001246C7">
      <w:pPr>
        <w:jc w:val="center"/>
        <w:rPr>
          <w:b/>
          <w:bCs/>
          <w:sz w:val="28"/>
          <w:szCs w:val="32"/>
        </w:rPr>
      </w:pPr>
    </w:p>
    <w:p w14:paraId="6A940998" w14:textId="4D4D0B78" w:rsidR="001246C7" w:rsidRPr="00CA3D8C" w:rsidRDefault="001246C7" w:rsidP="001246C7">
      <w:pPr>
        <w:rPr>
          <w:b/>
          <w:bCs/>
          <w:sz w:val="28"/>
          <w:szCs w:val="32"/>
        </w:rPr>
      </w:pPr>
      <w:r w:rsidRPr="00354029">
        <w:rPr>
          <w:b/>
          <w:bCs/>
          <w:sz w:val="28"/>
          <w:szCs w:val="32"/>
        </w:rPr>
        <w:t>Student ID:</w:t>
      </w:r>
      <w:r w:rsidR="00CA3D8C">
        <w:rPr>
          <w:b/>
          <w:bCs/>
          <w:sz w:val="28"/>
          <w:szCs w:val="32"/>
        </w:rPr>
        <w:t xml:space="preserve"> </w:t>
      </w:r>
      <w:r w:rsidR="00CA3D8C" w:rsidRPr="00CA3D8C">
        <w:rPr>
          <w:b/>
          <w:bCs/>
          <w:sz w:val="28"/>
          <w:szCs w:val="32"/>
        </w:rPr>
        <w:t>2238897</w:t>
      </w:r>
    </w:p>
    <w:p w14:paraId="4C410048" w14:textId="31BDCA69" w:rsidR="001246C7" w:rsidRPr="00CA3D8C" w:rsidRDefault="001246C7" w:rsidP="001246C7">
      <w:pPr>
        <w:rPr>
          <w:b/>
          <w:bCs/>
          <w:sz w:val="28"/>
          <w:szCs w:val="32"/>
        </w:rPr>
      </w:pPr>
      <w:r w:rsidRPr="00354029">
        <w:rPr>
          <w:b/>
          <w:bCs/>
          <w:sz w:val="28"/>
          <w:szCs w:val="32"/>
        </w:rPr>
        <w:t>Student Name:</w:t>
      </w:r>
      <w:r w:rsidR="00CA3D8C">
        <w:rPr>
          <w:b/>
          <w:bCs/>
          <w:sz w:val="28"/>
          <w:szCs w:val="32"/>
        </w:rPr>
        <w:t xml:space="preserve"> </w:t>
      </w:r>
      <w:r w:rsidR="00CA3D8C" w:rsidRPr="00CA3D8C">
        <w:rPr>
          <w:b/>
          <w:bCs/>
          <w:sz w:val="28"/>
          <w:szCs w:val="32"/>
        </w:rPr>
        <w:t>Saireen Mahmood</w:t>
      </w:r>
    </w:p>
    <w:p w14:paraId="74B4B1DB" w14:textId="77777777" w:rsidR="001246C7" w:rsidRPr="00354029" w:rsidRDefault="001246C7" w:rsidP="001246C7">
      <w:pPr>
        <w:jc w:val="center"/>
        <w:rPr>
          <w:b/>
          <w:bCs/>
          <w:sz w:val="28"/>
          <w:szCs w:val="32"/>
          <w:lang w:val="en-GB"/>
        </w:rPr>
      </w:pPr>
    </w:p>
    <w:p w14:paraId="53180762" w14:textId="77777777" w:rsidR="001246C7" w:rsidRDefault="001246C7" w:rsidP="001246C7">
      <w:pPr>
        <w:jc w:val="both"/>
        <w:rPr>
          <w:lang w:val="en-GB"/>
        </w:rPr>
      </w:pPr>
    </w:p>
    <w:p w14:paraId="5BE018EF" w14:textId="77777777" w:rsidR="001246C7" w:rsidRDefault="001246C7" w:rsidP="001246C7">
      <w:pPr>
        <w:jc w:val="both"/>
        <w:rPr>
          <w:lang w:val="en-GB"/>
        </w:rPr>
      </w:pPr>
    </w:p>
    <w:p w14:paraId="3F297CF7" w14:textId="77777777" w:rsidR="001246C7" w:rsidRDefault="001246C7" w:rsidP="001246C7">
      <w:pPr>
        <w:jc w:val="both"/>
        <w:rPr>
          <w:lang w:val="en-GB"/>
        </w:rPr>
      </w:pPr>
    </w:p>
    <w:p w14:paraId="35ABD80A" w14:textId="77777777" w:rsidR="001246C7" w:rsidRDefault="001246C7" w:rsidP="001246C7">
      <w:pPr>
        <w:jc w:val="both"/>
        <w:rPr>
          <w:lang w:val="en-GB"/>
        </w:rPr>
      </w:pPr>
    </w:p>
    <w:p w14:paraId="1C8BB5FA" w14:textId="77777777" w:rsidR="001246C7" w:rsidRDefault="001246C7" w:rsidP="001246C7">
      <w:pPr>
        <w:jc w:val="both"/>
        <w:rPr>
          <w:lang w:val="en-GB"/>
        </w:rPr>
      </w:pPr>
    </w:p>
    <w:p w14:paraId="36D0F018" w14:textId="77777777" w:rsidR="001246C7" w:rsidRDefault="001246C7" w:rsidP="001246C7">
      <w:pPr>
        <w:jc w:val="both"/>
        <w:rPr>
          <w:lang w:val="en-GB"/>
        </w:rPr>
      </w:pPr>
    </w:p>
    <w:p w14:paraId="08978C02" w14:textId="77777777" w:rsidR="001246C7" w:rsidRDefault="001246C7" w:rsidP="001246C7">
      <w:pPr>
        <w:jc w:val="both"/>
        <w:rPr>
          <w:lang w:val="en-GB"/>
        </w:rPr>
      </w:pPr>
    </w:p>
    <w:p w14:paraId="38E2E08D" w14:textId="77777777" w:rsidR="001246C7" w:rsidRDefault="001246C7" w:rsidP="001246C7">
      <w:pPr>
        <w:jc w:val="both"/>
        <w:rPr>
          <w:lang w:val="en-GB"/>
        </w:rPr>
      </w:pPr>
    </w:p>
    <w:p w14:paraId="72CD410F" w14:textId="77777777" w:rsidR="001246C7" w:rsidRDefault="001246C7" w:rsidP="001246C7">
      <w:pPr>
        <w:jc w:val="both"/>
        <w:rPr>
          <w:lang w:val="en-GB"/>
        </w:rPr>
      </w:pPr>
    </w:p>
    <w:p w14:paraId="4745D35C" w14:textId="77777777" w:rsidR="001246C7" w:rsidRDefault="001246C7" w:rsidP="001246C7">
      <w:pPr>
        <w:jc w:val="both"/>
        <w:rPr>
          <w:lang w:val="en-GB"/>
        </w:rPr>
      </w:pPr>
    </w:p>
    <w:p w14:paraId="5CCA5473" w14:textId="77777777" w:rsidR="001246C7" w:rsidRDefault="001246C7" w:rsidP="001246C7">
      <w:pPr>
        <w:jc w:val="both"/>
        <w:rPr>
          <w:lang w:val="en-GB"/>
        </w:rPr>
      </w:pPr>
    </w:p>
    <w:p w14:paraId="5916AC6C" w14:textId="77777777" w:rsidR="001246C7" w:rsidRDefault="001246C7" w:rsidP="001246C7">
      <w:pPr>
        <w:jc w:val="both"/>
        <w:rPr>
          <w:lang w:val="en-GB"/>
        </w:rPr>
      </w:pPr>
    </w:p>
    <w:p w14:paraId="55E1939C" w14:textId="77777777" w:rsidR="001246C7" w:rsidRDefault="001246C7" w:rsidP="001246C7">
      <w:pPr>
        <w:jc w:val="both"/>
        <w:rPr>
          <w:lang w:val="en-GB"/>
        </w:rPr>
      </w:pPr>
    </w:p>
    <w:p w14:paraId="7CAE4E94" w14:textId="77777777" w:rsidR="001246C7" w:rsidRPr="0073153F" w:rsidRDefault="001246C7" w:rsidP="001246C7">
      <w:pPr>
        <w:jc w:val="center"/>
        <w:rPr>
          <w:b/>
          <w:bCs/>
          <w:sz w:val="28"/>
          <w:szCs w:val="32"/>
        </w:rPr>
      </w:pPr>
      <w:r w:rsidRPr="0073153F">
        <w:rPr>
          <w:b/>
          <w:bCs/>
          <w:sz w:val="28"/>
          <w:szCs w:val="32"/>
        </w:rPr>
        <w:lastRenderedPageBreak/>
        <w:t>Element 1 - Project Proposal</w:t>
      </w:r>
    </w:p>
    <w:p w14:paraId="2BE1FBD7" w14:textId="633DDFBE" w:rsidR="002D4979" w:rsidRDefault="001246C7" w:rsidP="00F5211D">
      <w:pPr>
        <w:jc w:val="center"/>
        <w:rPr>
          <w:lang w:val="en-GB"/>
        </w:rPr>
      </w:pPr>
      <w:r w:rsidRPr="0073153F">
        <w:rPr>
          <w:b/>
          <w:bCs/>
          <w:sz w:val="28"/>
          <w:szCs w:val="32"/>
        </w:rPr>
        <w:t>My Project Title:</w:t>
      </w:r>
      <w:r w:rsidR="00F5211D">
        <w:rPr>
          <w:b/>
          <w:bCs/>
          <w:sz w:val="28"/>
          <w:szCs w:val="32"/>
        </w:rPr>
        <w:t xml:space="preserve"> </w:t>
      </w:r>
      <w:r w:rsidR="007229CD" w:rsidRPr="007229CD">
        <w:rPr>
          <w:b/>
          <w:bCs/>
          <w:sz w:val="28"/>
          <w:szCs w:val="32"/>
        </w:rPr>
        <w:t>The impact of socioeconomic status on access to health and social care services in urban and rural communities.</w:t>
      </w:r>
    </w:p>
    <w:p w14:paraId="2E270750" w14:textId="77777777" w:rsidR="002D4979" w:rsidRDefault="002D4979">
      <w:pPr>
        <w:rPr>
          <w:lang w:val="en-GB"/>
        </w:rPr>
      </w:pPr>
    </w:p>
    <w:p w14:paraId="6864111D" w14:textId="77777777" w:rsidR="002D4979" w:rsidRDefault="002D4979">
      <w:pPr>
        <w:rPr>
          <w:lang w:val="en-GB"/>
        </w:rPr>
      </w:pPr>
    </w:p>
    <w:p w14:paraId="07815C49" w14:textId="7169CAB1" w:rsidR="00801EAA" w:rsidRPr="005D74BD" w:rsidRDefault="00801EAA" w:rsidP="009F1E15">
      <w:pPr>
        <w:pStyle w:val="Heading1"/>
      </w:pPr>
      <w:r w:rsidRPr="005D74BD">
        <w:t xml:space="preserve">1) Aim </w:t>
      </w:r>
    </w:p>
    <w:p w14:paraId="08BE018A" w14:textId="19630F9E" w:rsidR="00801EAA" w:rsidRPr="005D74BD" w:rsidRDefault="00801EAA" w:rsidP="005D74BD">
      <w:pPr>
        <w:pStyle w:val="NormalWeb"/>
        <w:spacing w:line="360" w:lineRule="auto"/>
        <w:jc w:val="both"/>
        <w:rPr>
          <w:rFonts w:ascii="Arial" w:hAnsi="Arial" w:cs="Arial"/>
          <w:sz w:val="22"/>
          <w:szCs w:val="22"/>
        </w:rPr>
      </w:pPr>
      <w:r w:rsidRPr="005D74BD">
        <w:rPr>
          <w:rFonts w:ascii="Arial" w:hAnsi="Arial" w:cs="Arial"/>
          <w:sz w:val="22"/>
          <w:szCs w:val="22"/>
        </w:rPr>
        <w:t xml:space="preserve">To examine how socioeconomic status measured through income, education, occupation, and deprivation indices shapes access to health and social care across urban and rural settings. </w:t>
      </w:r>
    </w:p>
    <w:p w14:paraId="7C4DB444" w14:textId="7C932254" w:rsidR="00801EAA" w:rsidRPr="005D74BD" w:rsidRDefault="00801EAA" w:rsidP="009F1E15">
      <w:pPr>
        <w:pStyle w:val="Heading1"/>
      </w:pPr>
      <w:r w:rsidRPr="005D74BD">
        <w:t xml:space="preserve">2) Objectives </w:t>
      </w:r>
    </w:p>
    <w:p w14:paraId="268464A2" w14:textId="4871DE5A" w:rsidR="00D7176A" w:rsidRPr="005D74BD" w:rsidRDefault="00D7176A" w:rsidP="009F1E15">
      <w:pPr>
        <w:pStyle w:val="NormalWeb"/>
        <w:numPr>
          <w:ilvl w:val="0"/>
          <w:numId w:val="6"/>
        </w:numPr>
        <w:spacing w:line="360" w:lineRule="auto"/>
        <w:jc w:val="both"/>
        <w:rPr>
          <w:rFonts w:ascii="Arial" w:hAnsi="Arial" w:cs="Arial"/>
          <w:sz w:val="22"/>
          <w:szCs w:val="22"/>
        </w:rPr>
      </w:pPr>
      <w:r w:rsidRPr="005D74BD">
        <w:rPr>
          <w:rStyle w:val="Strong"/>
          <w:rFonts w:ascii="Arial" w:eastAsiaTheme="majorEastAsia" w:hAnsi="Arial" w:cs="Arial"/>
          <w:sz w:val="22"/>
          <w:szCs w:val="22"/>
        </w:rPr>
        <w:t>To define and examine</w:t>
      </w:r>
      <w:r w:rsidRPr="005D74BD">
        <w:rPr>
          <w:rFonts w:ascii="Arial" w:hAnsi="Arial" w:cs="Arial"/>
          <w:sz w:val="22"/>
          <w:szCs w:val="22"/>
        </w:rPr>
        <w:t xml:space="preserve"> the concept of socioeconomic status and its dimensions (income, education, occupation, and deprivation indices) in relation to access to health and social care services.</w:t>
      </w:r>
    </w:p>
    <w:p w14:paraId="40157178" w14:textId="359CDB01" w:rsidR="00D7176A" w:rsidRPr="005D74BD" w:rsidRDefault="00D7176A" w:rsidP="0F0CE01E">
      <w:pPr>
        <w:pStyle w:val="NormalWeb"/>
        <w:numPr>
          <w:ilvl w:val="0"/>
          <w:numId w:val="6"/>
        </w:numPr>
        <w:spacing w:line="360" w:lineRule="auto"/>
        <w:jc w:val="both"/>
        <w:rPr>
          <w:rFonts w:ascii="Arial" w:hAnsi="Arial" w:cs="Arial"/>
          <w:sz w:val="22"/>
          <w:szCs w:val="22"/>
        </w:rPr>
      </w:pPr>
      <w:r w:rsidRPr="0F0CE01E">
        <w:rPr>
          <w:rStyle w:val="Strong"/>
          <w:rFonts w:ascii="Arial" w:eastAsiaTheme="majorEastAsia" w:hAnsi="Arial" w:cs="Arial"/>
          <w:sz w:val="22"/>
          <w:szCs w:val="22"/>
        </w:rPr>
        <w:t xml:space="preserve">To </w:t>
      </w:r>
      <w:r w:rsidR="007E57FE" w:rsidRPr="0F0CE01E">
        <w:rPr>
          <w:rStyle w:val="Strong"/>
          <w:rFonts w:ascii="Arial" w:eastAsiaTheme="majorEastAsia" w:hAnsi="Arial" w:cs="Arial"/>
          <w:sz w:val="22"/>
          <w:szCs w:val="22"/>
        </w:rPr>
        <w:t>analyze</w:t>
      </w:r>
      <w:r w:rsidRPr="0F0CE01E">
        <w:rPr>
          <w:rFonts w:ascii="Arial" w:hAnsi="Arial" w:cs="Arial"/>
          <w:sz w:val="22"/>
          <w:szCs w:val="22"/>
        </w:rPr>
        <w:t xml:space="preserve"> how socioeconomic status influences disparities in accessing health and social care services across urban and rural populations.</w:t>
      </w:r>
    </w:p>
    <w:p w14:paraId="11AEE189" w14:textId="23DFE032" w:rsidR="00D7176A" w:rsidRPr="005D74BD" w:rsidRDefault="00D7176A" w:rsidP="0F0CE01E">
      <w:pPr>
        <w:pStyle w:val="NormalWeb"/>
        <w:numPr>
          <w:ilvl w:val="0"/>
          <w:numId w:val="6"/>
        </w:numPr>
        <w:spacing w:line="360" w:lineRule="auto"/>
        <w:jc w:val="both"/>
        <w:rPr>
          <w:rFonts w:ascii="Arial" w:hAnsi="Arial" w:cs="Arial"/>
          <w:sz w:val="22"/>
          <w:szCs w:val="22"/>
        </w:rPr>
      </w:pPr>
      <w:r w:rsidRPr="0F0CE01E">
        <w:rPr>
          <w:rStyle w:val="Strong"/>
          <w:rFonts w:ascii="Arial" w:eastAsiaTheme="majorEastAsia" w:hAnsi="Arial" w:cs="Arial"/>
          <w:sz w:val="22"/>
          <w:szCs w:val="22"/>
        </w:rPr>
        <w:t>To evaluate</w:t>
      </w:r>
      <w:r w:rsidRPr="0F0CE01E">
        <w:rPr>
          <w:rFonts w:ascii="Arial" w:hAnsi="Arial" w:cs="Arial"/>
          <w:sz w:val="22"/>
          <w:szCs w:val="22"/>
        </w:rPr>
        <w:t xml:space="preserve"> the evidence from existing literature on how socioeconomic status affects patterns of healthcare utilization and barriers to access.</w:t>
      </w:r>
    </w:p>
    <w:p w14:paraId="12499724" w14:textId="5B144066" w:rsidR="00801EAA" w:rsidRPr="005D74BD" w:rsidRDefault="00D7176A" w:rsidP="0F0CE01E">
      <w:pPr>
        <w:pStyle w:val="NormalWeb"/>
        <w:numPr>
          <w:ilvl w:val="0"/>
          <w:numId w:val="6"/>
        </w:numPr>
        <w:spacing w:line="360" w:lineRule="auto"/>
        <w:jc w:val="both"/>
        <w:rPr>
          <w:rFonts w:ascii="Arial" w:hAnsi="Arial" w:cs="Arial"/>
          <w:sz w:val="22"/>
          <w:szCs w:val="22"/>
        </w:rPr>
      </w:pPr>
      <w:r w:rsidRPr="0F0CE01E">
        <w:rPr>
          <w:rStyle w:val="Strong"/>
          <w:rFonts w:ascii="Arial" w:eastAsiaTheme="majorEastAsia" w:hAnsi="Arial" w:cs="Arial"/>
          <w:sz w:val="22"/>
          <w:szCs w:val="22"/>
        </w:rPr>
        <w:t>To provide recommendations</w:t>
      </w:r>
      <w:r w:rsidRPr="0F0CE01E">
        <w:rPr>
          <w:rFonts w:ascii="Arial" w:hAnsi="Arial" w:cs="Arial"/>
          <w:sz w:val="22"/>
          <w:szCs w:val="22"/>
        </w:rPr>
        <w:t xml:space="preserve"> for policymakers, healthcare providers, and social care organizations to reduce socioeconomic inequalities and improve equitable service access in both urban and rural settings.</w:t>
      </w:r>
    </w:p>
    <w:p w14:paraId="2C37EA57" w14:textId="01518238" w:rsidR="00801EAA" w:rsidRPr="005D74BD" w:rsidRDefault="00801EAA" w:rsidP="009F1E15">
      <w:pPr>
        <w:pStyle w:val="Heading1"/>
      </w:pPr>
      <w:r w:rsidRPr="005D74BD">
        <w:t xml:space="preserve">3) Background/Rationale </w:t>
      </w:r>
    </w:p>
    <w:p w14:paraId="7825D029" w14:textId="1F1A2820" w:rsidR="00801EAA" w:rsidRPr="005D74BD" w:rsidRDefault="00801EAA" w:rsidP="0F0CE01E">
      <w:pPr>
        <w:pStyle w:val="NormalWeb"/>
        <w:spacing w:line="360" w:lineRule="auto"/>
        <w:jc w:val="both"/>
        <w:rPr>
          <w:rFonts w:ascii="Arial" w:hAnsi="Arial" w:cs="Arial"/>
          <w:sz w:val="22"/>
          <w:szCs w:val="22"/>
        </w:rPr>
      </w:pPr>
      <w:r w:rsidRPr="0F0CE01E">
        <w:rPr>
          <w:rFonts w:ascii="Arial" w:hAnsi="Arial" w:cs="Arial"/>
          <w:sz w:val="22"/>
          <w:szCs w:val="22"/>
        </w:rPr>
        <w:t>Access to health and social care is unevenly distributed, with lower-SES populations consistently facing structural and financial barriers</w:t>
      </w:r>
      <w:r w:rsidR="00A94B54" w:rsidRPr="0F0CE01E">
        <w:rPr>
          <w:rFonts w:ascii="Arial" w:hAnsi="Arial" w:cs="Arial"/>
          <w:sz w:val="22"/>
          <w:szCs w:val="22"/>
        </w:rPr>
        <w:t xml:space="preserve"> </w:t>
      </w:r>
      <w:r w:rsidR="00A94B54" w:rsidRPr="00DD0A55">
        <w:rPr>
          <w:rFonts w:ascii="Arial" w:hAnsi="Arial" w:cs="Arial"/>
          <w:b/>
          <w:bCs/>
          <w:sz w:val="22"/>
          <w:szCs w:val="22"/>
        </w:rPr>
        <w:t>(</w:t>
      </w:r>
      <w:r w:rsidR="001B79E9" w:rsidRPr="00DD0A55">
        <w:rPr>
          <w:rFonts w:ascii="Arial" w:hAnsi="Arial" w:cs="Arial"/>
          <w:b/>
          <w:bCs/>
          <w:sz w:val="22"/>
          <w:szCs w:val="22"/>
        </w:rPr>
        <w:t>McMaughan, Oloruntoba</w:t>
      </w:r>
      <w:r w:rsidR="00A94B54" w:rsidRPr="00DD0A55">
        <w:rPr>
          <w:rFonts w:ascii="Arial" w:hAnsi="Arial" w:cs="Arial"/>
          <w:b/>
          <w:bCs/>
          <w:sz w:val="22"/>
          <w:szCs w:val="22"/>
        </w:rPr>
        <w:t xml:space="preserve"> and Smith, 2020)</w:t>
      </w:r>
      <w:r w:rsidRPr="00DD0A55">
        <w:rPr>
          <w:rFonts w:ascii="Arial" w:hAnsi="Arial" w:cs="Arial"/>
          <w:b/>
          <w:bCs/>
          <w:sz w:val="22"/>
          <w:szCs w:val="22"/>
        </w:rPr>
        <w:t>.</w:t>
      </w:r>
      <w:r w:rsidRPr="0F0CE01E">
        <w:rPr>
          <w:rFonts w:ascii="Arial" w:hAnsi="Arial" w:cs="Arial"/>
          <w:sz w:val="22"/>
          <w:szCs w:val="22"/>
        </w:rPr>
        <w:t xml:space="preserve"> Urban areas often have higher provider density yet experience administrative bottlenecks, fragmented care, and hidden costs (transport, childcare, lost wages). Rural communities confront distance, workforce shortages, limited specialist services, and digital exclusion</w:t>
      </w:r>
      <w:r w:rsidR="00344EF0" w:rsidRPr="0F0CE01E">
        <w:rPr>
          <w:rFonts w:ascii="Arial" w:hAnsi="Arial" w:cs="Arial"/>
          <w:sz w:val="22"/>
          <w:szCs w:val="22"/>
        </w:rPr>
        <w:t xml:space="preserve"> (Chen </w:t>
      </w:r>
      <w:r w:rsidR="00344EF0" w:rsidRPr="0F0CE01E">
        <w:rPr>
          <w:rFonts w:ascii="Arial" w:hAnsi="Arial" w:cs="Arial"/>
          <w:i/>
          <w:iCs/>
          <w:sz w:val="22"/>
          <w:szCs w:val="22"/>
        </w:rPr>
        <w:t>et al.</w:t>
      </w:r>
      <w:r w:rsidR="00344EF0" w:rsidRPr="0F0CE01E">
        <w:rPr>
          <w:rFonts w:ascii="Arial" w:hAnsi="Arial" w:cs="Arial"/>
          <w:sz w:val="22"/>
          <w:szCs w:val="22"/>
        </w:rPr>
        <w:t>, 2019)</w:t>
      </w:r>
      <w:r w:rsidRPr="0F0CE01E">
        <w:rPr>
          <w:rFonts w:ascii="Arial" w:hAnsi="Arial" w:cs="Arial"/>
          <w:sz w:val="22"/>
          <w:szCs w:val="22"/>
        </w:rPr>
        <w:t>. These constraints intersect with SES, amplifying disparities in preventive uptake, timely diagnosis, rehabilitation, and social support. While many studies explore either SES or rurality/urbanicity</w:t>
      </w:r>
      <w:r w:rsidR="002F6A6A" w:rsidRPr="0F0CE01E">
        <w:rPr>
          <w:rFonts w:ascii="Arial" w:hAnsi="Arial" w:cs="Arial"/>
          <w:sz w:val="22"/>
          <w:szCs w:val="22"/>
        </w:rPr>
        <w:t xml:space="preserve"> </w:t>
      </w:r>
      <w:r w:rsidR="002F6A6A" w:rsidRPr="00811CDB">
        <w:rPr>
          <w:rFonts w:ascii="Arial" w:hAnsi="Arial" w:cs="Arial"/>
          <w:b/>
          <w:bCs/>
          <w:sz w:val="22"/>
          <w:szCs w:val="22"/>
        </w:rPr>
        <w:t xml:space="preserve">(Robertson </w:t>
      </w:r>
      <w:r w:rsidR="002F6A6A" w:rsidRPr="00811CDB">
        <w:rPr>
          <w:rFonts w:ascii="Arial" w:hAnsi="Arial" w:cs="Arial"/>
          <w:b/>
          <w:bCs/>
          <w:i/>
          <w:iCs/>
          <w:sz w:val="22"/>
          <w:szCs w:val="22"/>
        </w:rPr>
        <w:t>et al.</w:t>
      </w:r>
      <w:r w:rsidR="002F6A6A" w:rsidRPr="00811CDB">
        <w:rPr>
          <w:rFonts w:ascii="Arial" w:hAnsi="Arial" w:cs="Arial"/>
          <w:b/>
          <w:bCs/>
          <w:sz w:val="22"/>
          <w:szCs w:val="22"/>
        </w:rPr>
        <w:t xml:space="preserve">, 2020; Violán </w:t>
      </w:r>
      <w:r w:rsidR="002F6A6A" w:rsidRPr="00811CDB">
        <w:rPr>
          <w:rFonts w:ascii="Arial" w:hAnsi="Arial" w:cs="Arial"/>
          <w:b/>
          <w:bCs/>
          <w:i/>
          <w:iCs/>
          <w:sz w:val="22"/>
          <w:szCs w:val="22"/>
        </w:rPr>
        <w:t>et al.</w:t>
      </w:r>
      <w:r w:rsidR="002F6A6A" w:rsidRPr="00811CDB">
        <w:rPr>
          <w:rFonts w:ascii="Arial" w:hAnsi="Arial" w:cs="Arial"/>
          <w:b/>
          <w:bCs/>
          <w:sz w:val="22"/>
          <w:szCs w:val="22"/>
        </w:rPr>
        <w:t>, 2014)</w:t>
      </w:r>
      <w:r w:rsidRPr="0F0CE01E">
        <w:rPr>
          <w:rFonts w:ascii="Arial" w:hAnsi="Arial" w:cs="Arial"/>
          <w:sz w:val="22"/>
          <w:szCs w:val="22"/>
        </w:rPr>
        <w:t xml:space="preserve">, fewer </w:t>
      </w:r>
      <w:r w:rsidRPr="0F0CE01E">
        <w:rPr>
          <w:rFonts w:ascii="Arial" w:hAnsi="Arial" w:cs="Arial"/>
          <w:sz w:val="22"/>
          <w:szCs w:val="22"/>
        </w:rPr>
        <w:lastRenderedPageBreak/>
        <w:t xml:space="preserve">synthesize how SES modifies access differently across these geographies and which interventions work best in each context. A systematic literature review using a comparative urban–rural lens can clarify mechanisms (e.g., affordability vs. availability), highlight implementation conditions, and surface transferable lessons. The findings will guide commissioners and frontline services in </w:t>
      </w:r>
      <w:r w:rsidR="007B0349" w:rsidRPr="0F0CE01E">
        <w:rPr>
          <w:rFonts w:ascii="Arial" w:hAnsi="Arial" w:cs="Arial"/>
          <w:sz w:val="22"/>
          <w:szCs w:val="22"/>
        </w:rPr>
        <w:t>prioritizing</w:t>
      </w:r>
      <w:r w:rsidRPr="0F0CE01E">
        <w:rPr>
          <w:rFonts w:ascii="Arial" w:hAnsi="Arial" w:cs="Arial"/>
          <w:sz w:val="22"/>
          <w:szCs w:val="22"/>
        </w:rPr>
        <w:t xml:space="preserve"> resources, tailoring outreach, and refining equity metrics to close persistent gaps.</w:t>
      </w:r>
    </w:p>
    <w:p w14:paraId="5DAFBCD0" w14:textId="47030239" w:rsidR="00801EAA" w:rsidRPr="005D74BD" w:rsidRDefault="00801EAA" w:rsidP="009F1E15">
      <w:pPr>
        <w:pStyle w:val="Heading1"/>
      </w:pPr>
      <w:r w:rsidRPr="005D74BD">
        <w:t xml:space="preserve">4) Methods </w:t>
      </w:r>
    </w:p>
    <w:p w14:paraId="3805466A" w14:textId="1BBE9A82" w:rsidR="009F1E15" w:rsidRDefault="00801EAA" w:rsidP="005D74BD">
      <w:pPr>
        <w:pStyle w:val="NormalWeb"/>
        <w:spacing w:line="360" w:lineRule="auto"/>
        <w:jc w:val="both"/>
        <w:rPr>
          <w:rFonts w:ascii="Arial" w:hAnsi="Arial" w:cs="Arial"/>
          <w:sz w:val="22"/>
          <w:szCs w:val="22"/>
        </w:rPr>
      </w:pPr>
      <w:r w:rsidRPr="005D74BD">
        <w:rPr>
          <w:rStyle w:val="Strong"/>
          <w:rFonts w:ascii="Arial" w:eastAsiaTheme="majorEastAsia" w:hAnsi="Arial" w:cs="Arial"/>
          <w:sz w:val="22"/>
          <w:szCs w:val="22"/>
        </w:rPr>
        <w:t>Design:</w:t>
      </w:r>
      <w:r w:rsidRPr="005D74BD">
        <w:rPr>
          <w:rFonts w:ascii="Arial" w:hAnsi="Arial" w:cs="Arial"/>
          <w:sz w:val="22"/>
          <w:szCs w:val="22"/>
        </w:rPr>
        <w:t xml:space="preserve"> Secondary systematic literature review </w:t>
      </w:r>
      <w:r w:rsidR="00C31531" w:rsidRPr="008923EF">
        <w:rPr>
          <w:rFonts w:ascii="Arial" w:hAnsi="Arial" w:cs="Arial"/>
          <w:b/>
          <w:bCs/>
          <w:sz w:val="22"/>
          <w:szCs w:val="22"/>
        </w:rPr>
        <w:t xml:space="preserve">(Felizardo </w:t>
      </w:r>
      <w:r w:rsidR="00C31531" w:rsidRPr="008923EF">
        <w:rPr>
          <w:rFonts w:ascii="Arial" w:hAnsi="Arial" w:cs="Arial"/>
          <w:b/>
          <w:bCs/>
          <w:i/>
          <w:iCs/>
          <w:sz w:val="22"/>
          <w:szCs w:val="22"/>
        </w:rPr>
        <w:t>et al.</w:t>
      </w:r>
      <w:r w:rsidR="00C31531" w:rsidRPr="008923EF">
        <w:rPr>
          <w:rFonts w:ascii="Arial" w:hAnsi="Arial" w:cs="Arial"/>
          <w:b/>
          <w:bCs/>
          <w:sz w:val="22"/>
          <w:szCs w:val="22"/>
        </w:rPr>
        <w:t>, 2020)</w:t>
      </w:r>
      <w:r w:rsidR="00C31531" w:rsidRPr="005D74BD">
        <w:rPr>
          <w:rFonts w:ascii="Arial" w:hAnsi="Arial" w:cs="Arial"/>
          <w:sz w:val="22"/>
          <w:szCs w:val="22"/>
        </w:rPr>
        <w:t xml:space="preserve"> </w:t>
      </w:r>
      <w:r w:rsidR="001D7196" w:rsidRPr="005D74BD">
        <w:rPr>
          <w:rFonts w:ascii="Arial" w:hAnsi="Arial" w:cs="Arial"/>
          <w:sz w:val="22"/>
          <w:szCs w:val="22"/>
        </w:rPr>
        <w:t xml:space="preserve">as it gathers and appraises all relevant studies to synthesize what is known, reveal evidence gaps, and produce unbiased, actionable </w:t>
      </w:r>
      <w:r w:rsidR="00477E1F" w:rsidRPr="005D74BD">
        <w:rPr>
          <w:rFonts w:ascii="Arial" w:hAnsi="Arial" w:cs="Arial"/>
          <w:sz w:val="22"/>
          <w:szCs w:val="22"/>
        </w:rPr>
        <w:t>conclusion</w:t>
      </w:r>
      <w:r w:rsidR="00167162">
        <w:rPr>
          <w:rFonts w:ascii="Arial" w:hAnsi="Arial" w:cs="Arial"/>
          <w:sz w:val="22"/>
          <w:szCs w:val="22"/>
        </w:rPr>
        <w:t>s</w:t>
      </w:r>
      <w:r w:rsidR="00E30985">
        <w:rPr>
          <w:rFonts w:ascii="Arial" w:hAnsi="Arial" w:cs="Arial"/>
          <w:sz w:val="22"/>
          <w:szCs w:val="22"/>
        </w:rPr>
        <w:t xml:space="preserve">. </w:t>
      </w:r>
    </w:p>
    <w:p w14:paraId="4F7CC098" w14:textId="7EB6D444" w:rsidR="009F1E15" w:rsidRDefault="00801EAA" w:rsidP="005D74BD">
      <w:pPr>
        <w:pStyle w:val="NormalWeb"/>
        <w:spacing w:line="360" w:lineRule="auto"/>
        <w:jc w:val="both"/>
        <w:rPr>
          <w:rFonts w:ascii="Arial" w:hAnsi="Arial" w:cs="Arial"/>
          <w:sz w:val="22"/>
          <w:szCs w:val="22"/>
        </w:rPr>
      </w:pPr>
      <w:r w:rsidRPr="005D74BD">
        <w:rPr>
          <w:rStyle w:val="Strong"/>
          <w:rFonts w:ascii="Arial" w:eastAsiaTheme="majorEastAsia" w:hAnsi="Arial" w:cs="Arial"/>
          <w:sz w:val="22"/>
          <w:szCs w:val="22"/>
        </w:rPr>
        <w:t>Data:</w:t>
      </w:r>
      <w:r w:rsidRPr="005D74BD">
        <w:rPr>
          <w:rFonts w:ascii="Arial" w:hAnsi="Arial" w:cs="Arial"/>
          <w:sz w:val="22"/>
          <w:szCs w:val="22"/>
        </w:rPr>
        <w:t xml:space="preserve"> Peer-reviewed </w:t>
      </w:r>
      <w:r w:rsidR="00442479" w:rsidRPr="005D74BD">
        <w:rPr>
          <w:rFonts w:ascii="Arial" w:hAnsi="Arial" w:cs="Arial"/>
          <w:sz w:val="22"/>
          <w:szCs w:val="22"/>
        </w:rPr>
        <w:t xml:space="preserve">journal </w:t>
      </w:r>
      <w:r w:rsidR="00A61349" w:rsidRPr="005D74BD">
        <w:rPr>
          <w:rFonts w:ascii="Arial" w:hAnsi="Arial" w:cs="Arial"/>
          <w:sz w:val="22"/>
          <w:szCs w:val="22"/>
        </w:rPr>
        <w:t>art</w:t>
      </w:r>
      <w:r w:rsidR="00A61349">
        <w:rPr>
          <w:rFonts w:ascii="Arial" w:hAnsi="Arial" w:cs="Arial"/>
          <w:sz w:val="22"/>
          <w:szCs w:val="22"/>
        </w:rPr>
        <w:t>i</w:t>
      </w:r>
      <w:r w:rsidR="00A61349" w:rsidRPr="005D74BD">
        <w:rPr>
          <w:rFonts w:ascii="Arial" w:hAnsi="Arial" w:cs="Arial"/>
          <w:sz w:val="22"/>
          <w:szCs w:val="22"/>
        </w:rPr>
        <w:t>cles</w:t>
      </w:r>
      <w:r w:rsidR="00442479" w:rsidRPr="005D74BD">
        <w:rPr>
          <w:rFonts w:ascii="Arial" w:hAnsi="Arial" w:cs="Arial"/>
          <w:sz w:val="22"/>
          <w:szCs w:val="22"/>
        </w:rPr>
        <w:t>,</w:t>
      </w:r>
      <w:r w:rsidRPr="005D74BD">
        <w:rPr>
          <w:rFonts w:ascii="Arial" w:hAnsi="Arial" w:cs="Arial"/>
          <w:sz w:val="22"/>
          <w:szCs w:val="22"/>
        </w:rPr>
        <w:t xml:space="preserve"> policy documents, and reputable grey literature (last 15 years; English).</w:t>
      </w:r>
    </w:p>
    <w:p w14:paraId="73C6B9E7" w14:textId="15ECFB1F" w:rsidR="009F1E15" w:rsidRDefault="00801EAA" w:rsidP="005D74BD">
      <w:pPr>
        <w:pStyle w:val="NormalWeb"/>
        <w:spacing w:line="360" w:lineRule="auto"/>
        <w:jc w:val="both"/>
        <w:rPr>
          <w:rFonts w:ascii="Arial" w:hAnsi="Arial" w:cs="Arial"/>
          <w:sz w:val="22"/>
          <w:szCs w:val="22"/>
        </w:rPr>
      </w:pPr>
      <w:r w:rsidRPr="005D74BD">
        <w:rPr>
          <w:rStyle w:val="Strong"/>
          <w:rFonts w:ascii="Arial" w:eastAsiaTheme="majorEastAsia" w:hAnsi="Arial" w:cs="Arial"/>
          <w:sz w:val="22"/>
          <w:szCs w:val="22"/>
        </w:rPr>
        <w:t>Selection criteria:</w:t>
      </w:r>
      <w:r w:rsidRPr="005D74BD">
        <w:rPr>
          <w:rFonts w:ascii="Arial" w:hAnsi="Arial" w:cs="Arial"/>
          <w:sz w:val="22"/>
          <w:szCs w:val="22"/>
        </w:rPr>
        <w:t xml:space="preserve"> Studies reporting SES-related access outcomes in urban and/or rural populations; quantitative, qualitative, or mixed-methods; clear definitions of SES and access. Exclude editorials and non-empirical </w:t>
      </w:r>
      <w:r w:rsidR="009F1E15">
        <w:rPr>
          <w:rFonts w:ascii="Arial" w:hAnsi="Arial" w:cs="Arial"/>
          <w:sz w:val="22"/>
          <w:szCs w:val="22"/>
        </w:rPr>
        <w:t>work</w:t>
      </w:r>
      <w:r w:rsidRPr="005D74BD">
        <w:rPr>
          <w:rFonts w:ascii="Arial" w:hAnsi="Arial" w:cs="Arial"/>
          <w:sz w:val="22"/>
          <w:szCs w:val="22"/>
        </w:rPr>
        <w:t>.</w:t>
      </w:r>
    </w:p>
    <w:p w14:paraId="7DD0A482" w14:textId="77777777" w:rsidR="009F1E15" w:rsidRDefault="00801EAA" w:rsidP="005D74BD">
      <w:pPr>
        <w:pStyle w:val="NormalWeb"/>
        <w:spacing w:line="360" w:lineRule="auto"/>
        <w:jc w:val="both"/>
        <w:rPr>
          <w:rFonts w:ascii="Arial" w:hAnsi="Arial" w:cs="Arial"/>
          <w:sz w:val="22"/>
          <w:szCs w:val="22"/>
        </w:rPr>
      </w:pPr>
      <w:r w:rsidRPr="005D74BD">
        <w:rPr>
          <w:rStyle w:val="Strong"/>
          <w:rFonts w:ascii="Arial" w:eastAsiaTheme="majorEastAsia" w:hAnsi="Arial" w:cs="Arial"/>
          <w:sz w:val="22"/>
          <w:szCs w:val="22"/>
        </w:rPr>
        <w:t>Procedure:</w:t>
      </w:r>
      <w:r w:rsidRPr="005D74BD">
        <w:rPr>
          <w:rFonts w:ascii="Arial" w:hAnsi="Arial" w:cs="Arial"/>
          <w:sz w:val="22"/>
          <w:szCs w:val="22"/>
        </w:rPr>
        <w:t xml:space="preserve"> PRISMA-informed search, screening, and data extraction. Manual, inductive–deductive coding to develop themes </w:t>
      </w:r>
      <w:r w:rsidR="00442479" w:rsidRPr="005D74BD">
        <w:rPr>
          <w:rFonts w:ascii="Arial" w:hAnsi="Arial" w:cs="Arial"/>
          <w:sz w:val="22"/>
          <w:szCs w:val="22"/>
        </w:rPr>
        <w:t xml:space="preserve">through thematic analysis </w:t>
      </w:r>
      <w:r w:rsidR="00442479" w:rsidRPr="005F213F">
        <w:rPr>
          <w:rFonts w:ascii="Arial" w:hAnsi="Arial" w:cs="Arial"/>
          <w:b/>
          <w:bCs/>
          <w:sz w:val="22"/>
          <w:szCs w:val="22"/>
        </w:rPr>
        <w:t>(Braun and Clarke, 2014)</w:t>
      </w:r>
      <w:r w:rsidRPr="005D74BD">
        <w:rPr>
          <w:rFonts w:ascii="Arial" w:hAnsi="Arial" w:cs="Arial"/>
          <w:sz w:val="22"/>
          <w:szCs w:val="22"/>
        </w:rPr>
        <w:t xml:space="preserve"> with constant comparison across urban/rural strata. Quality appraisal (e.g., CASP</w:t>
      </w:r>
      <w:r w:rsidR="009F1E15">
        <w:rPr>
          <w:rFonts w:ascii="Arial" w:hAnsi="Arial" w:cs="Arial"/>
          <w:sz w:val="22"/>
          <w:szCs w:val="22"/>
        </w:rPr>
        <w:t xml:space="preserve"> </w:t>
      </w:r>
      <w:r w:rsidRPr="005D74BD">
        <w:rPr>
          <w:rFonts w:ascii="Arial" w:hAnsi="Arial" w:cs="Arial"/>
          <w:sz w:val="22"/>
          <w:szCs w:val="22"/>
        </w:rPr>
        <w:t>Tool) to inform confidence in findings.</w:t>
      </w:r>
    </w:p>
    <w:p w14:paraId="39EB646F" w14:textId="4844065D" w:rsidR="00801EAA" w:rsidRPr="005D74BD" w:rsidRDefault="00801EAA" w:rsidP="005D74BD">
      <w:pPr>
        <w:pStyle w:val="NormalWeb"/>
        <w:spacing w:line="360" w:lineRule="auto"/>
        <w:jc w:val="both"/>
        <w:rPr>
          <w:rFonts w:ascii="Arial" w:hAnsi="Arial" w:cs="Arial"/>
          <w:sz w:val="22"/>
          <w:szCs w:val="22"/>
        </w:rPr>
      </w:pPr>
      <w:r w:rsidRPr="005D74BD">
        <w:rPr>
          <w:rStyle w:val="Strong"/>
          <w:rFonts w:ascii="Arial" w:eastAsiaTheme="majorEastAsia" w:hAnsi="Arial" w:cs="Arial"/>
          <w:sz w:val="22"/>
          <w:szCs w:val="22"/>
        </w:rPr>
        <w:t>Ethics:</w:t>
      </w:r>
      <w:r w:rsidRPr="005D74BD">
        <w:rPr>
          <w:rFonts w:ascii="Arial" w:hAnsi="Arial" w:cs="Arial"/>
          <w:sz w:val="22"/>
          <w:szCs w:val="22"/>
        </w:rPr>
        <w:t xml:space="preserve"> Secondary analysis only; proper citation, avoidance of plagiarism, transparent reporting, and sensitivity in interpreting disadvantaged groups.</w:t>
      </w:r>
    </w:p>
    <w:p w14:paraId="1678CD3E" w14:textId="0E4E5378" w:rsidR="00801EAA" w:rsidRPr="005D74BD" w:rsidRDefault="00801EAA" w:rsidP="009F1E15">
      <w:pPr>
        <w:pStyle w:val="Heading1"/>
      </w:pPr>
      <w:r w:rsidRPr="005D74BD">
        <w:t xml:space="preserve">5) Resources </w:t>
      </w:r>
    </w:p>
    <w:p w14:paraId="336691F9" w14:textId="77777777" w:rsidR="00801EAA" w:rsidRPr="005D74BD" w:rsidRDefault="00801EAA" w:rsidP="0F0CE01E">
      <w:pPr>
        <w:pStyle w:val="NormalWeb"/>
        <w:numPr>
          <w:ilvl w:val="0"/>
          <w:numId w:val="3"/>
        </w:numPr>
        <w:spacing w:line="360" w:lineRule="auto"/>
        <w:jc w:val="both"/>
        <w:rPr>
          <w:rFonts w:ascii="Arial" w:hAnsi="Arial" w:cs="Arial"/>
          <w:sz w:val="22"/>
          <w:szCs w:val="22"/>
        </w:rPr>
      </w:pPr>
      <w:r w:rsidRPr="0F0CE01E">
        <w:rPr>
          <w:rFonts w:ascii="Arial" w:hAnsi="Arial" w:cs="Arial"/>
          <w:sz w:val="22"/>
          <w:szCs w:val="22"/>
        </w:rPr>
        <w:t>Databases: PubMed, Scopus, Web of Science, CINAHL, SocINDEX, Google Scholar</w:t>
      </w:r>
    </w:p>
    <w:p w14:paraId="00FADE1E" w14:textId="77777777" w:rsidR="00801EAA" w:rsidRPr="005D74BD" w:rsidRDefault="00801EAA" w:rsidP="005D74BD">
      <w:pPr>
        <w:pStyle w:val="NormalWeb"/>
        <w:numPr>
          <w:ilvl w:val="0"/>
          <w:numId w:val="3"/>
        </w:numPr>
        <w:spacing w:line="360" w:lineRule="auto"/>
        <w:jc w:val="both"/>
        <w:rPr>
          <w:rFonts w:ascii="Arial" w:hAnsi="Arial" w:cs="Arial"/>
          <w:sz w:val="22"/>
          <w:szCs w:val="22"/>
        </w:rPr>
      </w:pPr>
      <w:r w:rsidRPr="005D74BD">
        <w:rPr>
          <w:rFonts w:ascii="Arial" w:hAnsi="Arial" w:cs="Arial"/>
          <w:sz w:val="22"/>
          <w:szCs w:val="22"/>
        </w:rPr>
        <w:t>Grey literature: WHO, OECD, national health agencies</w:t>
      </w:r>
    </w:p>
    <w:p w14:paraId="3327E483" w14:textId="77777777" w:rsidR="00801EAA" w:rsidRPr="005D74BD" w:rsidRDefault="00801EAA" w:rsidP="005D74BD">
      <w:pPr>
        <w:pStyle w:val="NormalWeb"/>
        <w:numPr>
          <w:ilvl w:val="0"/>
          <w:numId w:val="3"/>
        </w:numPr>
        <w:spacing w:line="360" w:lineRule="auto"/>
        <w:jc w:val="both"/>
        <w:rPr>
          <w:rFonts w:ascii="Arial" w:hAnsi="Arial" w:cs="Arial"/>
          <w:sz w:val="22"/>
          <w:szCs w:val="22"/>
        </w:rPr>
      </w:pPr>
      <w:r w:rsidRPr="005D74BD">
        <w:rPr>
          <w:rFonts w:ascii="Arial" w:hAnsi="Arial" w:cs="Arial"/>
          <w:sz w:val="22"/>
          <w:szCs w:val="22"/>
        </w:rPr>
        <w:t>Software: Excel/Google Sheets</w:t>
      </w:r>
    </w:p>
    <w:p w14:paraId="1C76579A" w14:textId="27F52334" w:rsidR="00801EAA" w:rsidRPr="005D74BD" w:rsidRDefault="00801EAA" w:rsidP="009F1E15">
      <w:pPr>
        <w:pStyle w:val="Heading1"/>
      </w:pPr>
      <w:r w:rsidRPr="005D74BD">
        <w:t xml:space="preserve">6) Timescale </w:t>
      </w:r>
    </w:p>
    <w:tbl>
      <w:tblPr>
        <w:tblStyle w:val="TableGrid"/>
        <w:tblW w:w="5000" w:type="pct"/>
        <w:tblLook w:val="04A0" w:firstRow="1" w:lastRow="0" w:firstColumn="1" w:lastColumn="0" w:noHBand="0" w:noVBand="1"/>
      </w:tblPr>
      <w:tblGrid>
        <w:gridCol w:w="2588"/>
        <w:gridCol w:w="4993"/>
        <w:gridCol w:w="1435"/>
      </w:tblGrid>
      <w:tr w:rsidR="00801EAA" w:rsidRPr="005D74BD" w14:paraId="785E4ACF" w14:textId="77777777" w:rsidTr="0061244E">
        <w:tc>
          <w:tcPr>
            <w:tcW w:w="1435" w:type="pct"/>
            <w:hideMark/>
          </w:tcPr>
          <w:p w14:paraId="030B5E0B" w14:textId="77777777" w:rsidR="00801EAA" w:rsidRPr="005D74BD" w:rsidRDefault="00801EAA" w:rsidP="005D74BD">
            <w:pPr>
              <w:jc w:val="both"/>
              <w:rPr>
                <w:rFonts w:ascii="Arial" w:hAnsi="Arial" w:cs="Arial"/>
                <w:b/>
                <w:bCs/>
                <w:szCs w:val="22"/>
              </w:rPr>
            </w:pPr>
            <w:r w:rsidRPr="005D74BD">
              <w:rPr>
                <w:rFonts w:ascii="Arial" w:hAnsi="Arial" w:cs="Arial"/>
                <w:b/>
                <w:bCs/>
                <w:szCs w:val="22"/>
              </w:rPr>
              <w:t>Stage</w:t>
            </w:r>
          </w:p>
        </w:tc>
        <w:tc>
          <w:tcPr>
            <w:tcW w:w="2769" w:type="pct"/>
            <w:hideMark/>
          </w:tcPr>
          <w:p w14:paraId="66237278" w14:textId="77777777" w:rsidR="00801EAA" w:rsidRPr="005D74BD" w:rsidRDefault="00801EAA" w:rsidP="005D74BD">
            <w:pPr>
              <w:jc w:val="both"/>
              <w:rPr>
                <w:rFonts w:ascii="Arial" w:hAnsi="Arial" w:cs="Arial"/>
                <w:b/>
                <w:bCs/>
                <w:szCs w:val="22"/>
              </w:rPr>
            </w:pPr>
            <w:r w:rsidRPr="005D74BD">
              <w:rPr>
                <w:rFonts w:ascii="Arial" w:hAnsi="Arial" w:cs="Arial"/>
                <w:b/>
                <w:bCs/>
                <w:szCs w:val="22"/>
              </w:rPr>
              <w:t>Tasks</w:t>
            </w:r>
          </w:p>
        </w:tc>
        <w:tc>
          <w:tcPr>
            <w:tcW w:w="796" w:type="pct"/>
            <w:hideMark/>
          </w:tcPr>
          <w:p w14:paraId="78EB5D11" w14:textId="77777777" w:rsidR="00801EAA" w:rsidRPr="005D74BD" w:rsidRDefault="00801EAA" w:rsidP="005D74BD">
            <w:pPr>
              <w:jc w:val="both"/>
              <w:rPr>
                <w:rFonts w:ascii="Arial" w:hAnsi="Arial" w:cs="Arial"/>
                <w:b/>
                <w:bCs/>
                <w:szCs w:val="22"/>
              </w:rPr>
            </w:pPr>
            <w:r w:rsidRPr="005D74BD">
              <w:rPr>
                <w:rFonts w:ascii="Arial" w:hAnsi="Arial" w:cs="Arial"/>
                <w:b/>
                <w:bCs/>
                <w:szCs w:val="22"/>
              </w:rPr>
              <w:t>Timeline</w:t>
            </w:r>
          </w:p>
        </w:tc>
      </w:tr>
      <w:tr w:rsidR="00801EAA" w:rsidRPr="005D74BD" w14:paraId="1601D4C1" w14:textId="77777777" w:rsidTr="0061244E">
        <w:tc>
          <w:tcPr>
            <w:tcW w:w="1435" w:type="pct"/>
            <w:hideMark/>
          </w:tcPr>
          <w:p w14:paraId="5468EE25" w14:textId="77777777" w:rsidR="00801EAA" w:rsidRPr="005D74BD" w:rsidRDefault="00801EAA" w:rsidP="005D74BD">
            <w:pPr>
              <w:jc w:val="both"/>
              <w:rPr>
                <w:rFonts w:ascii="Arial" w:hAnsi="Arial" w:cs="Arial"/>
                <w:szCs w:val="22"/>
              </w:rPr>
            </w:pPr>
            <w:r w:rsidRPr="005D74BD">
              <w:rPr>
                <w:rFonts w:ascii="Arial" w:hAnsi="Arial" w:cs="Arial"/>
                <w:szCs w:val="22"/>
              </w:rPr>
              <w:lastRenderedPageBreak/>
              <w:t>Scoping</w:t>
            </w:r>
          </w:p>
        </w:tc>
        <w:tc>
          <w:tcPr>
            <w:tcW w:w="2769" w:type="pct"/>
            <w:hideMark/>
          </w:tcPr>
          <w:p w14:paraId="5884E086" w14:textId="77777777" w:rsidR="00801EAA" w:rsidRPr="005D74BD" w:rsidRDefault="00801EAA" w:rsidP="005D74BD">
            <w:pPr>
              <w:jc w:val="both"/>
              <w:rPr>
                <w:rFonts w:ascii="Arial" w:hAnsi="Arial" w:cs="Arial"/>
                <w:szCs w:val="22"/>
              </w:rPr>
            </w:pPr>
            <w:r w:rsidRPr="005D74BD">
              <w:rPr>
                <w:rFonts w:ascii="Arial" w:hAnsi="Arial" w:cs="Arial"/>
                <w:szCs w:val="22"/>
              </w:rPr>
              <w:t>Refine question, develop protocol</w:t>
            </w:r>
          </w:p>
        </w:tc>
        <w:tc>
          <w:tcPr>
            <w:tcW w:w="796" w:type="pct"/>
            <w:hideMark/>
          </w:tcPr>
          <w:p w14:paraId="7CA661C6" w14:textId="77777777" w:rsidR="00801EAA" w:rsidRPr="005D74BD" w:rsidRDefault="00801EAA" w:rsidP="005D74BD">
            <w:pPr>
              <w:jc w:val="both"/>
              <w:rPr>
                <w:rFonts w:ascii="Arial" w:hAnsi="Arial" w:cs="Arial"/>
                <w:szCs w:val="22"/>
              </w:rPr>
            </w:pPr>
            <w:r w:rsidRPr="005D74BD">
              <w:rPr>
                <w:rFonts w:ascii="Arial" w:hAnsi="Arial" w:cs="Arial"/>
                <w:szCs w:val="22"/>
              </w:rPr>
              <w:t>Week 1</w:t>
            </w:r>
          </w:p>
        </w:tc>
      </w:tr>
      <w:tr w:rsidR="00801EAA" w:rsidRPr="005D74BD" w14:paraId="3A57CD5E" w14:textId="77777777" w:rsidTr="0061244E">
        <w:tc>
          <w:tcPr>
            <w:tcW w:w="1435" w:type="pct"/>
            <w:hideMark/>
          </w:tcPr>
          <w:p w14:paraId="5F4BB246" w14:textId="77777777" w:rsidR="00801EAA" w:rsidRPr="005D74BD" w:rsidRDefault="00801EAA" w:rsidP="005D74BD">
            <w:pPr>
              <w:jc w:val="both"/>
              <w:rPr>
                <w:rFonts w:ascii="Arial" w:hAnsi="Arial" w:cs="Arial"/>
                <w:szCs w:val="22"/>
              </w:rPr>
            </w:pPr>
            <w:r w:rsidRPr="005D74BD">
              <w:rPr>
                <w:rFonts w:ascii="Arial" w:hAnsi="Arial" w:cs="Arial"/>
                <w:szCs w:val="22"/>
              </w:rPr>
              <w:t>Search &amp; Screening</w:t>
            </w:r>
          </w:p>
        </w:tc>
        <w:tc>
          <w:tcPr>
            <w:tcW w:w="2769" w:type="pct"/>
            <w:hideMark/>
          </w:tcPr>
          <w:p w14:paraId="7603102D" w14:textId="77777777" w:rsidR="00801EAA" w:rsidRPr="005D74BD" w:rsidRDefault="00801EAA" w:rsidP="005D74BD">
            <w:pPr>
              <w:jc w:val="both"/>
              <w:rPr>
                <w:rFonts w:ascii="Arial" w:hAnsi="Arial" w:cs="Arial"/>
                <w:szCs w:val="22"/>
              </w:rPr>
            </w:pPr>
            <w:r w:rsidRPr="005D74BD">
              <w:rPr>
                <w:rFonts w:ascii="Arial" w:hAnsi="Arial" w:cs="Arial"/>
                <w:szCs w:val="22"/>
              </w:rPr>
              <w:t>Database/grey searches, PRISMA screening</w:t>
            </w:r>
          </w:p>
        </w:tc>
        <w:tc>
          <w:tcPr>
            <w:tcW w:w="796" w:type="pct"/>
            <w:hideMark/>
          </w:tcPr>
          <w:p w14:paraId="6E908C00" w14:textId="77777777" w:rsidR="00801EAA" w:rsidRPr="005D74BD" w:rsidRDefault="00801EAA" w:rsidP="005D74BD">
            <w:pPr>
              <w:jc w:val="both"/>
              <w:rPr>
                <w:rFonts w:ascii="Arial" w:hAnsi="Arial" w:cs="Arial"/>
                <w:szCs w:val="22"/>
              </w:rPr>
            </w:pPr>
            <w:r w:rsidRPr="005D74BD">
              <w:rPr>
                <w:rFonts w:ascii="Arial" w:hAnsi="Arial" w:cs="Arial"/>
                <w:szCs w:val="22"/>
              </w:rPr>
              <w:t>Weeks 2–3</w:t>
            </w:r>
          </w:p>
        </w:tc>
      </w:tr>
      <w:tr w:rsidR="00801EAA" w:rsidRPr="005D74BD" w14:paraId="7F0DBE4A" w14:textId="77777777" w:rsidTr="0061244E">
        <w:tc>
          <w:tcPr>
            <w:tcW w:w="1435" w:type="pct"/>
            <w:hideMark/>
          </w:tcPr>
          <w:p w14:paraId="556E623E" w14:textId="77777777" w:rsidR="00801EAA" w:rsidRPr="005D74BD" w:rsidRDefault="00801EAA" w:rsidP="005D74BD">
            <w:pPr>
              <w:jc w:val="both"/>
              <w:rPr>
                <w:rFonts w:ascii="Arial" w:hAnsi="Arial" w:cs="Arial"/>
                <w:szCs w:val="22"/>
              </w:rPr>
            </w:pPr>
            <w:r w:rsidRPr="005D74BD">
              <w:rPr>
                <w:rFonts w:ascii="Arial" w:hAnsi="Arial" w:cs="Arial"/>
                <w:szCs w:val="22"/>
              </w:rPr>
              <w:t>Extraction &amp; Appraisal</w:t>
            </w:r>
          </w:p>
        </w:tc>
        <w:tc>
          <w:tcPr>
            <w:tcW w:w="2769" w:type="pct"/>
            <w:hideMark/>
          </w:tcPr>
          <w:p w14:paraId="06BBCF3A" w14:textId="77777777" w:rsidR="00801EAA" w:rsidRPr="005D74BD" w:rsidRDefault="00801EAA" w:rsidP="005D74BD">
            <w:pPr>
              <w:jc w:val="both"/>
              <w:rPr>
                <w:rFonts w:ascii="Arial" w:hAnsi="Arial" w:cs="Arial"/>
                <w:szCs w:val="22"/>
              </w:rPr>
            </w:pPr>
            <w:r w:rsidRPr="005D74BD">
              <w:rPr>
                <w:rFonts w:ascii="Arial" w:hAnsi="Arial" w:cs="Arial"/>
                <w:szCs w:val="22"/>
              </w:rPr>
              <w:t>Chart data, quality assess</w:t>
            </w:r>
          </w:p>
        </w:tc>
        <w:tc>
          <w:tcPr>
            <w:tcW w:w="796" w:type="pct"/>
            <w:hideMark/>
          </w:tcPr>
          <w:p w14:paraId="6E098A5B" w14:textId="77777777" w:rsidR="00801EAA" w:rsidRPr="005D74BD" w:rsidRDefault="00801EAA" w:rsidP="005D74BD">
            <w:pPr>
              <w:jc w:val="both"/>
              <w:rPr>
                <w:rFonts w:ascii="Arial" w:hAnsi="Arial" w:cs="Arial"/>
                <w:szCs w:val="22"/>
              </w:rPr>
            </w:pPr>
            <w:r w:rsidRPr="005D74BD">
              <w:rPr>
                <w:rFonts w:ascii="Arial" w:hAnsi="Arial" w:cs="Arial"/>
                <w:szCs w:val="22"/>
              </w:rPr>
              <w:t>Weeks 4–5</w:t>
            </w:r>
          </w:p>
        </w:tc>
      </w:tr>
      <w:tr w:rsidR="00801EAA" w:rsidRPr="005D74BD" w14:paraId="7CA87BF8" w14:textId="77777777" w:rsidTr="0061244E">
        <w:tc>
          <w:tcPr>
            <w:tcW w:w="1435" w:type="pct"/>
            <w:hideMark/>
          </w:tcPr>
          <w:p w14:paraId="4D4A190A" w14:textId="77777777" w:rsidR="00801EAA" w:rsidRPr="005D74BD" w:rsidRDefault="00801EAA" w:rsidP="005D74BD">
            <w:pPr>
              <w:jc w:val="both"/>
              <w:rPr>
                <w:rFonts w:ascii="Arial" w:hAnsi="Arial" w:cs="Arial"/>
                <w:szCs w:val="22"/>
              </w:rPr>
            </w:pPr>
            <w:r w:rsidRPr="005D74BD">
              <w:rPr>
                <w:rFonts w:ascii="Arial" w:hAnsi="Arial" w:cs="Arial"/>
                <w:szCs w:val="22"/>
              </w:rPr>
              <w:t>Analysis</w:t>
            </w:r>
          </w:p>
        </w:tc>
        <w:tc>
          <w:tcPr>
            <w:tcW w:w="2769" w:type="pct"/>
            <w:hideMark/>
          </w:tcPr>
          <w:p w14:paraId="2EAF6DB9" w14:textId="77777777" w:rsidR="00801EAA" w:rsidRPr="005D74BD" w:rsidRDefault="00801EAA" w:rsidP="005D74BD">
            <w:pPr>
              <w:jc w:val="both"/>
              <w:rPr>
                <w:rFonts w:ascii="Arial" w:hAnsi="Arial" w:cs="Arial"/>
                <w:szCs w:val="22"/>
              </w:rPr>
            </w:pPr>
            <w:r w:rsidRPr="005D74BD">
              <w:rPr>
                <w:rFonts w:ascii="Arial" w:hAnsi="Arial" w:cs="Arial"/>
                <w:szCs w:val="22"/>
              </w:rPr>
              <w:t>Manual coding, thematic synthesis</w:t>
            </w:r>
          </w:p>
        </w:tc>
        <w:tc>
          <w:tcPr>
            <w:tcW w:w="796" w:type="pct"/>
            <w:hideMark/>
          </w:tcPr>
          <w:p w14:paraId="1B112AED" w14:textId="77777777" w:rsidR="00801EAA" w:rsidRPr="005D74BD" w:rsidRDefault="00801EAA" w:rsidP="005D74BD">
            <w:pPr>
              <w:jc w:val="both"/>
              <w:rPr>
                <w:rFonts w:ascii="Arial" w:hAnsi="Arial" w:cs="Arial"/>
                <w:szCs w:val="22"/>
              </w:rPr>
            </w:pPr>
            <w:r w:rsidRPr="005D74BD">
              <w:rPr>
                <w:rFonts w:ascii="Arial" w:hAnsi="Arial" w:cs="Arial"/>
                <w:szCs w:val="22"/>
              </w:rPr>
              <w:t>Weeks 6–7</w:t>
            </w:r>
          </w:p>
        </w:tc>
      </w:tr>
      <w:tr w:rsidR="00801EAA" w:rsidRPr="005D74BD" w14:paraId="46C4A084" w14:textId="77777777" w:rsidTr="0061244E">
        <w:tc>
          <w:tcPr>
            <w:tcW w:w="1435" w:type="pct"/>
            <w:hideMark/>
          </w:tcPr>
          <w:p w14:paraId="66A8C9EF" w14:textId="77777777" w:rsidR="00801EAA" w:rsidRPr="005D74BD" w:rsidRDefault="00801EAA" w:rsidP="005D74BD">
            <w:pPr>
              <w:jc w:val="both"/>
              <w:rPr>
                <w:rFonts w:ascii="Arial" w:hAnsi="Arial" w:cs="Arial"/>
                <w:szCs w:val="22"/>
              </w:rPr>
            </w:pPr>
            <w:r w:rsidRPr="005D74BD">
              <w:rPr>
                <w:rFonts w:ascii="Arial" w:hAnsi="Arial" w:cs="Arial"/>
                <w:szCs w:val="22"/>
              </w:rPr>
              <w:t>Reporting</w:t>
            </w:r>
          </w:p>
        </w:tc>
        <w:tc>
          <w:tcPr>
            <w:tcW w:w="2769" w:type="pct"/>
            <w:hideMark/>
          </w:tcPr>
          <w:p w14:paraId="7457C4CA" w14:textId="77777777" w:rsidR="00801EAA" w:rsidRPr="005D74BD" w:rsidRDefault="00801EAA" w:rsidP="005D74BD">
            <w:pPr>
              <w:jc w:val="both"/>
              <w:rPr>
                <w:rFonts w:ascii="Arial" w:hAnsi="Arial" w:cs="Arial"/>
                <w:szCs w:val="22"/>
              </w:rPr>
            </w:pPr>
            <w:r w:rsidRPr="005D74BD">
              <w:rPr>
                <w:rFonts w:ascii="Arial" w:hAnsi="Arial" w:cs="Arial"/>
                <w:szCs w:val="22"/>
              </w:rPr>
              <w:t>Draft, revise, recommendations</w:t>
            </w:r>
          </w:p>
        </w:tc>
        <w:tc>
          <w:tcPr>
            <w:tcW w:w="796" w:type="pct"/>
            <w:hideMark/>
          </w:tcPr>
          <w:p w14:paraId="662579F5" w14:textId="77777777" w:rsidR="00801EAA" w:rsidRPr="005D74BD" w:rsidRDefault="00801EAA" w:rsidP="005D74BD">
            <w:pPr>
              <w:jc w:val="both"/>
              <w:rPr>
                <w:rFonts w:ascii="Arial" w:hAnsi="Arial" w:cs="Arial"/>
                <w:szCs w:val="22"/>
              </w:rPr>
            </w:pPr>
            <w:r w:rsidRPr="005D74BD">
              <w:rPr>
                <w:rFonts w:ascii="Arial" w:hAnsi="Arial" w:cs="Arial"/>
                <w:szCs w:val="22"/>
              </w:rPr>
              <w:t>Week 8</w:t>
            </w:r>
          </w:p>
        </w:tc>
      </w:tr>
    </w:tbl>
    <w:p w14:paraId="004ED31B" w14:textId="29F81E11" w:rsidR="00801EAA" w:rsidRPr="005D74BD" w:rsidRDefault="00801EAA" w:rsidP="009F1E15">
      <w:pPr>
        <w:pStyle w:val="Heading1"/>
      </w:pPr>
      <w:r w:rsidRPr="005D74BD">
        <w:t xml:space="preserve">7) Self-reflection </w:t>
      </w:r>
    </w:p>
    <w:p w14:paraId="6B055C8B" w14:textId="77777777" w:rsidR="00801EAA" w:rsidRPr="005D74BD" w:rsidRDefault="00801EAA" w:rsidP="005D74BD">
      <w:pPr>
        <w:pStyle w:val="NormalWeb"/>
        <w:spacing w:line="360" w:lineRule="auto"/>
        <w:jc w:val="both"/>
        <w:rPr>
          <w:rFonts w:ascii="Arial" w:hAnsi="Arial" w:cs="Arial"/>
          <w:sz w:val="22"/>
          <w:szCs w:val="22"/>
        </w:rPr>
      </w:pPr>
      <w:r w:rsidRPr="005D74BD">
        <w:rPr>
          <w:rFonts w:ascii="Arial" w:hAnsi="Arial" w:cs="Arial"/>
          <w:sz w:val="22"/>
          <w:szCs w:val="22"/>
        </w:rPr>
        <w:t>Strengths include systematic searching, critical appraisal, and qualitative synthesis skills. Anticipated challenges are managing heterogeneous definitions of access and ensuring balanced urban–rural comparison. I will mitigate these through a piloted coding frame, transparent audit trail, and peer debriefs, while strengthening skills in manual coding reliability and policy-oriented writing.</w:t>
      </w:r>
    </w:p>
    <w:p w14:paraId="0831A605" w14:textId="25002C6D" w:rsidR="002D4979" w:rsidRPr="005D74BD" w:rsidRDefault="00ED6577" w:rsidP="009F1E15">
      <w:pPr>
        <w:pStyle w:val="Heading1"/>
        <w:rPr>
          <w:lang w:val="en-GB"/>
        </w:rPr>
      </w:pPr>
      <w:r w:rsidRPr="005D74BD">
        <w:rPr>
          <w:lang w:val="en-GB"/>
        </w:rPr>
        <w:t>References</w:t>
      </w:r>
    </w:p>
    <w:p w14:paraId="0E21070B" w14:textId="63E6D284" w:rsidR="00ED6577" w:rsidRPr="005D74BD" w:rsidRDefault="00ED6577" w:rsidP="005D74BD">
      <w:pPr>
        <w:pStyle w:val="NormalWeb"/>
        <w:spacing w:before="0" w:beforeAutospacing="0" w:after="240" w:afterAutospacing="0" w:line="360" w:lineRule="auto"/>
        <w:jc w:val="both"/>
        <w:rPr>
          <w:rFonts w:ascii="Arial" w:hAnsi="Arial" w:cs="Arial"/>
          <w:sz w:val="22"/>
          <w:szCs w:val="22"/>
        </w:rPr>
      </w:pPr>
      <w:r w:rsidRPr="005D74BD">
        <w:rPr>
          <w:rFonts w:ascii="Arial" w:hAnsi="Arial" w:cs="Arial"/>
          <w:sz w:val="22"/>
          <w:szCs w:val="22"/>
        </w:rPr>
        <w:t xml:space="preserve">Braun, V. and Clarke, V. (2014) ‘What Can “Thematic Analysis” Offer Health and Wellbeing researchers?’, </w:t>
      </w:r>
      <w:r w:rsidRPr="005D74BD">
        <w:rPr>
          <w:rFonts w:ascii="Arial" w:hAnsi="Arial" w:cs="Arial"/>
          <w:i/>
          <w:iCs/>
          <w:sz w:val="22"/>
          <w:szCs w:val="22"/>
        </w:rPr>
        <w:t>International Journal of Qualitative Studies on Health and Well-being</w:t>
      </w:r>
      <w:r w:rsidRPr="005D74BD">
        <w:rPr>
          <w:rFonts w:ascii="Arial" w:hAnsi="Arial" w:cs="Arial"/>
          <w:sz w:val="22"/>
          <w:szCs w:val="22"/>
        </w:rPr>
        <w:t xml:space="preserve">, 9(1). Available at: </w:t>
      </w:r>
      <w:hyperlink r:id="rId5" w:history="1">
        <w:r w:rsidR="0012006A" w:rsidRPr="00031976">
          <w:rPr>
            <w:rStyle w:val="Hyperlink"/>
            <w:rFonts w:ascii="Arial" w:hAnsi="Arial" w:cs="Arial"/>
            <w:sz w:val="22"/>
            <w:szCs w:val="22"/>
          </w:rPr>
          <w:t>https://doi.org/10.3402/qhw.v9.26152</w:t>
        </w:r>
      </w:hyperlink>
      <w:r w:rsidR="0012006A">
        <w:rPr>
          <w:rFonts w:ascii="Arial" w:hAnsi="Arial" w:cs="Arial"/>
          <w:sz w:val="22"/>
          <w:szCs w:val="22"/>
        </w:rPr>
        <w:t xml:space="preserve">. </w:t>
      </w:r>
    </w:p>
    <w:p w14:paraId="2417EF43" w14:textId="06A4FF24" w:rsidR="00ED6577" w:rsidRPr="005D74BD" w:rsidRDefault="00ED6577" w:rsidP="005D74BD">
      <w:pPr>
        <w:pStyle w:val="NormalWeb"/>
        <w:spacing w:before="0" w:beforeAutospacing="0" w:after="240" w:afterAutospacing="0" w:line="360" w:lineRule="auto"/>
        <w:jc w:val="both"/>
        <w:rPr>
          <w:rFonts w:ascii="Arial" w:hAnsi="Arial" w:cs="Arial"/>
          <w:sz w:val="22"/>
          <w:szCs w:val="22"/>
        </w:rPr>
      </w:pPr>
      <w:r w:rsidRPr="005D74BD">
        <w:rPr>
          <w:rFonts w:ascii="Arial" w:hAnsi="Arial" w:cs="Arial"/>
          <w:sz w:val="22"/>
          <w:szCs w:val="22"/>
        </w:rPr>
        <w:t xml:space="preserve">Chen, X. </w:t>
      </w:r>
      <w:r w:rsidRPr="005D74BD">
        <w:rPr>
          <w:rFonts w:ascii="Arial" w:hAnsi="Arial" w:cs="Arial"/>
          <w:i/>
          <w:iCs/>
          <w:sz w:val="22"/>
          <w:szCs w:val="22"/>
        </w:rPr>
        <w:t>et al.</w:t>
      </w:r>
      <w:r w:rsidRPr="005D74BD">
        <w:rPr>
          <w:rFonts w:ascii="Arial" w:hAnsi="Arial" w:cs="Arial"/>
          <w:sz w:val="22"/>
          <w:szCs w:val="22"/>
        </w:rPr>
        <w:t xml:space="preserve"> (2019) ‘Differences in Rural and Urban Health Information Access and Use’, </w:t>
      </w:r>
      <w:r w:rsidRPr="005D74BD">
        <w:rPr>
          <w:rFonts w:ascii="Arial" w:hAnsi="Arial" w:cs="Arial"/>
          <w:i/>
          <w:iCs/>
          <w:sz w:val="22"/>
          <w:szCs w:val="22"/>
        </w:rPr>
        <w:t>The Journal of Rural Health</w:t>
      </w:r>
      <w:r w:rsidRPr="005D74BD">
        <w:rPr>
          <w:rFonts w:ascii="Arial" w:hAnsi="Arial" w:cs="Arial"/>
          <w:sz w:val="22"/>
          <w:szCs w:val="22"/>
        </w:rPr>
        <w:t xml:space="preserve">, 35(3), pp. 405–417. Available at: </w:t>
      </w:r>
      <w:hyperlink r:id="rId6" w:history="1">
        <w:r w:rsidR="009B4AAD" w:rsidRPr="00031976">
          <w:rPr>
            <w:rStyle w:val="Hyperlink"/>
            <w:rFonts w:ascii="Arial" w:hAnsi="Arial" w:cs="Arial"/>
            <w:sz w:val="22"/>
            <w:szCs w:val="22"/>
          </w:rPr>
          <w:t>https://doi.org/10.1111/jrh.12335</w:t>
        </w:r>
      </w:hyperlink>
      <w:r w:rsidR="00E61D37">
        <w:rPr>
          <w:rFonts w:ascii="Arial" w:hAnsi="Arial" w:cs="Arial"/>
          <w:sz w:val="22"/>
          <w:szCs w:val="22"/>
        </w:rPr>
        <w:t>.</w:t>
      </w:r>
      <w:r w:rsidR="009B4AAD">
        <w:rPr>
          <w:rFonts w:ascii="Arial" w:hAnsi="Arial" w:cs="Arial"/>
          <w:sz w:val="22"/>
          <w:szCs w:val="22"/>
        </w:rPr>
        <w:t xml:space="preserve"> </w:t>
      </w:r>
    </w:p>
    <w:p w14:paraId="4542B502" w14:textId="19ADA962" w:rsidR="00ED6577" w:rsidRPr="005D74BD" w:rsidRDefault="00ED6577" w:rsidP="005D74BD">
      <w:pPr>
        <w:pStyle w:val="NormalWeb"/>
        <w:spacing w:before="0" w:beforeAutospacing="0" w:after="240" w:afterAutospacing="0" w:line="360" w:lineRule="auto"/>
        <w:jc w:val="both"/>
        <w:rPr>
          <w:rFonts w:ascii="Arial" w:hAnsi="Arial" w:cs="Arial"/>
          <w:sz w:val="22"/>
          <w:szCs w:val="22"/>
        </w:rPr>
      </w:pPr>
      <w:r w:rsidRPr="005D74BD">
        <w:rPr>
          <w:rFonts w:ascii="Arial" w:hAnsi="Arial" w:cs="Arial"/>
          <w:sz w:val="22"/>
          <w:szCs w:val="22"/>
        </w:rPr>
        <w:t xml:space="preserve">Felizardo, K.R. </w:t>
      </w:r>
      <w:r w:rsidRPr="005D74BD">
        <w:rPr>
          <w:rFonts w:ascii="Arial" w:hAnsi="Arial" w:cs="Arial"/>
          <w:i/>
          <w:iCs/>
          <w:sz w:val="22"/>
          <w:szCs w:val="22"/>
        </w:rPr>
        <w:t>et al.</w:t>
      </w:r>
      <w:r w:rsidRPr="005D74BD">
        <w:rPr>
          <w:rFonts w:ascii="Arial" w:hAnsi="Arial" w:cs="Arial"/>
          <w:sz w:val="22"/>
          <w:szCs w:val="22"/>
        </w:rPr>
        <w:t xml:space="preserve"> (</w:t>
      </w:r>
      <w:r w:rsidR="00C42A9A" w:rsidRPr="005D74BD">
        <w:rPr>
          <w:rFonts w:ascii="Arial" w:hAnsi="Arial" w:cs="Arial"/>
          <w:sz w:val="22"/>
          <w:szCs w:val="22"/>
        </w:rPr>
        <w:t xml:space="preserve">2020) </w:t>
      </w:r>
      <w:r w:rsidRPr="005D74BD">
        <w:rPr>
          <w:rFonts w:ascii="Arial" w:hAnsi="Arial" w:cs="Arial"/>
          <w:sz w:val="22"/>
          <w:szCs w:val="22"/>
        </w:rPr>
        <w:t xml:space="preserve">Secondary studies in the academic context: A systematic mapping and survey’, </w:t>
      </w:r>
      <w:r w:rsidRPr="005D74BD">
        <w:rPr>
          <w:rFonts w:ascii="Arial" w:hAnsi="Arial" w:cs="Arial"/>
          <w:i/>
          <w:iCs/>
          <w:sz w:val="22"/>
          <w:szCs w:val="22"/>
        </w:rPr>
        <w:t>Journal of Systems and Software</w:t>
      </w:r>
      <w:r w:rsidRPr="005D74BD">
        <w:rPr>
          <w:rFonts w:ascii="Arial" w:hAnsi="Arial" w:cs="Arial"/>
          <w:sz w:val="22"/>
          <w:szCs w:val="22"/>
        </w:rPr>
        <w:t xml:space="preserve">, 170, p. 110734. Available at: </w:t>
      </w:r>
      <w:hyperlink r:id="rId7" w:history="1">
        <w:r w:rsidR="00CA45CB" w:rsidRPr="00031976">
          <w:rPr>
            <w:rStyle w:val="Hyperlink"/>
            <w:rFonts w:ascii="Arial" w:hAnsi="Arial" w:cs="Arial"/>
            <w:sz w:val="22"/>
            <w:szCs w:val="22"/>
          </w:rPr>
          <w:t>https://doi.org/10.1016/j.jss.2020.110734</w:t>
        </w:r>
      </w:hyperlink>
      <w:r w:rsidR="00CA45CB">
        <w:rPr>
          <w:rFonts w:ascii="Arial" w:hAnsi="Arial" w:cs="Arial"/>
          <w:sz w:val="22"/>
          <w:szCs w:val="22"/>
        </w:rPr>
        <w:t xml:space="preserve">. </w:t>
      </w:r>
    </w:p>
    <w:p w14:paraId="2B26D523" w14:textId="715F9DBB" w:rsidR="00ED6577" w:rsidRPr="005D74BD" w:rsidRDefault="00ED6577" w:rsidP="005D74BD">
      <w:pPr>
        <w:pStyle w:val="NormalWeb"/>
        <w:spacing w:before="0" w:beforeAutospacing="0" w:after="240" w:afterAutospacing="0" w:line="360" w:lineRule="auto"/>
        <w:jc w:val="both"/>
        <w:rPr>
          <w:rFonts w:ascii="Arial" w:hAnsi="Arial" w:cs="Arial"/>
          <w:sz w:val="22"/>
          <w:szCs w:val="22"/>
        </w:rPr>
      </w:pPr>
      <w:r w:rsidRPr="005D74BD">
        <w:rPr>
          <w:rFonts w:ascii="Arial" w:hAnsi="Arial" w:cs="Arial"/>
          <w:sz w:val="22"/>
          <w:szCs w:val="22"/>
        </w:rPr>
        <w:t xml:space="preserve">McMaughan, D.J., Oloruntoba, O. and Smith, M.L. (2020) ‘Socioeconomic Status and Access to healthcare: Interrelated Drivers for Healthy Aging’, </w:t>
      </w:r>
      <w:r w:rsidRPr="005D74BD">
        <w:rPr>
          <w:rFonts w:ascii="Arial" w:hAnsi="Arial" w:cs="Arial"/>
          <w:i/>
          <w:iCs/>
          <w:sz w:val="22"/>
          <w:szCs w:val="22"/>
        </w:rPr>
        <w:t>Frontiers in Public Health</w:t>
      </w:r>
      <w:r w:rsidRPr="005D74BD">
        <w:rPr>
          <w:rFonts w:ascii="Arial" w:hAnsi="Arial" w:cs="Arial"/>
          <w:sz w:val="22"/>
          <w:szCs w:val="22"/>
        </w:rPr>
        <w:t xml:space="preserve">, 8(231), pp. 1–9. Available at: </w:t>
      </w:r>
      <w:hyperlink r:id="rId8" w:history="1">
        <w:r w:rsidR="005E10FD" w:rsidRPr="00031976">
          <w:rPr>
            <w:rStyle w:val="Hyperlink"/>
            <w:rFonts w:ascii="Arial" w:hAnsi="Arial" w:cs="Arial"/>
            <w:sz w:val="22"/>
            <w:szCs w:val="22"/>
          </w:rPr>
          <w:t>https://doi.org/10.3389/fpubh.2020.00231</w:t>
        </w:r>
      </w:hyperlink>
      <w:r w:rsidR="005E10FD">
        <w:rPr>
          <w:rFonts w:ascii="Arial" w:hAnsi="Arial" w:cs="Arial"/>
          <w:sz w:val="22"/>
          <w:szCs w:val="22"/>
        </w:rPr>
        <w:t xml:space="preserve">. </w:t>
      </w:r>
    </w:p>
    <w:p w14:paraId="0BCB572A" w14:textId="7B7EE87A" w:rsidR="00ED6577" w:rsidRPr="005D74BD" w:rsidRDefault="00ED6577" w:rsidP="005D74BD">
      <w:pPr>
        <w:pStyle w:val="NormalWeb"/>
        <w:spacing w:before="0" w:beforeAutospacing="0" w:after="240" w:afterAutospacing="0" w:line="360" w:lineRule="auto"/>
        <w:jc w:val="both"/>
        <w:rPr>
          <w:rFonts w:ascii="Arial" w:hAnsi="Arial" w:cs="Arial"/>
          <w:sz w:val="22"/>
          <w:szCs w:val="22"/>
        </w:rPr>
      </w:pPr>
      <w:r w:rsidRPr="005D74BD">
        <w:rPr>
          <w:rFonts w:ascii="Arial" w:hAnsi="Arial" w:cs="Arial"/>
          <w:sz w:val="22"/>
          <w:szCs w:val="22"/>
        </w:rPr>
        <w:t xml:space="preserve">Robertson, L. </w:t>
      </w:r>
      <w:r w:rsidRPr="005D74BD">
        <w:rPr>
          <w:rFonts w:ascii="Arial" w:hAnsi="Arial" w:cs="Arial"/>
          <w:i/>
          <w:iCs/>
          <w:sz w:val="22"/>
          <w:szCs w:val="22"/>
        </w:rPr>
        <w:t>et al.</w:t>
      </w:r>
      <w:r w:rsidRPr="005D74BD">
        <w:rPr>
          <w:rFonts w:ascii="Arial" w:hAnsi="Arial" w:cs="Arial"/>
          <w:sz w:val="22"/>
          <w:szCs w:val="22"/>
        </w:rPr>
        <w:t xml:space="preserve"> (2020) ‘Urban–rural and socioeconomic status: Impact on multimorbidity prevalence in hospitalized patients’, </w:t>
      </w:r>
      <w:r w:rsidRPr="005D74BD">
        <w:rPr>
          <w:rFonts w:ascii="Arial" w:hAnsi="Arial" w:cs="Arial"/>
          <w:i/>
          <w:iCs/>
          <w:sz w:val="22"/>
          <w:szCs w:val="22"/>
        </w:rPr>
        <w:t>Journal of Comorbidity</w:t>
      </w:r>
      <w:r w:rsidRPr="005D74BD">
        <w:rPr>
          <w:rFonts w:ascii="Arial" w:hAnsi="Arial" w:cs="Arial"/>
          <w:sz w:val="22"/>
          <w:szCs w:val="22"/>
        </w:rPr>
        <w:t xml:space="preserve">, 10, p. 2235042X1989347. Available at: </w:t>
      </w:r>
      <w:hyperlink r:id="rId9" w:history="1">
        <w:r w:rsidR="00F154D5" w:rsidRPr="00031976">
          <w:rPr>
            <w:rStyle w:val="Hyperlink"/>
            <w:rFonts w:ascii="Arial" w:hAnsi="Arial" w:cs="Arial"/>
            <w:sz w:val="22"/>
            <w:szCs w:val="22"/>
          </w:rPr>
          <w:t>https://doi.org/10.1177/2235042x19893470</w:t>
        </w:r>
      </w:hyperlink>
      <w:r w:rsidR="00F154D5">
        <w:rPr>
          <w:rFonts w:ascii="Arial" w:hAnsi="Arial" w:cs="Arial"/>
          <w:sz w:val="22"/>
          <w:szCs w:val="22"/>
        </w:rPr>
        <w:t xml:space="preserve">. </w:t>
      </w:r>
    </w:p>
    <w:p w14:paraId="5DB31622" w14:textId="424803C3" w:rsidR="002D4979" w:rsidRPr="002D4979" w:rsidRDefault="00ED6577" w:rsidP="00CF09F2">
      <w:pPr>
        <w:pStyle w:val="NormalWeb"/>
        <w:spacing w:before="0" w:beforeAutospacing="0" w:after="240" w:afterAutospacing="0" w:line="360" w:lineRule="auto"/>
        <w:jc w:val="both"/>
        <w:rPr>
          <w:lang w:val="en-GB"/>
        </w:rPr>
      </w:pPr>
      <w:r w:rsidRPr="005D74BD">
        <w:rPr>
          <w:rFonts w:ascii="Arial" w:hAnsi="Arial" w:cs="Arial"/>
          <w:sz w:val="22"/>
          <w:szCs w:val="22"/>
        </w:rPr>
        <w:t xml:space="preserve">Violán, C. </w:t>
      </w:r>
      <w:r w:rsidRPr="005D74BD">
        <w:rPr>
          <w:rFonts w:ascii="Arial" w:hAnsi="Arial" w:cs="Arial"/>
          <w:i/>
          <w:iCs/>
          <w:sz w:val="22"/>
          <w:szCs w:val="22"/>
        </w:rPr>
        <w:t>et al.</w:t>
      </w:r>
      <w:r w:rsidRPr="005D74BD">
        <w:rPr>
          <w:rFonts w:ascii="Arial" w:hAnsi="Arial" w:cs="Arial"/>
          <w:sz w:val="22"/>
          <w:szCs w:val="22"/>
        </w:rPr>
        <w:t xml:space="preserve"> (</w:t>
      </w:r>
      <w:r w:rsidR="00344A2B" w:rsidRPr="005D74BD">
        <w:rPr>
          <w:rFonts w:ascii="Arial" w:hAnsi="Arial" w:cs="Arial"/>
          <w:sz w:val="22"/>
          <w:szCs w:val="22"/>
        </w:rPr>
        <w:t xml:space="preserve">2014) </w:t>
      </w:r>
      <w:r w:rsidRPr="005D74BD">
        <w:rPr>
          <w:rFonts w:ascii="Arial" w:hAnsi="Arial" w:cs="Arial"/>
          <w:sz w:val="22"/>
          <w:szCs w:val="22"/>
        </w:rPr>
        <w:t xml:space="preserve">Burden of multimorbidity, socioeconomic status and use of health services across stages of life in urban areas: a cross-sectional study’, </w:t>
      </w:r>
      <w:r w:rsidRPr="005D74BD">
        <w:rPr>
          <w:rFonts w:ascii="Arial" w:hAnsi="Arial" w:cs="Arial"/>
          <w:i/>
          <w:iCs/>
          <w:sz w:val="22"/>
          <w:szCs w:val="22"/>
        </w:rPr>
        <w:t>BMC Public Health</w:t>
      </w:r>
      <w:r w:rsidRPr="005D74BD">
        <w:rPr>
          <w:rFonts w:ascii="Arial" w:hAnsi="Arial" w:cs="Arial"/>
          <w:sz w:val="22"/>
          <w:szCs w:val="22"/>
        </w:rPr>
        <w:t xml:space="preserve">, 14(1). Available at: </w:t>
      </w:r>
      <w:hyperlink r:id="rId10" w:history="1">
        <w:r w:rsidR="00B66BDC" w:rsidRPr="00031976">
          <w:rPr>
            <w:rStyle w:val="Hyperlink"/>
            <w:rFonts w:ascii="Arial" w:hAnsi="Arial" w:cs="Arial"/>
            <w:sz w:val="22"/>
            <w:szCs w:val="22"/>
          </w:rPr>
          <w:t>https://doi.org/10.1186/1471-2458-14-530</w:t>
        </w:r>
      </w:hyperlink>
      <w:r w:rsidR="00B66BDC">
        <w:rPr>
          <w:rFonts w:ascii="Arial" w:hAnsi="Arial" w:cs="Arial"/>
          <w:sz w:val="22"/>
          <w:szCs w:val="22"/>
        </w:rPr>
        <w:t xml:space="preserve">. </w:t>
      </w:r>
    </w:p>
    <w:sectPr w:rsidR="002D4979" w:rsidRPr="002D4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2ACB"/>
    <w:multiLevelType w:val="multilevel"/>
    <w:tmpl w:val="DA96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01746"/>
    <w:multiLevelType w:val="multilevel"/>
    <w:tmpl w:val="10D2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73A5A"/>
    <w:multiLevelType w:val="multilevel"/>
    <w:tmpl w:val="A5C4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C548C"/>
    <w:multiLevelType w:val="multilevel"/>
    <w:tmpl w:val="A1AA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E470A6"/>
    <w:multiLevelType w:val="multilevel"/>
    <w:tmpl w:val="C428A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87AE7"/>
    <w:multiLevelType w:val="hybridMultilevel"/>
    <w:tmpl w:val="94A0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6205514">
    <w:abstractNumId w:val="3"/>
  </w:num>
  <w:num w:numId="2" w16cid:durableId="1486580042">
    <w:abstractNumId w:val="4"/>
  </w:num>
  <w:num w:numId="3" w16cid:durableId="1715881496">
    <w:abstractNumId w:val="1"/>
  </w:num>
  <w:num w:numId="4" w16cid:durableId="19287226">
    <w:abstractNumId w:val="0"/>
  </w:num>
  <w:num w:numId="5" w16cid:durableId="695697259">
    <w:abstractNumId w:val="2"/>
  </w:num>
  <w:num w:numId="6" w16cid:durableId="958948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63"/>
    <w:rsid w:val="000363C5"/>
    <w:rsid w:val="000B743B"/>
    <w:rsid w:val="000D0AEA"/>
    <w:rsid w:val="0012006A"/>
    <w:rsid w:val="001246C7"/>
    <w:rsid w:val="00150FCA"/>
    <w:rsid w:val="00167162"/>
    <w:rsid w:val="001B79E9"/>
    <w:rsid w:val="001D7196"/>
    <w:rsid w:val="001E47A8"/>
    <w:rsid w:val="001E66E0"/>
    <w:rsid w:val="00263C5C"/>
    <w:rsid w:val="002A5235"/>
    <w:rsid w:val="002D4979"/>
    <w:rsid w:val="002F116D"/>
    <w:rsid w:val="002F6A6A"/>
    <w:rsid w:val="003164C6"/>
    <w:rsid w:val="00332642"/>
    <w:rsid w:val="00340028"/>
    <w:rsid w:val="00344A2B"/>
    <w:rsid w:val="00344EF0"/>
    <w:rsid w:val="00355335"/>
    <w:rsid w:val="003663C4"/>
    <w:rsid w:val="00370568"/>
    <w:rsid w:val="00392799"/>
    <w:rsid w:val="003B6D51"/>
    <w:rsid w:val="00437888"/>
    <w:rsid w:val="00442479"/>
    <w:rsid w:val="00461624"/>
    <w:rsid w:val="00477E1F"/>
    <w:rsid w:val="00523D7C"/>
    <w:rsid w:val="00542AEC"/>
    <w:rsid w:val="005B4DCF"/>
    <w:rsid w:val="005D707C"/>
    <w:rsid w:val="005D74BD"/>
    <w:rsid w:val="005E10FD"/>
    <w:rsid w:val="005F213F"/>
    <w:rsid w:val="0061244E"/>
    <w:rsid w:val="00633DA1"/>
    <w:rsid w:val="006B7D38"/>
    <w:rsid w:val="007229CD"/>
    <w:rsid w:val="00762903"/>
    <w:rsid w:val="007B0349"/>
    <w:rsid w:val="007B3620"/>
    <w:rsid w:val="007D250B"/>
    <w:rsid w:val="007E57FE"/>
    <w:rsid w:val="007F4686"/>
    <w:rsid w:val="00801EAA"/>
    <w:rsid w:val="00804503"/>
    <w:rsid w:val="00811CDB"/>
    <w:rsid w:val="00847C2F"/>
    <w:rsid w:val="00855487"/>
    <w:rsid w:val="008923EF"/>
    <w:rsid w:val="009A1DD2"/>
    <w:rsid w:val="009B14D7"/>
    <w:rsid w:val="009B4AAD"/>
    <w:rsid w:val="009D45F2"/>
    <w:rsid w:val="009F1E15"/>
    <w:rsid w:val="00A07A84"/>
    <w:rsid w:val="00A61349"/>
    <w:rsid w:val="00A67CC6"/>
    <w:rsid w:val="00A94B54"/>
    <w:rsid w:val="00AD6BBD"/>
    <w:rsid w:val="00AE789F"/>
    <w:rsid w:val="00B4097F"/>
    <w:rsid w:val="00B53AA7"/>
    <w:rsid w:val="00B53BE2"/>
    <w:rsid w:val="00B66BDC"/>
    <w:rsid w:val="00BE4882"/>
    <w:rsid w:val="00C31531"/>
    <w:rsid w:val="00C42A9A"/>
    <w:rsid w:val="00C431DE"/>
    <w:rsid w:val="00C81ED9"/>
    <w:rsid w:val="00CA3D8C"/>
    <w:rsid w:val="00CA45CB"/>
    <w:rsid w:val="00CB515A"/>
    <w:rsid w:val="00CC4B79"/>
    <w:rsid w:val="00CF09F2"/>
    <w:rsid w:val="00D7176A"/>
    <w:rsid w:val="00D95A10"/>
    <w:rsid w:val="00DA121E"/>
    <w:rsid w:val="00DD0A55"/>
    <w:rsid w:val="00E018DF"/>
    <w:rsid w:val="00E30985"/>
    <w:rsid w:val="00E61D37"/>
    <w:rsid w:val="00E947F1"/>
    <w:rsid w:val="00ED6577"/>
    <w:rsid w:val="00F154D5"/>
    <w:rsid w:val="00F26663"/>
    <w:rsid w:val="00F31064"/>
    <w:rsid w:val="00F5211D"/>
    <w:rsid w:val="00F9066D"/>
    <w:rsid w:val="00FB6C67"/>
    <w:rsid w:val="00FC065E"/>
    <w:rsid w:val="00FE785F"/>
    <w:rsid w:val="0F0CE0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9250F"/>
  <w15:chartTrackingRefBased/>
  <w15:docId w15:val="{2D48ECEE-1007-904F-9C21-346F0EA29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663"/>
    <w:pPr>
      <w:spacing w:line="360" w:lineRule="auto"/>
    </w:pPr>
    <w:rPr>
      <w:rFonts w:asciiTheme="minorBidi" w:hAnsiTheme="minorBidi"/>
      <w:sz w:val="22"/>
    </w:rPr>
  </w:style>
  <w:style w:type="paragraph" w:styleId="Heading1">
    <w:name w:val="heading 1"/>
    <w:basedOn w:val="Normal"/>
    <w:next w:val="Normal"/>
    <w:link w:val="Heading1Char"/>
    <w:uiPriority w:val="9"/>
    <w:qFormat/>
    <w:rsid w:val="00F26663"/>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F26663"/>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F2666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666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66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66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666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666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663"/>
    <w:rPr>
      <w:rFonts w:asciiTheme="minorBidi" w:eastAsiaTheme="majorEastAsia" w:hAnsiTheme="minorBidi" w:cstheme="majorBidi"/>
      <w:b/>
      <w:color w:val="0F4761" w:themeColor="accent1" w:themeShade="BF"/>
      <w:sz w:val="32"/>
      <w:szCs w:val="40"/>
    </w:rPr>
  </w:style>
  <w:style w:type="character" w:customStyle="1" w:styleId="Heading2Char">
    <w:name w:val="Heading 2 Char"/>
    <w:basedOn w:val="DefaultParagraphFont"/>
    <w:link w:val="Heading2"/>
    <w:uiPriority w:val="9"/>
    <w:rsid w:val="00F26663"/>
    <w:rPr>
      <w:rFonts w:asciiTheme="minorBidi" w:eastAsiaTheme="majorEastAsia" w:hAnsiTheme="minorBidi" w:cstheme="majorBidi"/>
      <w:b/>
      <w:color w:val="0F4761" w:themeColor="accent1" w:themeShade="BF"/>
      <w:sz w:val="28"/>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F26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663"/>
    <w:rPr>
      <w:rFonts w:eastAsiaTheme="majorEastAsia" w:cstheme="majorBidi"/>
      <w:color w:val="272727" w:themeColor="text1" w:themeTint="D8"/>
    </w:rPr>
  </w:style>
  <w:style w:type="paragraph" w:styleId="Title">
    <w:name w:val="Title"/>
    <w:basedOn w:val="Normal"/>
    <w:next w:val="Normal"/>
    <w:link w:val="TitleChar"/>
    <w:uiPriority w:val="10"/>
    <w:qFormat/>
    <w:rsid w:val="00F26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66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663"/>
    <w:pPr>
      <w:spacing w:before="160"/>
      <w:jc w:val="center"/>
    </w:pPr>
    <w:rPr>
      <w:i/>
      <w:iCs/>
      <w:color w:val="404040" w:themeColor="text1" w:themeTint="BF"/>
    </w:rPr>
  </w:style>
  <w:style w:type="character" w:customStyle="1" w:styleId="QuoteChar">
    <w:name w:val="Quote Char"/>
    <w:basedOn w:val="DefaultParagraphFont"/>
    <w:link w:val="Quote"/>
    <w:uiPriority w:val="29"/>
    <w:rsid w:val="00F26663"/>
    <w:rPr>
      <w:rFonts w:asciiTheme="majorBidi" w:hAnsiTheme="majorBidi"/>
      <w:i/>
      <w:iCs/>
      <w:color w:val="404040" w:themeColor="text1" w:themeTint="BF"/>
    </w:rPr>
  </w:style>
  <w:style w:type="paragraph" w:styleId="ListParagraph">
    <w:name w:val="List Paragraph"/>
    <w:basedOn w:val="Normal"/>
    <w:uiPriority w:val="34"/>
    <w:qFormat/>
    <w:rsid w:val="00F26663"/>
    <w:pPr>
      <w:ind w:left="720"/>
      <w:contextualSpacing/>
    </w:pPr>
  </w:style>
  <w:style w:type="character" w:styleId="IntenseEmphasis">
    <w:name w:val="Intense Emphasis"/>
    <w:basedOn w:val="DefaultParagraphFont"/>
    <w:uiPriority w:val="21"/>
    <w:qFormat/>
    <w:rsid w:val="00F26663"/>
    <w:rPr>
      <w:i/>
      <w:iCs/>
      <w:color w:val="0F4761" w:themeColor="accent1" w:themeShade="BF"/>
    </w:rPr>
  </w:style>
  <w:style w:type="paragraph" w:styleId="IntenseQuote">
    <w:name w:val="Intense Quote"/>
    <w:basedOn w:val="Normal"/>
    <w:next w:val="Normal"/>
    <w:link w:val="IntenseQuoteChar"/>
    <w:uiPriority w:val="30"/>
    <w:qFormat/>
    <w:rsid w:val="00F26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663"/>
    <w:rPr>
      <w:rFonts w:asciiTheme="majorBidi" w:hAnsiTheme="majorBidi"/>
      <w:i/>
      <w:iCs/>
      <w:color w:val="0F4761" w:themeColor="accent1" w:themeShade="BF"/>
    </w:rPr>
  </w:style>
  <w:style w:type="character" w:styleId="IntenseReference">
    <w:name w:val="Intense Reference"/>
    <w:basedOn w:val="DefaultParagraphFont"/>
    <w:uiPriority w:val="32"/>
    <w:qFormat/>
    <w:rsid w:val="00F26663"/>
    <w:rPr>
      <w:b/>
      <w:bCs/>
      <w:smallCaps/>
      <w:color w:val="0F4761" w:themeColor="accent1" w:themeShade="BF"/>
      <w:spacing w:val="5"/>
    </w:rPr>
  </w:style>
  <w:style w:type="paragraph" w:styleId="NormalWeb">
    <w:name w:val="Normal (Web)"/>
    <w:basedOn w:val="Normal"/>
    <w:uiPriority w:val="99"/>
    <w:unhideWhenUsed/>
    <w:rsid w:val="00B53AA7"/>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Strong">
    <w:name w:val="Strong"/>
    <w:basedOn w:val="DefaultParagraphFont"/>
    <w:uiPriority w:val="22"/>
    <w:qFormat/>
    <w:rsid w:val="00B53AA7"/>
    <w:rPr>
      <w:b/>
      <w:bCs/>
    </w:rPr>
  </w:style>
  <w:style w:type="paragraph" w:styleId="z-TopofForm">
    <w:name w:val="HTML Top of Form"/>
    <w:basedOn w:val="Normal"/>
    <w:next w:val="Normal"/>
    <w:link w:val="z-TopofFormChar"/>
    <w:hidden/>
    <w:uiPriority w:val="99"/>
    <w:semiHidden/>
    <w:unhideWhenUsed/>
    <w:rsid w:val="00B53AA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53AA7"/>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B53AA7"/>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customStyle="1" w:styleId="max-w-40">
    <w:name w:val="max-w-40"/>
    <w:basedOn w:val="DefaultParagraphFont"/>
    <w:rsid w:val="00B53AA7"/>
  </w:style>
  <w:style w:type="paragraph" w:styleId="z-BottomofForm">
    <w:name w:val="HTML Bottom of Form"/>
    <w:basedOn w:val="Normal"/>
    <w:next w:val="Normal"/>
    <w:link w:val="z-BottomofFormChar"/>
    <w:hidden/>
    <w:uiPriority w:val="99"/>
    <w:semiHidden/>
    <w:unhideWhenUsed/>
    <w:rsid w:val="00B53AA7"/>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B53AA7"/>
    <w:rPr>
      <w:rFonts w:ascii="Arial" w:eastAsia="Times New Roman" w:hAnsi="Arial" w:cs="Arial"/>
      <w:vanish/>
      <w:kern w:val="0"/>
      <w:sz w:val="16"/>
      <w:szCs w:val="16"/>
      <w:lang w:eastAsia="en-GB"/>
      <w14:ligatures w14:val="none"/>
    </w:rPr>
  </w:style>
  <w:style w:type="table" w:styleId="TableGrid">
    <w:name w:val="Table Grid"/>
    <w:basedOn w:val="TableNormal"/>
    <w:uiPriority w:val="39"/>
    <w:rsid w:val="00316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006A"/>
    <w:rPr>
      <w:color w:val="467886" w:themeColor="hyperlink"/>
      <w:u w:val="single"/>
    </w:rPr>
  </w:style>
  <w:style w:type="character" w:styleId="UnresolvedMention">
    <w:name w:val="Unresolved Mention"/>
    <w:basedOn w:val="DefaultParagraphFont"/>
    <w:uiPriority w:val="99"/>
    <w:semiHidden/>
    <w:unhideWhenUsed/>
    <w:rsid w:val="00120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ubh.2020.00231" TargetMode="External"/><Relationship Id="rId3" Type="http://schemas.openxmlformats.org/officeDocument/2006/relationships/settings" Target="settings.xml"/><Relationship Id="rId7" Type="http://schemas.openxmlformats.org/officeDocument/2006/relationships/hyperlink" Target="https://doi.org/10.1016/j.jss.2020.1107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11/jrh.12335" TargetMode="External"/><Relationship Id="rId11" Type="http://schemas.openxmlformats.org/officeDocument/2006/relationships/fontTable" Target="fontTable.xml"/><Relationship Id="rId5" Type="http://schemas.openxmlformats.org/officeDocument/2006/relationships/hyperlink" Target="https://doi.org/10.3402/qhw.v9.26152" TargetMode="External"/><Relationship Id="rId10" Type="http://schemas.openxmlformats.org/officeDocument/2006/relationships/hyperlink" Target="https://doi.org/10.1186/1471-2458-14-530" TargetMode="External"/><Relationship Id="rId4" Type="http://schemas.openxmlformats.org/officeDocument/2006/relationships/webSettings" Target="webSettings.xml"/><Relationship Id="rId9" Type="http://schemas.openxmlformats.org/officeDocument/2006/relationships/hyperlink" Target="https://doi.org/10.1177/2235042x198934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790</Words>
  <Characters>5307</Characters>
  <Application>Microsoft Office Word</Application>
  <DocSecurity>0</DocSecurity>
  <Lines>129</Lines>
  <Paragraphs>65</Paragraphs>
  <ScaleCrop>false</ScaleCrop>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Saireen Mahmood (2238897)</cp:lastModifiedBy>
  <cp:revision>2</cp:revision>
  <dcterms:created xsi:type="dcterms:W3CDTF">2025-10-01T18:43:00Z</dcterms:created>
  <dcterms:modified xsi:type="dcterms:W3CDTF">2025-10-01T18:43:00Z</dcterms:modified>
</cp:coreProperties>
</file>