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3D89D" w14:textId="687C097C" w:rsidR="00B54F38" w:rsidRDefault="6642473C" w:rsidP="0BBEACF1">
      <w:pPr>
        <w:spacing w:line="360" w:lineRule="auto"/>
        <w:jc w:val="center"/>
        <w:rPr>
          <w:b/>
          <w:bCs/>
          <w:sz w:val="28"/>
          <w:szCs w:val="28"/>
        </w:rPr>
      </w:pPr>
      <w:r w:rsidRPr="0BBEACF1">
        <w:rPr>
          <w:b/>
          <w:bCs/>
          <w:sz w:val="28"/>
          <w:szCs w:val="28"/>
        </w:rPr>
        <w:t>CERI ANN HOPKINS - 2431376</w:t>
      </w:r>
    </w:p>
    <w:p w14:paraId="60A013D9" w14:textId="4A9D616D" w:rsidR="00B54F38" w:rsidRDefault="54733701" w:rsidP="0BBEACF1">
      <w:pPr>
        <w:spacing w:line="360" w:lineRule="auto"/>
        <w:jc w:val="center"/>
        <w:rPr>
          <w:b/>
          <w:bCs/>
          <w:sz w:val="28"/>
          <w:szCs w:val="28"/>
        </w:rPr>
      </w:pPr>
      <w:r w:rsidRPr="0BBEACF1">
        <w:rPr>
          <w:b/>
          <w:bCs/>
          <w:sz w:val="28"/>
          <w:szCs w:val="28"/>
        </w:rPr>
        <w:t>WORK BASED LEARNING PROJECT APRIL 2026</w:t>
      </w:r>
    </w:p>
    <w:p w14:paraId="67D1A9FD" w14:textId="057AE32F" w:rsidR="00B54F38" w:rsidRDefault="00B54F38" w:rsidP="48DEEA0B">
      <w:pPr>
        <w:spacing w:line="360" w:lineRule="auto"/>
        <w:jc w:val="center"/>
        <w:rPr>
          <w:sz w:val="22"/>
          <w:szCs w:val="22"/>
        </w:rPr>
      </w:pPr>
    </w:p>
    <w:p w14:paraId="5AD12E4E" w14:textId="59F3424B" w:rsidR="00B54F38" w:rsidRDefault="00B54F38" w:rsidP="48DEEA0B">
      <w:pPr>
        <w:spacing w:line="360" w:lineRule="auto"/>
        <w:jc w:val="center"/>
        <w:rPr>
          <w:sz w:val="22"/>
          <w:szCs w:val="22"/>
        </w:rPr>
      </w:pPr>
    </w:p>
    <w:p w14:paraId="2D93BC04" w14:textId="1688291A" w:rsidR="00B54F38" w:rsidRDefault="00B54F38" w:rsidP="0BBEACF1">
      <w:pPr>
        <w:spacing w:line="360" w:lineRule="auto"/>
        <w:jc w:val="center"/>
        <w:rPr>
          <w:b/>
          <w:bCs/>
          <w:sz w:val="40"/>
          <w:szCs w:val="40"/>
        </w:rPr>
      </w:pPr>
    </w:p>
    <w:p w14:paraId="5DFF5FF1" w14:textId="7E3BF216" w:rsidR="003A732E" w:rsidRDefault="02B430C8" w:rsidP="0BBEACF1">
      <w:pPr>
        <w:spacing w:line="360" w:lineRule="auto"/>
        <w:jc w:val="center"/>
        <w:rPr>
          <w:b/>
          <w:bCs/>
          <w:sz w:val="40"/>
          <w:szCs w:val="40"/>
        </w:rPr>
      </w:pPr>
      <w:r w:rsidRPr="0BBEACF1">
        <w:rPr>
          <w:b/>
          <w:bCs/>
          <w:sz w:val="40"/>
          <w:szCs w:val="40"/>
        </w:rPr>
        <w:t>Does the establishment of an outdoor based</w:t>
      </w:r>
      <w:r w:rsidR="2B827F8C" w:rsidRPr="0BBEACF1">
        <w:rPr>
          <w:b/>
          <w:bCs/>
          <w:sz w:val="40"/>
          <w:szCs w:val="40"/>
        </w:rPr>
        <w:t xml:space="preserve"> wellbeing</w:t>
      </w:r>
      <w:r w:rsidRPr="0BBEACF1">
        <w:rPr>
          <w:b/>
          <w:bCs/>
          <w:sz w:val="40"/>
          <w:szCs w:val="40"/>
        </w:rPr>
        <w:t xml:space="preserve"> community have a positive impact on the mental and emotional wellbeing of staff in a special scho</w:t>
      </w:r>
      <w:r w:rsidR="421CB9B9" w:rsidRPr="0BBEACF1">
        <w:rPr>
          <w:b/>
          <w:bCs/>
          <w:sz w:val="40"/>
          <w:szCs w:val="40"/>
        </w:rPr>
        <w:t>ol?</w:t>
      </w:r>
    </w:p>
    <w:p w14:paraId="68A95541" w14:textId="0A37A951" w:rsidR="70B7F7BB" w:rsidRDefault="70B7F7BB" w:rsidP="70B7F7BB">
      <w:pPr>
        <w:spacing w:line="360" w:lineRule="auto"/>
        <w:jc w:val="center"/>
        <w:rPr>
          <w:sz w:val="22"/>
          <w:szCs w:val="22"/>
        </w:rPr>
      </w:pPr>
    </w:p>
    <w:p w14:paraId="48725907" w14:textId="1339BCD1" w:rsidR="70B7F7BB" w:rsidRDefault="70B7F7BB" w:rsidP="70B7F7BB">
      <w:pPr>
        <w:spacing w:line="360" w:lineRule="auto"/>
        <w:jc w:val="center"/>
        <w:rPr>
          <w:sz w:val="22"/>
          <w:szCs w:val="22"/>
        </w:rPr>
      </w:pPr>
    </w:p>
    <w:p w14:paraId="23E152DB" w14:textId="69D55BF3" w:rsidR="70B7F7BB" w:rsidRDefault="70B7F7BB" w:rsidP="70B7F7BB">
      <w:pPr>
        <w:spacing w:line="360" w:lineRule="auto"/>
        <w:jc w:val="center"/>
        <w:rPr>
          <w:sz w:val="22"/>
          <w:szCs w:val="22"/>
        </w:rPr>
      </w:pPr>
    </w:p>
    <w:p w14:paraId="20743751" w14:textId="4AE6A79F" w:rsidR="70B7F7BB" w:rsidRDefault="70B7F7BB" w:rsidP="70B7F7BB">
      <w:pPr>
        <w:spacing w:line="360" w:lineRule="auto"/>
        <w:jc w:val="center"/>
        <w:rPr>
          <w:sz w:val="22"/>
          <w:szCs w:val="22"/>
        </w:rPr>
      </w:pPr>
    </w:p>
    <w:p w14:paraId="0F79F847" w14:textId="13F11C76" w:rsidR="70B7F7BB" w:rsidRDefault="70B7F7BB" w:rsidP="70B7F7BB">
      <w:pPr>
        <w:spacing w:line="360" w:lineRule="auto"/>
        <w:jc w:val="center"/>
        <w:rPr>
          <w:sz w:val="22"/>
          <w:szCs w:val="22"/>
        </w:rPr>
      </w:pPr>
    </w:p>
    <w:p w14:paraId="0F1787D6" w14:textId="53801D26" w:rsidR="70B7F7BB" w:rsidRDefault="70B7F7BB" w:rsidP="70B7F7BB">
      <w:pPr>
        <w:spacing w:line="360" w:lineRule="auto"/>
        <w:jc w:val="center"/>
        <w:rPr>
          <w:sz w:val="22"/>
          <w:szCs w:val="22"/>
        </w:rPr>
      </w:pPr>
    </w:p>
    <w:p w14:paraId="387C2993" w14:textId="08E0C1A2" w:rsidR="70B7F7BB" w:rsidRDefault="70B7F7BB" w:rsidP="70B7F7BB">
      <w:pPr>
        <w:spacing w:line="360" w:lineRule="auto"/>
        <w:jc w:val="center"/>
        <w:rPr>
          <w:sz w:val="22"/>
          <w:szCs w:val="22"/>
        </w:rPr>
      </w:pPr>
    </w:p>
    <w:p w14:paraId="0BF9621F" w14:textId="0D07C5DF" w:rsidR="70B7F7BB" w:rsidRDefault="70B7F7BB" w:rsidP="70B7F7BB">
      <w:pPr>
        <w:spacing w:line="360" w:lineRule="auto"/>
        <w:jc w:val="center"/>
        <w:rPr>
          <w:sz w:val="22"/>
          <w:szCs w:val="22"/>
        </w:rPr>
      </w:pPr>
    </w:p>
    <w:p w14:paraId="52DFD581" w14:textId="08D83124" w:rsidR="70B7F7BB" w:rsidRDefault="70B7F7BB" w:rsidP="70B7F7BB">
      <w:pPr>
        <w:spacing w:line="360" w:lineRule="auto"/>
        <w:jc w:val="center"/>
        <w:rPr>
          <w:sz w:val="22"/>
          <w:szCs w:val="22"/>
        </w:rPr>
      </w:pPr>
    </w:p>
    <w:p w14:paraId="0B20A5CA" w14:textId="467AC641" w:rsidR="70B7F7BB" w:rsidRDefault="70B7F7BB" w:rsidP="70B7F7BB">
      <w:pPr>
        <w:spacing w:line="360" w:lineRule="auto"/>
        <w:jc w:val="center"/>
        <w:rPr>
          <w:sz w:val="22"/>
          <w:szCs w:val="22"/>
        </w:rPr>
      </w:pPr>
    </w:p>
    <w:p w14:paraId="1674A32A" w14:textId="0B627C34" w:rsidR="70B7F7BB" w:rsidRDefault="70B7F7BB" w:rsidP="70B7F7BB">
      <w:pPr>
        <w:spacing w:line="360" w:lineRule="auto"/>
        <w:jc w:val="center"/>
        <w:rPr>
          <w:sz w:val="22"/>
          <w:szCs w:val="22"/>
        </w:rPr>
      </w:pPr>
    </w:p>
    <w:p w14:paraId="45B33815" w14:textId="0D87EC49" w:rsidR="70B7F7BB" w:rsidRDefault="70B7F7BB" w:rsidP="70B7F7BB">
      <w:pPr>
        <w:spacing w:line="360" w:lineRule="auto"/>
        <w:jc w:val="center"/>
        <w:rPr>
          <w:sz w:val="22"/>
          <w:szCs w:val="22"/>
        </w:rPr>
      </w:pPr>
    </w:p>
    <w:p w14:paraId="5BE4BF44" w14:textId="3F1BE290" w:rsidR="70B7F7BB" w:rsidRDefault="70B7F7BB" w:rsidP="70B7F7BB">
      <w:pPr>
        <w:spacing w:line="360" w:lineRule="auto"/>
        <w:jc w:val="center"/>
        <w:rPr>
          <w:sz w:val="22"/>
          <w:szCs w:val="22"/>
        </w:rPr>
      </w:pPr>
    </w:p>
    <w:p w14:paraId="57E59BB9" w14:textId="7E7AB5C2" w:rsidR="70B7F7BB" w:rsidRDefault="70B7F7BB" w:rsidP="70B7F7BB">
      <w:pPr>
        <w:spacing w:line="360" w:lineRule="auto"/>
        <w:jc w:val="center"/>
        <w:rPr>
          <w:sz w:val="22"/>
          <w:szCs w:val="22"/>
        </w:rPr>
      </w:pPr>
    </w:p>
    <w:p w14:paraId="7ADB2BE2" w14:textId="0B858888" w:rsidR="70B7F7BB" w:rsidRDefault="70B7F7BB" w:rsidP="70B7F7BB">
      <w:pPr>
        <w:spacing w:line="360" w:lineRule="auto"/>
        <w:jc w:val="center"/>
        <w:rPr>
          <w:sz w:val="22"/>
          <w:szCs w:val="22"/>
        </w:rPr>
      </w:pPr>
    </w:p>
    <w:p w14:paraId="2479620E" w14:textId="4BE4B151" w:rsidR="70B7F7BB" w:rsidRDefault="70B7F7BB" w:rsidP="70B7F7BB">
      <w:pPr>
        <w:spacing w:line="360" w:lineRule="auto"/>
        <w:jc w:val="center"/>
        <w:rPr>
          <w:sz w:val="22"/>
          <w:szCs w:val="22"/>
        </w:rPr>
      </w:pPr>
    </w:p>
    <w:p w14:paraId="48194F97" w14:textId="18F5AFCF" w:rsidR="6900AF6C" w:rsidRDefault="34355F90" w:rsidP="70B7F7BB">
      <w:pPr>
        <w:spacing w:line="360" w:lineRule="auto"/>
        <w:rPr>
          <w:b/>
          <w:bCs/>
          <w:sz w:val="22"/>
          <w:szCs w:val="22"/>
          <w:u w:val="single"/>
        </w:rPr>
      </w:pPr>
      <w:r w:rsidRPr="5ECF1BC0">
        <w:rPr>
          <w:b/>
          <w:bCs/>
          <w:sz w:val="22"/>
          <w:szCs w:val="22"/>
          <w:u w:val="single"/>
        </w:rPr>
        <w:t>CONTENTS</w:t>
      </w:r>
    </w:p>
    <w:p w14:paraId="2541859C" w14:textId="719D7E3A"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 xml:space="preserve">Abbreviations list </w:t>
      </w:r>
    </w:p>
    <w:p w14:paraId="66A50B5D" w14:textId="6C3F873E"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Project proposal</w:t>
      </w:r>
    </w:p>
    <w:p w14:paraId="38890244" w14:textId="10B018FD"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 xml:space="preserve">Introduction </w:t>
      </w:r>
    </w:p>
    <w:p w14:paraId="0D4E5822" w14:textId="084FF25B"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 xml:space="preserve">Literature Review </w:t>
      </w:r>
    </w:p>
    <w:p w14:paraId="6E08DADC" w14:textId="4007A50C"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 xml:space="preserve">Methods </w:t>
      </w:r>
    </w:p>
    <w:p w14:paraId="320F6DFB" w14:textId="3D69C790"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 xml:space="preserve">Findings </w:t>
      </w:r>
      <w:r w:rsidR="4FA985AE" w:rsidRPr="0BBEACF1">
        <w:rPr>
          <w:color w:val="000000" w:themeColor="text1"/>
          <w:sz w:val="22"/>
          <w:szCs w:val="22"/>
        </w:rPr>
        <w:t>for:</w:t>
      </w:r>
    </w:p>
    <w:p w14:paraId="7A57A597" w14:textId="10F44874" w:rsidR="70B7F7BB" w:rsidRDefault="4FA985AE" w:rsidP="0BBEACF1">
      <w:pPr>
        <w:spacing w:line="360" w:lineRule="auto"/>
        <w:ind w:left="720"/>
        <w:rPr>
          <w:color w:val="000000" w:themeColor="text1"/>
          <w:sz w:val="22"/>
          <w:szCs w:val="22"/>
        </w:rPr>
      </w:pPr>
      <w:r w:rsidRPr="0BBEACF1">
        <w:rPr>
          <w:color w:val="000000" w:themeColor="text1"/>
          <w:sz w:val="22"/>
          <w:szCs w:val="22"/>
        </w:rPr>
        <w:t xml:space="preserve">A. Study One – </w:t>
      </w:r>
      <w:r w:rsidR="0B1C315D" w:rsidRPr="0BBEACF1">
        <w:rPr>
          <w:color w:val="000000" w:themeColor="text1"/>
          <w:sz w:val="22"/>
          <w:szCs w:val="22"/>
        </w:rPr>
        <w:t>Wellbeing, Stress and Resilience -</w:t>
      </w:r>
      <w:r w:rsidRPr="0BBEACF1">
        <w:rPr>
          <w:color w:val="000000" w:themeColor="text1"/>
          <w:sz w:val="22"/>
          <w:szCs w:val="22"/>
        </w:rPr>
        <w:t>PSS and NR-6 scores</w:t>
      </w:r>
    </w:p>
    <w:p w14:paraId="749421AF" w14:textId="4BBB68BF" w:rsidR="70B7F7BB" w:rsidRDefault="4FA985AE" w:rsidP="0BBEACF1">
      <w:pPr>
        <w:spacing w:line="360" w:lineRule="auto"/>
        <w:ind w:left="720"/>
        <w:rPr>
          <w:color w:val="000000" w:themeColor="text1"/>
          <w:sz w:val="22"/>
          <w:szCs w:val="22"/>
        </w:rPr>
      </w:pPr>
      <w:r w:rsidRPr="0BBEACF1">
        <w:rPr>
          <w:color w:val="000000" w:themeColor="text1"/>
          <w:sz w:val="22"/>
          <w:szCs w:val="22"/>
        </w:rPr>
        <w:t>B. Study Two -Special School Staff</w:t>
      </w:r>
      <w:r w:rsidR="4D2FDC51" w:rsidRPr="0BBEACF1">
        <w:rPr>
          <w:color w:val="000000" w:themeColor="text1"/>
          <w:sz w:val="22"/>
          <w:szCs w:val="22"/>
        </w:rPr>
        <w:t xml:space="preserve"> Wellbeing</w:t>
      </w:r>
      <w:r w:rsidRPr="0BBEACF1">
        <w:rPr>
          <w:color w:val="000000" w:themeColor="text1"/>
          <w:sz w:val="22"/>
          <w:szCs w:val="22"/>
        </w:rPr>
        <w:t xml:space="preserve"> Questionnaire</w:t>
      </w:r>
    </w:p>
    <w:p w14:paraId="40C48F20" w14:textId="777B3956" w:rsidR="70B7F7BB" w:rsidRDefault="4FA985AE" w:rsidP="0BBEACF1">
      <w:pPr>
        <w:spacing w:line="360" w:lineRule="auto"/>
        <w:ind w:left="720"/>
        <w:rPr>
          <w:color w:val="000000" w:themeColor="text1"/>
          <w:sz w:val="22"/>
          <w:szCs w:val="22"/>
        </w:rPr>
      </w:pPr>
      <w:r w:rsidRPr="0BBEACF1">
        <w:rPr>
          <w:color w:val="000000" w:themeColor="text1"/>
          <w:sz w:val="22"/>
          <w:szCs w:val="22"/>
        </w:rPr>
        <w:t>C. Study Three – Semi-Structured Interviews</w:t>
      </w:r>
    </w:p>
    <w:p w14:paraId="4CA068E8" w14:textId="41E4E31B" w:rsidR="70B7F7BB" w:rsidRDefault="4FA985AE" w:rsidP="0BBEACF1">
      <w:pPr>
        <w:spacing w:line="360" w:lineRule="auto"/>
        <w:ind w:left="720"/>
        <w:rPr>
          <w:color w:val="000000" w:themeColor="text1"/>
          <w:sz w:val="22"/>
          <w:szCs w:val="22"/>
        </w:rPr>
      </w:pPr>
      <w:r w:rsidRPr="0BBEACF1">
        <w:rPr>
          <w:color w:val="000000" w:themeColor="text1"/>
          <w:sz w:val="22"/>
          <w:szCs w:val="22"/>
        </w:rPr>
        <w:t>D. Study Four – Winter Wellbeing Questionnaire</w:t>
      </w:r>
    </w:p>
    <w:p w14:paraId="3997984D" w14:textId="27473656" w:rsidR="70B7F7BB" w:rsidRDefault="4FA985AE" w:rsidP="0BBEACF1">
      <w:pPr>
        <w:spacing w:line="360" w:lineRule="auto"/>
        <w:ind w:left="720"/>
        <w:rPr>
          <w:color w:val="000000" w:themeColor="text1"/>
          <w:sz w:val="22"/>
          <w:szCs w:val="22"/>
        </w:rPr>
      </w:pPr>
      <w:r w:rsidRPr="0BBEACF1">
        <w:rPr>
          <w:color w:val="000000" w:themeColor="text1"/>
          <w:sz w:val="22"/>
          <w:szCs w:val="22"/>
        </w:rPr>
        <w:t>E.  Study Five and Study Six</w:t>
      </w:r>
      <w:r w:rsidR="6A469529" w:rsidRPr="0BBEACF1">
        <w:rPr>
          <w:color w:val="000000" w:themeColor="text1"/>
          <w:sz w:val="22"/>
          <w:szCs w:val="22"/>
        </w:rPr>
        <w:t xml:space="preserve"> – Weekly Wellbeing Walks and Post Study Questionnaires</w:t>
      </w:r>
      <w:r w:rsidR="7960CE09" w:rsidRPr="0BBEACF1">
        <w:rPr>
          <w:color w:val="000000" w:themeColor="text1"/>
          <w:sz w:val="22"/>
          <w:szCs w:val="22"/>
        </w:rPr>
        <w:t xml:space="preserve"> – An Integrated Narrative </w:t>
      </w:r>
    </w:p>
    <w:p w14:paraId="3DE5C498" w14:textId="132CCAF5"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Conclusions and Recommndations</w:t>
      </w:r>
    </w:p>
    <w:p w14:paraId="0665BB22" w14:textId="6C8E53F2"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 xml:space="preserve">Reference list </w:t>
      </w:r>
    </w:p>
    <w:p w14:paraId="5F72DF68" w14:textId="0281E626" w:rsidR="70B7F7BB" w:rsidRDefault="411FAF2F" w:rsidP="0BBEACF1">
      <w:pPr>
        <w:pStyle w:val="ListParagraph"/>
        <w:numPr>
          <w:ilvl w:val="0"/>
          <w:numId w:val="18"/>
        </w:numPr>
        <w:spacing w:line="360" w:lineRule="auto"/>
        <w:rPr>
          <w:color w:val="000000" w:themeColor="text1"/>
          <w:sz w:val="22"/>
          <w:szCs w:val="22"/>
        </w:rPr>
      </w:pPr>
      <w:r w:rsidRPr="0BBEACF1">
        <w:rPr>
          <w:color w:val="000000" w:themeColor="text1"/>
          <w:sz w:val="22"/>
          <w:szCs w:val="22"/>
        </w:rPr>
        <w:t>Appendices</w:t>
      </w:r>
    </w:p>
    <w:p w14:paraId="48C1BEF8" w14:textId="381BB422" w:rsidR="70B7F7BB" w:rsidRDefault="411FAF2F" w:rsidP="0BBEACF1">
      <w:pPr>
        <w:pStyle w:val="ListParagraph"/>
        <w:numPr>
          <w:ilvl w:val="1"/>
          <w:numId w:val="18"/>
        </w:numPr>
        <w:spacing w:line="360" w:lineRule="auto"/>
        <w:rPr>
          <w:color w:val="000000" w:themeColor="text1"/>
          <w:sz w:val="22"/>
          <w:szCs w:val="22"/>
        </w:rPr>
      </w:pPr>
      <w:r w:rsidRPr="0BBEACF1">
        <w:rPr>
          <w:color w:val="000000" w:themeColor="text1"/>
          <w:sz w:val="22"/>
          <w:szCs w:val="22"/>
        </w:rPr>
        <w:t>Ethics form</w:t>
      </w:r>
    </w:p>
    <w:p w14:paraId="07369459" w14:textId="2CD49580" w:rsidR="70B7F7BB" w:rsidRDefault="411FAF2F" w:rsidP="0BBEACF1">
      <w:pPr>
        <w:pStyle w:val="ListParagraph"/>
        <w:numPr>
          <w:ilvl w:val="1"/>
          <w:numId w:val="18"/>
        </w:numPr>
        <w:spacing w:line="360" w:lineRule="auto"/>
        <w:rPr>
          <w:color w:val="000000" w:themeColor="text1"/>
          <w:sz w:val="22"/>
          <w:szCs w:val="22"/>
        </w:rPr>
      </w:pPr>
      <w:r w:rsidRPr="0BBEACF1">
        <w:rPr>
          <w:color w:val="000000" w:themeColor="text1"/>
          <w:sz w:val="22"/>
          <w:szCs w:val="22"/>
        </w:rPr>
        <w:t xml:space="preserve">Any other relevant information </w:t>
      </w:r>
    </w:p>
    <w:p w14:paraId="07BC0DE7" w14:textId="05DCE17E" w:rsidR="70B7F7BB" w:rsidRDefault="411FAF2F" w:rsidP="0BBEACF1">
      <w:pPr>
        <w:pStyle w:val="ListParagraph"/>
        <w:numPr>
          <w:ilvl w:val="1"/>
          <w:numId w:val="18"/>
        </w:numPr>
        <w:spacing w:line="360" w:lineRule="auto"/>
        <w:rPr>
          <w:color w:val="000000" w:themeColor="text1"/>
          <w:sz w:val="22"/>
          <w:szCs w:val="22"/>
        </w:rPr>
      </w:pPr>
      <w:r w:rsidRPr="0BBEACF1">
        <w:rPr>
          <w:color w:val="000000" w:themeColor="text1"/>
          <w:sz w:val="22"/>
          <w:szCs w:val="22"/>
        </w:rPr>
        <w:t xml:space="preserve">Employer letter of approval </w:t>
      </w:r>
    </w:p>
    <w:p w14:paraId="589BB323" w14:textId="6FECFA07" w:rsidR="70B7F7BB" w:rsidRDefault="70B7F7BB" w:rsidP="70B7F7BB">
      <w:pPr>
        <w:spacing w:line="360" w:lineRule="auto"/>
        <w:rPr>
          <w:sz w:val="22"/>
          <w:szCs w:val="22"/>
        </w:rPr>
      </w:pPr>
    </w:p>
    <w:p w14:paraId="7AEE5B66" w14:textId="4D5EB276" w:rsidR="70B7F7BB" w:rsidRDefault="70B7F7BB" w:rsidP="70B7F7BB">
      <w:pPr>
        <w:spacing w:line="360" w:lineRule="auto"/>
        <w:rPr>
          <w:sz w:val="22"/>
          <w:szCs w:val="22"/>
        </w:rPr>
      </w:pPr>
    </w:p>
    <w:p w14:paraId="0BDA15D2" w14:textId="29C716FB" w:rsidR="70B7F7BB" w:rsidRDefault="70B7F7BB" w:rsidP="70B7F7BB">
      <w:pPr>
        <w:spacing w:line="360" w:lineRule="auto"/>
        <w:rPr>
          <w:sz w:val="22"/>
          <w:szCs w:val="22"/>
        </w:rPr>
      </w:pPr>
    </w:p>
    <w:p w14:paraId="0EEA17EB" w14:textId="5241C059" w:rsidR="5ECF1BC0" w:rsidRDefault="5ECF1BC0" w:rsidP="5ECF1BC0">
      <w:pPr>
        <w:spacing w:line="360" w:lineRule="auto"/>
        <w:rPr>
          <w:sz w:val="22"/>
          <w:szCs w:val="22"/>
        </w:rPr>
      </w:pPr>
    </w:p>
    <w:p w14:paraId="5E871DC0" w14:textId="5EBD8C91" w:rsidR="70B7F7BB" w:rsidRDefault="70B7F7BB" w:rsidP="70B7F7BB">
      <w:pPr>
        <w:spacing w:line="360" w:lineRule="auto"/>
        <w:rPr>
          <w:sz w:val="22"/>
          <w:szCs w:val="22"/>
        </w:rPr>
      </w:pPr>
    </w:p>
    <w:p w14:paraId="581D19E2" w14:textId="7A5933DF" w:rsidR="70B7F7BB" w:rsidRDefault="70B7F7BB" w:rsidP="70B7F7BB">
      <w:pPr>
        <w:spacing w:line="360" w:lineRule="auto"/>
        <w:rPr>
          <w:sz w:val="22"/>
          <w:szCs w:val="22"/>
        </w:rPr>
      </w:pPr>
    </w:p>
    <w:p w14:paraId="628F4F8B" w14:textId="1DF1CE8F" w:rsidR="70B7F7BB" w:rsidRDefault="70B7F7BB" w:rsidP="70B7F7BB">
      <w:pPr>
        <w:spacing w:line="360" w:lineRule="auto"/>
        <w:rPr>
          <w:sz w:val="22"/>
          <w:szCs w:val="22"/>
        </w:rPr>
      </w:pPr>
    </w:p>
    <w:p w14:paraId="522B4658" w14:textId="59C387BE" w:rsidR="70B7F7BB" w:rsidRDefault="70B7F7BB" w:rsidP="70B7F7BB">
      <w:pPr>
        <w:spacing w:line="360" w:lineRule="auto"/>
        <w:rPr>
          <w:sz w:val="22"/>
          <w:szCs w:val="22"/>
        </w:rPr>
      </w:pPr>
    </w:p>
    <w:p w14:paraId="6F831020" w14:textId="59989892" w:rsidR="6900AF6C" w:rsidRDefault="6900AF6C" w:rsidP="0BBEACF1">
      <w:pPr>
        <w:spacing w:line="360" w:lineRule="auto"/>
        <w:rPr>
          <w:b/>
          <w:bCs/>
          <w:sz w:val="22"/>
          <w:szCs w:val="22"/>
          <w:u w:val="single"/>
        </w:rPr>
      </w:pPr>
    </w:p>
    <w:p w14:paraId="1256761E" w14:textId="267671D6" w:rsidR="6900AF6C" w:rsidRDefault="5FD4BA15" w:rsidP="70B7F7BB">
      <w:pPr>
        <w:spacing w:line="360" w:lineRule="auto"/>
        <w:rPr>
          <w:b/>
          <w:bCs/>
          <w:sz w:val="22"/>
          <w:szCs w:val="22"/>
          <w:u w:val="single"/>
        </w:rPr>
      </w:pPr>
      <w:r w:rsidRPr="0BBEACF1">
        <w:rPr>
          <w:b/>
          <w:bCs/>
          <w:sz w:val="22"/>
          <w:szCs w:val="22"/>
          <w:u w:val="single"/>
        </w:rPr>
        <w:lastRenderedPageBreak/>
        <w:t>ABBREVIATIONS</w:t>
      </w:r>
    </w:p>
    <w:p w14:paraId="24D9E44F" w14:textId="24E73A12" w:rsidR="614548DA" w:rsidRDefault="614548DA" w:rsidP="0BBEACF1">
      <w:pPr>
        <w:spacing w:line="360" w:lineRule="auto"/>
        <w:rPr>
          <w:sz w:val="22"/>
          <w:szCs w:val="22"/>
        </w:rPr>
      </w:pPr>
      <w:r w:rsidRPr="0BBEACF1">
        <w:rPr>
          <w:sz w:val="22"/>
          <w:szCs w:val="22"/>
        </w:rPr>
        <w:t>ALN – Additional Learning Needs</w:t>
      </w:r>
    </w:p>
    <w:p w14:paraId="2EF9430D" w14:textId="298F7220" w:rsidR="1AB34BB8" w:rsidRDefault="1AB34BB8" w:rsidP="0BBEACF1">
      <w:pPr>
        <w:spacing w:line="360" w:lineRule="auto"/>
        <w:rPr>
          <w:rFonts w:ascii="Arial" w:eastAsia="Arial" w:hAnsi="Arial" w:cs="Arial"/>
          <w:color w:val="000000" w:themeColor="text1"/>
          <w:sz w:val="22"/>
          <w:szCs w:val="22"/>
        </w:rPr>
      </w:pPr>
      <w:r w:rsidRPr="0BBEACF1">
        <w:rPr>
          <w:sz w:val="22"/>
          <w:szCs w:val="22"/>
        </w:rPr>
        <w:t xml:space="preserve">GDPR - </w:t>
      </w:r>
      <w:r w:rsidRPr="0BBEACF1">
        <w:rPr>
          <w:rFonts w:ascii="Arial" w:eastAsia="Arial" w:hAnsi="Arial" w:cs="Arial"/>
          <w:color w:val="000000" w:themeColor="text1"/>
          <w:sz w:val="22"/>
          <w:szCs w:val="22"/>
        </w:rPr>
        <w:t>General Data Protection Regulation</w:t>
      </w:r>
    </w:p>
    <w:p w14:paraId="4145C3C9" w14:textId="7884CB76" w:rsidR="614548DA" w:rsidRDefault="614548DA" w:rsidP="0BBEACF1">
      <w:pPr>
        <w:spacing w:line="360" w:lineRule="auto"/>
        <w:rPr>
          <w:sz w:val="22"/>
          <w:szCs w:val="22"/>
        </w:rPr>
      </w:pPr>
      <w:r w:rsidRPr="0BBEACF1">
        <w:rPr>
          <w:sz w:val="22"/>
          <w:szCs w:val="22"/>
        </w:rPr>
        <w:t>GP- General Practitioner</w:t>
      </w:r>
    </w:p>
    <w:p w14:paraId="52EBA009" w14:textId="79ADA3AD" w:rsidR="614548DA" w:rsidRDefault="614548DA" w:rsidP="0BBEACF1">
      <w:pPr>
        <w:spacing w:line="360" w:lineRule="auto"/>
        <w:rPr>
          <w:sz w:val="22"/>
          <w:szCs w:val="22"/>
        </w:rPr>
      </w:pPr>
      <w:r w:rsidRPr="0BBEACF1">
        <w:rPr>
          <w:sz w:val="22"/>
          <w:szCs w:val="22"/>
        </w:rPr>
        <w:t>JD-R – Job Demands – Resources Model</w:t>
      </w:r>
    </w:p>
    <w:p w14:paraId="2B6101E1" w14:textId="73B9FCCC" w:rsidR="614548DA" w:rsidRDefault="614548DA" w:rsidP="0BBEACF1">
      <w:pPr>
        <w:spacing w:line="360" w:lineRule="auto"/>
        <w:rPr>
          <w:sz w:val="22"/>
          <w:szCs w:val="22"/>
        </w:rPr>
      </w:pPr>
      <w:r w:rsidRPr="0BBEACF1">
        <w:rPr>
          <w:sz w:val="22"/>
          <w:szCs w:val="22"/>
        </w:rPr>
        <w:t>NR-6 – Nature Relatedness score (Short Form)</w:t>
      </w:r>
    </w:p>
    <w:p w14:paraId="1016B59C" w14:textId="6E896D2B" w:rsidR="614548DA" w:rsidRDefault="614548DA" w:rsidP="0BBEACF1">
      <w:pPr>
        <w:spacing w:line="360" w:lineRule="auto"/>
        <w:rPr>
          <w:sz w:val="22"/>
          <w:szCs w:val="22"/>
        </w:rPr>
      </w:pPr>
      <w:r w:rsidRPr="0BBEACF1">
        <w:rPr>
          <w:sz w:val="22"/>
          <w:szCs w:val="22"/>
        </w:rPr>
        <w:t>PMLD – Profound and Multiple Learning Difficulties</w:t>
      </w:r>
    </w:p>
    <w:p w14:paraId="6B485A02" w14:textId="2123314F" w:rsidR="614548DA" w:rsidRDefault="614548DA" w:rsidP="0BBEACF1">
      <w:pPr>
        <w:spacing w:line="360" w:lineRule="auto"/>
        <w:rPr>
          <w:sz w:val="22"/>
          <w:szCs w:val="22"/>
        </w:rPr>
      </w:pPr>
      <w:r w:rsidRPr="0BBEACF1">
        <w:rPr>
          <w:sz w:val="22"/>
          <w:szCs w:val="22"/>
        </w:rPr>
        <w:t>PSS- Perceived Stress Scale</w:t>
      </w:r>
    </w:p>
    <w:p w14:paraId="695AB191" w14:textId="552740D6" w:rsidR="614548DA" w:rsidRDefault="614548DA" w:rsidP="0BBEACF1">
      <w:pPr>
        <w:spacing w:line="360" w:lineRule="auto"/>
        <w:rPr>
          <w:sz w:val="22"/>
          <w:szCs w:val="22"/>
        </w:rPr>
      </w:pPr>
      <w:r w:rsidRPr="0BBEACF1">
        <w:rPr>
          <w:sz w:val="22"/>
          <w:szCs w:val="22"/>
        </w:rPr>
        <w:t>SLD – Severe Learning Difficulties</w:t>
      </w:r>
    </w:p>
    <w:p w14:paraId="4306E68D" w14:textId="1EA76C57" w:rsidR="6900AF6C" w:rsidRDefault="78F45548" w:rsidP="70B7F7BB">
      <w:pPr>
        <w:spacing w:line="360" w:lineRule="auto"/>
        <w:rPr>
          <w:sz w:val="22"/>
          <w:szCs w:val="22"/>
        </w:rPr>
      </w:pPr>
      <w:r w:rsidRPr="0BBEACF1">
        <w:rPr>
          <w:sz w:val="22"/>
          <w:szCs w:val="22"/>
        </w:rPr>
        <w:t>SLT – Senior Leadership Team</w:t>
      </w:r>
    </w:p>
    <w:p w14:paraId="22891AFA" w14:textId="5C6FE543" w:rsidR="6900AF6C" w:rsidRDefault="5FD4BA15" w:rsidP="70B7F7BB">
      <w:pPr>
        <w:spacing w:line="360" w:lineRule="auto"/>
        <w:rPr>
          <w:sz w:val="22"/>
          <w:szCs w:val="22"/>
        </w:rPr>
      </w:pPr>
      <w:r w:rsidRPr="0BBEACF1">
        <w:rPr>
          <w:sz w:val="22"/>
          <w:szCs w:val="22"/>
        </w:rPr>
        <w:t>TA(s) - Teaching Assistant(s)</w:t>
      </w:r>
    </w:p>
    <w:p w14:paraId="34FB9BA5" w14:textId="0FBE9EB5" w:rsidR="4FB0C48F" w:rsidRDefault="4FB0C48F" w:rsidP="0BBEACF1">
      <w:pPr>
        <w:spacing w:line="360" w:lineRule="auto"/>
        <w:rPr>
          <w:sz w:val="22"/>
          <w:szCs w:val="22"/>
        </w:rPr>
      </w:pPr>
      <w:r w:rsidRPr="0BBEACF1">
        <w:rPr>
          <w:sz w:val="22"/>
          <w:szCs w:val="22"/>
        </w:rPr>
        <w:t>WHO – World Health Organisation</w:t>
      </w:r>
    </w:p>
    <w:p w14:paraId="6B0AE3F0" w14:textId="3A8D15F4" w:rsidR="5ECF1BC0" w:rsidRDefault="5ECF1BC0" w:rsidP="5ECF1BC0">
      <w:pPr>
        <w:spacing w:line="360" w:lineRule="auto"/>
        <w:rPr>
          <w:sz w:val="22"/>
          <w:szCs w:val="22"/>
        </w:rPr>
      </w:pPr>
    </w:p>
    <w:p w14:paraId="2C0CCCA4" w14:textId="626618DC" w:rsidR="5ECF1BC0" w:rsidRDefault="5ECF1BC0" w:rsidP="5ECF1BC0">
      <w:pPr>
        <w:spacing w:line="360" w:lineRule="auto"/>
        <w:rPr>
          <w:sz w:val="22"/>
          <w:szCs w:val="22"/>
        </w:rPr>
      </w:pPr>
    </w:p>
    <w:p w14:paraId="78B2699B" w14:textId="111E78C8" w:rsidR="5ECF1BC0" w:rsidRDefault="5ECF1BC0" w:rsidP="5ECF1BC0">
      <w:pPr>
        <w:spacing w:line="360" w:lineRule="auto"/>
        <w:rPr>
          <w:sz w:val="22"/>
          <w:szCs w:val="22"/>
        </w:rPr>
      </w:pPr>
    </w:p>
    <w:p w14:paraId="4A3A0E3D" w14:textId="407E24AA" w:rsidR="5ECF1BC0" w:rsidRDefault="5ECF1BC0" w:rsidP="5ECF1BC0">
      <w:pPr>
        <w:spacing w:line="360" w:lineRule="auto"/>
        <w:rPr>
          <w:sz w:val="22"/>
          <w:szCs w:val="22"/>
        </w:rPr>
      </w:pPr>
    </w:p>
    <w:p w14:paraId="5C3F971C" w14:textId="39074EC0" w:rsidR="5ECF1BC0" w:rsidRDefault="5ECF1BC0" w:rsidP="5ECF1BC0">
      <w:pPr>
        <w:spacing w:line="360" w:lineRule="auto"/>
        <w:rPr>
          <w:sz w:val="22"/>
          <w:szCs w:val="22"/>
        </w:rPr>
      </w:pPr>
    </w:p>
    <w:p w14:paraId="61896FB8" w14:textId="438C062D" w:rsidR="5ECF1BC0" w:rsidRDefault="5ECF1BC0" w:rsidP="5ECF1BC0">
      <w:pPr>
        <w:spacing w:line="360" w:lineRule="auto"/>
        <w:rPr>
          <w:sz w:val="22"/>
          <w:szCs w:val="22"/>
        </w:rPr>
      </w:pPr>
    </w:p>
    <w:p w14:paraId="0F9B2F1D" w14:textId="0B557987" w:rsidR="5ECF1BC0" w:rsidRDefault="5ECF1BC0" w:rsidP="5ECF1BC0">
      <w:pPr>
        <w:spacing w:line="360" w:lineRule="auto"/>
        <w:rPr>
          <w:sz w:val="22"/>
          <w:szCs w:val="22"/>
        </w:rPr>
      </w:pPr>
    </w:p>
    <w:p w14:paraId="514CC8E3" w14:textId="5C7AD673" w:rsidR="5ECF1BC0" w:rsidRDefault="5ECF1BC0" w:rsidP="5ECF1BC0">
      <w:pPr>
        <w:spacing w:line="360" w:lineRule="auto"/>
        <w:rPr>
          <w:sz w:val="22"/>
          <w:szCs w:val="22"/>
        </w:rPr>
      </w:pPr>
    </w:p>
    <w:p w14:paraId="3FE0E7F8" w14:textId="722AE5D6" w:rsidR="5ECF1BC0" w:rsidRDefault="5ECF1BC0" w:rsidP="5ECF1BC0">
      <w:pPr>
        <w:spacing w:line="360" w:lineRule="auto"/>
        <w:rPr>
          <w:sz w:val="22"/>
          <w:szCs w:val="22"/>
        </w:rPr>
      </w:pPr>
    </w:p>
    <w:p w14:paraId="22B1B511" w14:textId="7FE6B47F" w:rsidR="5ECF1BC0" w:rsidRDefault="5ECF1BC0" w:rsidP="5ECF1BC0">
      <w:pPr>
        <w:spacing w:line="360" w:lineRule="auto"/>
        <w:rPr>
          <w:sz w:val="22"/>
          <w:szCs w:val="22"/>
        </w:rPr>
      </w:pPr>
    </w:p>
    <w:p w14:paraId="0968F1A0" w14:textId="791E7EA6" w:rsidR="5ECF1BC0" w:rsidRDefault="5ECF1BC0" w:rsidP="5ECF1BC0">
      <w:pPr>
        <w:spacing w:line="360" w:lineRule="auto"/>
        <w:rPr>
          <w:sz w:val="22"/>
          <w:szCs w:val="22"/>
        </w:rPr>
      </w:pPr>
    </w:p>
    <w:p w14:paraId="05E49D19" w14:textId="13D2B8BF" w:rsidR="5ECF1BC0" w:rsidRDefault="5ECF1BC0" w:rsidP="5ECF1BC0">
      <w:pPr>
        <w:spacing w:line="360" w:lineRule="auto"/>
        <w:rPr>
          <w:sz w:val="22"/>
          <w:szCs w:val="22"/>
        </w:rPr>
      </w:pPr>
    </w:p>
    <w:p w14:paraId="34DC174E" w14:textId="1481D608" w:rsidR="5ECF1BC0" w:rsidRDefault="5ECF1BC0" w:rsidP="5ECF1BC0">
      <w:pPr>
        <w:spacing w:line="360" w:lineRule="auto"/>
        <w:rPr>
          <w:sz w:val="22"/>
          <w:szCs w:val="22"/>
        </w:rPr>
      </w:pPr>
    </w:p>
    <w:p w14:paraId="2DD60BCF" w14:textId="6F3F8F0A" w:rsidR="1F9151B1" w:rsidRDefault="369C3725" w:rsidP="3F29B626">
      <w:pPr>
        <w:spacing w:line="360" w:lineRule="auto"/>
        <w:rPr>
          <w:rFonts w:ascii="Arial" w:eastAsia="Arial" w:hAnsi="Arial" w:cs="Arial"/>
          <w:color w:val="000000" w:themeColor="text1"/>
          <w:sz w:val="22"/>
          <w:szCs w:val="22"/>
        </w:rPr>
      </w:pPr>
      <w:r w:rsidRPr="3F29B626">
        <w:rPr>
          <w:rFonts w:ascii="Arial" w:eastAsia="Arial" w:hAnsi="Arial" w:cs="Arial"/>
          <w:b/>
          <w:bCs/>
          <w:color w:val="000000" w:themeColor="text1"/>
          <w:sz w:val="22"/>
          <w:szCs w:val="22"/>
          <w:u w:val="single"/>
        </w:rPr>
        <w:t>PROJECT PROPOSAL</w:t>
      </w:r>
    </w:p>
    <w:p w14:paraId="537BA712" w14:textId="7CBEDB6E" w:rsidR="1F9151B1" w:rsidRDefault="1F9151B1" w:rsidP="5ECF1BC0">
      <w:pPr>
        <w:pStyle w:val="ListParagraph"/>
        <w:numPr>
          <w:ilvl w:val="0"/>
          <w:numId w:val="8"/>
        </w:num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lastRenderedPageBreak/>
        <w:t xml:space="preserve">The Context </w:t>
      </w:r>
    </w:p>
    <w:p w14:paraId="18242245" w14:textId="43257B56"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The setting for this research is a special school dedicated to pupils with Profound and Multiple Learning Difficulties (PMLD) and Severe Learning Difficulties (SLD). These learners often have complex medical, emotional, and behavioural needs, requiring a high staff-to-pupil ratio to ensure safe, personalised, and effective support and the highest quality education that they deserve. Staff are therefore routinely exposed to emotionally and physically demanding situations. Over recent years, these pressures have been further compounded by wider social, familial, and financial challenges, contributing to a noticeable decline in staff wellbeing.  Furthermore, rising costs of living have meant that many teaching assistants are either leaving their posts to find higher paid jobs or have had to take second jobs to subsidise their income adding to the recruitment and retention issues across the special school sector (NFER, 2023). </w:t>
      </w:r>
    </w:p>
    <w:p w14:paraId="01B42861" w14:textId="4FBBDCAD"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Staff absence has become a significant concern. The continuity of care and learning that pupils with PMLD and SLD rely on is highly sensitive to changes in staffing. Relationships, routine, and consistency are central to the</w:t>
      </w:r>
      <w:r w:rsidR="10CFE000" w:rsidRPr="5ECF1BC0">
        <w:rPr>
          <w:rFonts w:ascii="Arial" w:eastAsia="Arial" w:hAnsi="Arial" w:cs="Arial"/>
          <w:color w:val="000000" w:themeColor="text1"/>
          <w:sz w:val="22"/>
          <w:szCs w:val="22"/>
        </w:rPr>
        <w:t>se pupils’</w:t>
      </w:r>
      <w:r w:rsidRPr="5ECF1BC0">
        <w:rPr>
          <w:rFonts w:ascii="Arial" w:eastAsia="Arial" w:hAnsi="Arial" w:cs="Arial"/>
          <w:color w:val="000000" w:themeColor="text1"/>
          <w:sz w:val="22"/>
          <w:szCs w:val="22"/>
        </w:rPr>
        <w:t xml:space="preserve"> development and emotional security. When these elements are disrupted due to staff illness or turnover, the consequences impact not only individual workloads but also pupil progress and overall team wellbeing. As such, there is a pressing need for sustainable and evidence-based approaches to improving staff wellbeing in this educational context.</w:t>
      </w:r>
    </w:p>
    <w:p w14:paraId="24E9DCBD" w14:textId="3522DB12"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A recent national survey (Education Support, 2023) highlights a growing mental health crisis within the education sector.  The survey reports 78% of education staff </w:t>
      </w:r>
      <w:r w:rsidR="5407EB7E" w:rsidRPr="5ECF1BC0">
        <w:rPr>
          <w:rFonts w:ascii="Arial" w:eastAsia="Arial" w:hAnsi="Arial" w:cs="Arial"/>
          <w:color w:val="000000" w:themeColor="text1"/>
          <w:sz w:val="22"/>
          <w:szCs w:val="22"/>
        </w:rPr>
        <w:t>feel</w:t>
      </w:r>
      <w:r w:rsidRPr="5ECF1BC0">
        <w:rPr>
          <w:rFonts w:ascii="Arial" w:eastAsia="Arial" w:hAnsi="Arial" w:cs="Arial"/>
          <w:color w:val="000000" w:themeColor="text1"/>
          <w:sz w:val="22"/>
          <w:szCs w:val="22"/>
        </w:rPr>
        <w:t xml:space="preserve"> stressed, with 36% experiencing symptoms of burnout—an increase of 9% from the previous year. Alarmingly, 51% of respondents reported insomnia or difficulty sleeping, and the overall wellbeing score for staff was significantly below the national average, suggesting a high risk of psychological distress and depression.</w:t>
      </w:r>
    </w:p>
    <w:p w14:paraId="585D4929" w14:textId="436AD337"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Further evidence (NASUWT, 2024) revealed that 84% of teachers experienced increased work-related stress, with 86% reporting that their job negatively impacted their mental health. High levels of anxiety, sleep difficulties, and even instances of self-harm were recorded, demonstrating the urgent need for effective and sustainable wellbeing interventions across school settings.</w:t>
      </w:r>
    </w:p>
    <w:p w14:paraId="34FAC6E6" w14:textId="5C0CA6CA"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Findings</w:t>
      </w:r>
      <w:r w:rsidR="1A55D0BA" w:rsidRPr="5ECF1BC0">
        <w:rPr>
          <w:rFonts w:ascii="Arial" w:eastAsia="Arial" w:hAnsi="Arial" w:cs="Arial"/>
          <w:color w:val="000000" w:themeColor="text1"/>
          <w:sz w:val="22"/>
          <w:szCs w:val="22"/>
        </w:rPr>
        <w:t xml:space="preserve"> from a survey of over 3000 participants</w:t>
      </w:r>
      <w:r w:rsidRPr="5ECF1BC0">
        <w:rPr>
          <w:rFonts w:ascii="Arial" w:eastAsia="Arial" w:hAnsi="Arial" w:cs="Arial"/>
          <w:color w:val="000000" w:themeColor="text1"/>
          <w:sz w:val="22"/>
          <w:szCs w:val="22"/>
        </w:rPr>
        <w:t xml:space="preserve"> as part </w:t>
      </w:r>
      <w:r w:rsidRPr="5ECF1BC0">
        <w:rPr>
          <w:rFonts w:ascii="Arial" w:eastAsia="Arial" w:hAnsi="Arial" w:cs="Arial"/>
          <w:sz w:val="22"/>
          <w:szCs w:val="22"/>
        </w:rPr>
        <w:t>of the </w:t>
      </w:r>
      <w:hyperlink r:id="rId7">
        <w:r w:rsidRPr="5ECF1BC0">
          <w:rPr>
            <w:rStyle w:val="Hyperlink"/>
            <w:rFonts w:ascii="Arial" w:eastAsia="Arial" w:hAnsi="Arial" w:cs="Arial"/>
            <w:color w:val="auto"/>
            <w:sz w:val="22"/>
            <w:szCs w:val="22"/>
            <w:u w:val="none"/>
          </w:rPr>
          <w:t>annual Teacher Wellbeing Index</w:t>
        </w:r>
      </w:hyperlink>
      <w:r w:rsidRPr="5ECF1BC0">
        <w:rPr>
          <w:rFonts w:ascii="Arial" w:eastAsia="Arial" w:hAnsi="Arial" w:cs="Arial"/>
          <w:sz w:val="22"/>
          <w:szCs w:val="22"/>
        </w:rPr>
        <w:t xml:space="preserve"> (2022)</w:t>
      </w:r>
      <w:r w:rsidR="63AB185E" w:rsidRPr="5ECF1BC0">
        <w:rPr>
          <w:rFonts w:ascii="Arial" w:eastAsia="Arial" w:hAnsi="Arial" w:cs="Arial"/>
          <w:sz w:val="22"/>
          <w:szCs w:val="22"/>
        </w:rPr>
        <w:t>,</w:t>
      </w:r>
      <w:r w:rsidRPr="5ECF1BC0">
        <w:rPr>
          <w:rFonts w:ascii="Arial" w:eastAsia="Arial" w:hAnsi="Arial" w:cs="Arial"/>
          <w:sz w:val="22"/>
          <w:szCs w:val="22"/>
        </w:rPr>
        <w:t xml:space="preserve"> showed that overall, stress levels have inc</w:t>
      </w:r>
      <w:r w:rsidRPr="5ECF1BC0">
        <w:rPr>
          <w:rFonts w:ascii="Arial" w:eastAsia="Arial" w:hAnsi="Arial" w:cs="Arial"/>
          <w:color w:val="000000" w:themeColor="text1"/>
          <w:sz w:val="22"/>
          <w:szCs w:val="22"/>
        </w:rPr>
        <w:t xml:space="preserve">reased when compared to the </w:t>
      </w:r>
      <w:r w:rsidRPr="5ECF1BC0">
        <w:rPr>
          <w:rFonts w:ascii="Arial" w:eastAsia="Arial" w:hAnsi="Arial" w:cs="Arial"/>
          <w:color w:val="000000" w:themeColor="text1"/>
          <w:sz w:val="22"/>
          <w:szCs w:val="22"/>
        </w:rPr>
        <w:lastRenderedPageBreak/>
        <w:t>previous year and that staff working in education also continue to experience higher levels of depression and anxiety than those reported in the general population.</w:t>
      </w:r>
    </w:p>
    <w:p w14:paraId="41F77A39" w14:textId="2EC8B145"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These findings highlight the need for sustainable, preventative strategies to support the wellbeing of educational staff, particularly in specialist settings where staff are exposed to heightened emotional and physical demands. My proposed project aligns with this need by exploring a proactive approach that aims to enhance mental health and resilience among school staff by fostering a supportive community through outdoor activities and shared experiences. The initiative aims to mitigate stress and promote overall wellbeing, potentially serving as a model for similar educational settings facing these pervasive challenges</w:t>
      </w:r>
    </w:p>
    <w:p w14:paraId="60B2E2D3" w14:textId="05A55AB5" w:rsidR="1F9151B1" w:rsidRDefault="1F9151B1" w:rsidP="5ECF1BC0">
      <w:pPr>
        <w:pStyle w:val="ListParagraph"/>
        <w:numPr>
          <w:ilvl w:val="0"/>
          <w:numId w:val="8"/>
        </w:num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The Justification</w:t>
      </w:r>
    </w:p>
    <w:p w14:paraId="4A525631" w14:textId="3C10D504"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This research stems from a recognised need to explore meaningful strategies that support the health and wellbeing of staff in special education settings. Staff in these environments require resilience, empathy, and a thorough understanding of each pupil's specific needs and triggers. When staff wellbeing is compromised, their capacity to deliver consistent, high-quality care and education is also affected.  </w:t>
      </w:r>
    </w:p>
    <w:p w14:paraId="46F1D99E" w14:textId="494D165A"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A wide range of literature explores the potential health benefits of spending time in natural environments and whether nature-based wellbeing approaches—such as forest therapy, mindful walking, and outdoor social activities—can reduce stress, boost mood, and foster a sense of connectedness. This study aims to explore such claims and examine how such interventions could be adapted and implemented in a special school setting to support staff.</w:t>
      </w:r>
    </w:p>
    <w:p w14:paraId="19B1CE24" w14:textId="394125B8"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The research will focus on whether creating an outdoor-based wellbeing community can</w:t>
      </w:r>
      <w:r w:rsidR="131922F0" w:rsidRPr="5ECF1BC0">
        <w:rPr>
          <w:rFonts w:ascii="Arial" w:eastAsia="Arial" w:hAnsi="Arial" w:cs="Arial"/>
          <w:color w:val="000000" w:themeColor="text1"/>
          <w:sz w:val="22"/>
          <w:szCs w:val="22"/>
        </w:rPr>
        <w:t xml:space="preserve"> reduce absenteeism and </w:t>
      </w:r>
      <w:r w:rsidRPr="5ECF1BC0">
        <w:rPr>
          <w:rFonts w:ascii="Arial" w:eastAsia="Arial" w:hAnsi="Arial" w:cs="Arial"/>
          <w:color w:val="000000" w:themeColor="text1"/>
          <w:sz w:val="22"/>
          <w:szCs w:val="22"/>
        </w:rPr>
        <w:t>enhance emotional resilience, team cohesion, and overall workplace morale. In doing so, it seeks to identify low-cost, sustainable strategies that support a healthy and positive school culture.</w:t>
      </w:r>
    </w:p>
    <w:p w14:paraId="5778AF4B" w14:textId="7C51287C" w:rsidR="1F9151B1" w:rsidRDefault="1F9151B1" w:rsidP="5ECF1BC0">
      <w:pPr>
        <w:pStyle w:val="ListParagraph"/>
        <w:numPr>
          <w:ilvl w:val="0"/>
          <w:numId w:val="8"/>
        </w:num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The Intended Impact</w:t>
      </w:r>
    </w:p>
    <w:p w14:paraId="077368E6" w14:textId="2D748C0F"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This research intends to assess whether embedding a nature-based, community-focused wellbeing programme into the school’s staff culture can lead to measurable improvements in wellbeing</w:t>
      </w:r>
      <w:r w:rsidR="48537321" w:rsidRPr="5ECF1BC0">
        <w:rPr>
          <w:rFonts w:ascii="Arial" w:eastAsia="Arial" w:hAnsi="Arial" w:cs="Arial"/>
          <w:color w:val="000000" w:themeColor="text1"/>
          <w:sz w:val="22"/>
          <w:szCs w:val="22"/>
        </w:rPr>
        <w:t xml:space="preserve"> and reduced absenteeism</w:t>
      </w:r>
      <w:r w:rsidRPr="5ECF1BC0">
        <w:rPr>
          <w:rFonts w:ascii="Arial" w:eastAsia="Arial" w:hAnsi="Arial" w:cs="Arial"/>
          <w:color w:val="000000" w:themeColor="text1"/>
          <w:sz w:val="22"/>
          <w:szCs w:val="22"/>
        </w:rPr>
        <w:t>. More specifically, it will evaluate the effects of nature-inspired group activities on staff stress levels, emotional regulation, and overall workplace satisfaction.</w:t>
      </w:r>
    </w:p>
    <w:p w14:paraId="2BA4592C" w14:textId="7F4F2DC4"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By trialling a variety of approaches—such as breathwork, walk-and-talk sessions, forest therapy, and coastal reflection activities—the study will explore whether these practices help </w:t>
      </w:r>
      <w:r w:rsidRPr="5ECF1BC0">
        <w:rPr>
          <w:rFonts w:ascii="Arial" w:eastAsia="Arial" w:hAnsi="Arial" w:cs="Arial"/>
          <w:color w:val="000000" w:themeColor="text1"/>
          <w:sz w:val="22"/>
          <w:szCs w:val="22"/>
        </w:rPr>
        <w:lastRenderedPageBreak/>
        <w:t>participants manage stress more effectively and feel a greater sense of self-worth and professional fulfilment.</w:t>
      </w:r>
    </w:p>
    <w:p w14:paraId="07C8FB4C" w14:textId="3DABC01F"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The wider aim is to foster a supportive and connected staff culture, where shared experiences in nature contribute to wellbeing and retention. If effective, the model may provide a replicable framework for other high-pressure educational settings to adopt.</w:t>
      </w:r>
    </w:p>
    <w:p w14:paraId="4FD1170B" w14:textId="7CCE1E59" w:rsidR="1F9151B1" w:rsidRDefault="1F9151B1" w:rsidP="5ECF1BC0">
      <w:pPr>
        <w:pStyle w:val="ListParagraph"/>
        <w:numPr>
          <w:ilvl w:val="0"/>
          <w:numId w:val="8"/>
        </w:num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The Outlined Intention</w:t>
      </w:r>
    </w:p>
    <w:p w14:paraId="6A9F7CC4" w14:textId="6D15B677"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The overarching intention of this research is to create a happier, healthier, and more consistently present team of staff who are better equipped to provide high-quality learning experiences for pupils with complex needs. By establishing a sustainable, outdoor-based wellbeing community, the research seeks to explore how nature-inspired initiatives can positively influence stress management and emotional wellbeing.   Specifically, the study seeks to: </w:t>
      </w:r>
    </w:p>
    <w:p w14:paraId="1774CF52" w14:textId="1C847760" w:rsidR="1F9151B1" w:rsidRDefault="1F9151B1" w:rsidP="5ECF1BC0">
      <w:pPr>
        <w:pStyle w:val="ListParagraph"/>
        <w:numPr>
          <w:ilvl w:val="0"/>
          <w:numId w:val="10"/>
        </w:num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Examine the impact of nature-based activities and social outdoor communities on staff wellbeing</w:t>
      </w:r>
      <w:r w:rsidR="4D5AE2A5" w:rsidRPr="5ECF1BC0">
        <w:rPr>
          <w:rFonts w:ascii="Arial" w:eastAsia="Arial" w:hAnsi="Arial" w:cs="Arial"/>
          <w:color w:val="000000" w:themeColor="text1"/>
          <w:sz w:val="22"/>
          <w:szCs w:val="22"/>
        </w:rPr>
        <w:t xml:space="preserve">, </w:t>
      </w:r>
      <w:r w:rsidRPr="5ECF1BC0">
        <w:rPr>
          <w:rFonts w:ascii="Arial" w:eastAsia="Arial" w:hAnsi="Arial" w:cs="Arial"/>
          <w:color w:val="000000" w:themeColor="text1"/>
          <w:sz w:val="22"/>
          <w:szCs w:val="22"/>
        </w:rPr>
        <w:t>stress management</w:t>
      </w:r>
      <w:r w:rsidR="114CCAA9" w:rsidRPr="5ECF1BC0">
        <w:rPr>
          <w:rFonts w:ascii="Arial" w:eastAsia="Arial" w:hAnsi="Arial" w:cs="Arial"/>
          <w:color w:val="000000" w:themeColor="text1"/>
          <w:sz w:val="22"/>
          <w:szCs w:val="22"/>
        </w:rPr>
        <w:t xml:space="preserve"> and absenteeism</w:t>
      </w:r>
      <w:r w:rsidRPr="5ECF1BC0">
        <w:rPr>
          <w:rFonts w:ascii="Arial" w:eastAsia="Arial" w:hAnsi="Arial" w:cs="Arial"/>
          <w:color w:val="000000" w:themeColor="text1"/>
          <w:sz w:val="22"/>
          <w:szCs w:val="22"/>
        </w:rPr>
        <w:t xml:space="preserve">. </w:t>
      </w:r>
    </w:p>
    <w:p w14:paraId="5A6BB9F7" w14:textId="786C51F9" w:rsidR="1F9151B1" w:rsidRDefault="1F9151B1" w:rsidP="5ECF1BC0">
      <w:pPr>
        <w:pStyle w:val="ListParagraph"/>
        <w:numPr>
          <w:ilvl w:val="0"/>
          <w:numId w:val="10"/>
        </w:num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Evaluate the effectiveness of well-being strategies, including toolkits and workplace culture initiatives, in developing sustainable, positive staff well-being. </w:t>
      </w:r>
    </w:p>
    <w:p w14:paraId="3B9D18B4" w14:textId="6C75910C"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By understanding these dynamics, the research aims to provide insights into how nature-inspired interventions can enhance workplace resilience and staff retention.</w:t>
      </w:r>
    </w:p>
    <w:p w14:paraId="7544353F" w14:textId="0AB5B6D0"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Through these intentions, the research hopes to make a tangible contribution to the field of educational wellbeing and offer a viable strategy for supporting staff in demanding school contexts.</w:t>
      </w:r>
    </w:p>
    <w:p w14:paraId="2A8AC316" w14:textId="2CCDCCBA" w:rsidR="1F9151B1" w:rsidRDefault="1F9151B1" w:rsidP="5ECF1BC0">
      <w:pPr>
        <w:pStyle w:val="ListParagraph"/>
        <w:numPr>
          <w:ilvl w:val="0"/>
          <w:numId w:val="8"/>
        </w:num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Ethics and Insider Research</w:t>
      </w:r>
    </w:p>
    <w:p w14:paraId="4C7BA81B" w14:textId="1694C373" w:rsidR="1F9151B1" w:rsidRDefault="43D90AE8" w:rsidP="5ECF1BC0">
      <w:pPr>
        <w:spacing w:before="240" w:after="240" w:line="360" w:lineRule="auto"/>
        <w:rPr>
          <w:rFonts w:ascii="Arial" w:eastAsia="Arial" w:hAnsi="Arial" w:cs="Arial"/>
          <w:color w:val="000000" w:themeColor="text1"/>
          <w:sz w:val="22"/>
          <w:szCs w:val="22"/>
        </w:rPr>
      </w:pPr>
      <w:r w:rsidRPr="3F29B626">
        <w:rPr>
          <w:rFonts w:ascii="Arial" w:eastAsia="Arial" w:hAnsi="Arial" w:cs="Arial"/>
          <w:color w:val="000000" w:themeColor="text1"/>
          <w:sz w:val="22"/>
          <w:szCs w:val="22"/>
        </w:rPr>
        <w:t xml:space="preserve">As this study will be carried out within the researcher’s own workplace, ethical transparency and responsibility are vital. Participation will be entirely voluntary, and all participants will be provided with clear, accessible information outlining the study’s purpose, scope, and use. Informed consent </w:t>
      </w:r>
      <w:r w:rsidR="6BA9A11C" w:rsidRPr="3F29B626">
        <w:rPr>
          <w:rFonts w:ascii="Arial" w:eastAsia="Arial" w:hAnsi="Arial" w:cs="Arial"/>
          <w:color w:val="000000" w:themeColor="text1"/>
          <w:sz w:val="22"/>
          <w:szCs w:val="22"/>
        </w:rPr>
        <w:t>(</w:t>
      </w:r>
      <w:r w:rsidR="5F2D4583" w:rsidRPr="3F29B626">
        <w:rPr>
          <w:rFonts w:ascii="Arial" w:eastAsia="Arial" w:hAnsi="Arial" w:cs="Arial"/>
          <w:color w:val="000000" w:themeColor="text1"/>
          <w:sz w:val="22"/>
          <w:szCs w:val="22"/>
        </w:rPr>
        <w:t>s</w:t>
      </w:r>
      <w:r w:rsidR="6BA9A11C" w:rsidRPr="3F29B626">
        <w:rPr>
          <w:rFonts w:ascii="Arial" w:eastAsia="Arial" w:hAnsi="Arial" w:cs="Arial"/>
          <w:color w:val="000000" w:themeColor="text1"/>
          <w:sz w:val="22"/>
          <w:szCs w:val="22"/>
        </w:rPr>
        <w:t xml:space="preserve">ee Appendix C) </w:t>
      </w:r>
      <w:r w:rsidRPr="3F29B626">
        <w:rPr>
          <w:rFonts w:ascii="Arial" w:eastAsia="Arial" w:hAnsi="Arial" w:cs="Arial"/>
          <w:color w:val="000000" w:themeColor="text1"/>
          <w:sz w:val="22"/>
          <w:szCs w:val="22"/>
        </w:rPr>
        <w:t>will be obtained from all participants.</w:t>
      </w:r>
    </w:p>
    <w:p w14:paraId="2DA82D31" w14:textId="0B6963C8"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Confidentiality and anonymity will be upheld through secure data handling and the careful removal of identifiable information from any shared results. Given the relatively small size of the staff body, care will be taken to ensure that individuals cannot be recognised through responses or data, and </w:t>
      </w:r>
      <w:r w:rsidR="5FC230AC" w:rsidRPr="5ECF1BC0">
        <w:rPr>
          <w:rFonts w:ascii="Arial" w:eastAsia="Arial" w:hAnsi="Arial" w:cs="Arial"/>
          <w:color w:val="000000" w:themeColor="text1"/>
          <w:sz w:val="22"/>
          <w:szCs w:val="22"/>
        </w:rPr>
        <w:t xml:space="preserve">there will be </w:t>
      </w:r>
      <w:r w:rsidRPr="5ECF1BC0">
        <w:rPr>
          <w:rFonts w:ascii="Arial" w:eastAsia="Arial" w:hAnsi="Arial" w:cs="Arial"/>
          <w:color w:val="000000" w:themeColor="text1"/>
          <w:sz w:val="22"/>
          <w:szCs w:val="22"/>
        </w:rPr>
        <w:t>explicit reassurances of anonymity.</w:t>
      </w:r>
    </w:p>
    <w:p w14:paraId="76E9AEDF" w14:textId="46212E3C" w:rsidR="6BE24B17" w:rsidRDefault="6BE24B17" w:rsidP="5ECF1BC0">
      <w:pPr>
        <w:spacing w:after="0" w:line="360" w:lineRule="auto"/>
        <w:rPr>
          <w:sz w:val="22"/>
          <w:szCs w:val="22"/>
        </w:rPr>
      </w:pPr>
      <w:r w:rsidRPr="5ECF1BC0">
        <w:rPr>
          <w:sz w:val="22"/>
          <w:szCs w:val="22"/>
        </w:rPr>
        <w:lastRenderedPageBreak/>
        <w:t>The data collected will include responses to the Perceived Stress Scale (PSS), accessed via the Be Mindful online platform (Be Mindful, n.d.), alongside a bespoke wellbeing questionnaire, semi‑structured interviews, and aggregated anonymised attendance records. The information gathered from these diverse data sources will be triangulated to support the interpretation of findings, and, where appropriate and with permission, anecdotal feedback and participant quotations may be used.</w:t>
      </w:r>
    </w:p>
    <w:p w14:paraId="1552DD50" w14:textId="4A2E7ED8" w:rsidR="1F9151B1" w:rsidRDefault="2BD08BD0" w:rsidP="0BBEACF1">
      <w:pPr>
        <w:spacing w:before="240" w:after="240" w:line="360" w:lineRule="auto"/>
        <w:rPr>
          <w:rFonts w:ascii="Arial" w:eastAsia="Arial" w:hAnsi="Arial" w:cs="Arial"/>
          <w:color w:val="000000" w:themeColor="text1"/>
          <w:sz w:val="22"/>
          <w:szCs w:val="22"/>
        </w:rPr>
      </w:pPr>
      <w:r w:rsidRPr="0BBEACF1">
        <w:rPr>
          <w:color w:val="000000" w:themeColor="text1"/>
          <w:sz w:val="22"/>
          <w:szCs w:val="22"/>
        </w:rPr>
        <w:t>Ethical approval will be sought through the appropriate institutional review board. All data collection and stora</w:t>
      </w:r>
      <w:r w:rsidRPr="0BBEACF1">
        <w:rPr>
          <w:rFonts w:ascii="Arial" w:eastAsia="Arial" w:hAnsi="Arial" w:cs="Arial"/>
          <w:color w:val="000000" w:themeColor="text1"/>
          <w:sz w:val="22"/>
          <w:szCs w:val="22"/>
        </w:rPr>
        <w:t xml:space="preserve">ge procedures will comply with </w:t>
      </w:r>
      <w:r w:rsidR="7DFA557C" w:rsidRPr="0BBEACF1">
        <w:rPr>
          <w:rFonts w:ascii="Arial" w:eastAsia="Arial" w:hAnsi="Arial" w:cs="Arial"/>
          <w:color w:val="000000" w:themeColor="text1"/>
          <w:sz w:val="22"/>
          <w:szCs w:val="22"/>
        </w:rPr>
        <w:t>General Data Protection Regulation (</w:t>
      </w:r>
      <w:r w:rsidR="0AEDD098" w:rsidRPr="0BBEACF1">
        <w:rPr>
          <w:rFonts w:ascii="Arial" w:eastAsia="Arial" w:hAnsi="Arial" w:cs="Arial"/>
          <w:color w:val="000000" w:themeColor="text1"/>
          <w:sz w:val="22"/>
          <w:szCs w:val="22"/>
        </w:rPr>
        <w:t>GDPR</w:t>
      </w:r>
      <w:r w:rsidR="312FA212" w:rsidRPr="0BBEACF1">
        <w:rPr>
          <w:rFonts w:ascii="Arial" w:eastAsia="Arial" w:hAnsi="Arial" w:cs="Arial"/>
          <w:color w:val="000000" w:themeColor="text1"/>
          <w:sz w:val="22"/>
          <w:szCs w:val="22"/>
        </w:rPr>
        <w:t>)</w:t>
      </w:r>
      <w:r w:rsidR="0AEDD098" w:rsidRPr="0BBEACF1">
        <w:rPr>
          <w:rFonts w:ascii="Arial" w:eastAsia="Arial" w:hAnsi="Arial" w:cs="Arial"/>
          <w:color w:val="000000" w:themeColor="text1"/>
          <w:sz w:val="22"/>
          <w:szCs w:val="22"/>
        </w:rPr>
        <w:t>,</w:t>
      </w:r>
      <w:r w:rsidRPr="0BBEACF1">
        <w:rPr>
          <w:rFonts w:ascii="Arial" w:eastAsia="Arial" w:hAnsi="Arial" w:cs="Arial"/>
          <w:color w:val="000000" w:themeColor="text1"/>
          <w:sz w:val="22"/>
          <w:szCs w:val="22"/>
        </w:rPr>
        <w:t xml:space="preserve"> and the ethical guidelines set out by professional research bodies in education.</w:t>
      </w:r>
    </w:p>
    <w:p w14:paraId="7D8108B9" w14:textId="12DA8CA5" w:rsidR="1F9151B1" w:rsidRDefault="1F9151B1" w:rsidP="5ECF1BC0">
      <w:pPr>
        <w:pStyle w:val="ListParagraph"/>
        <w:numPr>
          <w:ilvl w:val="0"/>
          <w:numId w:val="8"/>
        </w:num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The Expected Learning Outcomes</w:t>
      </w:r>
    </w:p>
    <w:p w14:paraId="700A6BB0" w14:textId="1E9098E0"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This research project is expected to deliver the following learning outcomes:</w:t>
      </w:r>
    </w:p>
    <w:p w14:paraId="73676E1C" w14:textId="787DBB41"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1. Enhance personal research skills to effectively analyse and implement well-being strategies; including the design of data collection tools, analysis of data and synthesis of findings.</w:t>
      </w:r>
    </w:p>
    <w:p w14:paraId="75C667D7" w14:textId="2B1A3D3D"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2. Investigate well-being approaches in education settings at local, national, and international levels to identify best practices. </w:t>
      </w:r>
    </w:p>
    <w:p w14:paraId="3D5DD9AA" w14:textId="4B166586"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3. Explore and review a range of </w:t>
      </w:r>
      <w:r w:rsidR="3757CDC4" w:rsidRPr="5ECF1BC0">
        <w:rPr>
          <w:rFonts w:ascii="Arial" w:eastAsia="Arial" w:hAnsi="Arial" w:cs="Arial"/>
          <w:color w:val="000000" w:themeColor="text1"/>
          <w:sz w:val="22"/>
          <w:szCs w:val="22"/>
        </w:rPr>
        <w:t>nature-based</w:t>
      </w:r>
      <w:r w:rsidRPr="5ECF1BC0">
        <w:rPr>
          <w:rFonts w:ascii="Arial" w:eastAsia="Arial" w:hAnsi="Arial" w:cs="Arial"/>
          <w:color w:val="000000" w:themeColor="text1"/>
          <w:sz w:val="22"/>
          <w:szCs w:val="22"/>
        </w:rPr>
        <w:t xml:space="preserve"> wellbeing literature which examines the potential of outdoor spaces on </w:t>
      </w:r>
      <w:r w:rsidR="0243872D" w:rsidRPr="5ECF1BC0">
        <w:rPr>
          <w:rFonts w:ascii="Arial" w:eastAsia="Arial" w:hAnsi="Arial" w:cs="Arial"/>
          <w:color w:val="000000" w:themeColor="text1"/>
          <w:sz w:val="22"/>
          <w:szCs w:val="22"/>
        </w:rPr>
        <w:t xml:space="preserve">the </w:t>
      </w:r>
      <w:r w:rsidRPr="5ECF1BC0">
        <w:rPr>
          <w:rFonts w:ascii="Arial" w:eastAsia="Arial" w:hAnsi="Arial" w:cs="Arial"/>
          <w:color w:val="000000" w:themeColor="text1"/>
          <w:sz w:val="22"/>
          <w:szCs w:val="22"/>
        </w:rPr>
        <w:t xml:space="preserve">wellbeing of adults. </w:t>
      </w:r>
    </w:p>
    <w:p w14:paraId="58853B54" w14:textId="3DC0F7E5"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4. Design and implement a nature-based intervention to enhance workplace well-being in the current education settin</w:t>
      </w:r>
      <w:r w:rsidR="3363C52A" w:rsidRPr="5ECF1BC0">
        <w:rPr>
          <w:rFonts w:ascii="Arial" w:eastAsia="Arial" w:hAnsi="Arial" w:cs="Arial"/>
          <w:color w:val="000000" w:themeColor="text1"/>
          <w:sz w:val="22"/>
          <w:szCs w:val="22"/>
        </w:rPr>
        <w:t>g and</w:t>
      </w:r>
      <w:r w:rsidRPr="5ECF1BC0">
        <w:rPr>
          <w:rFonts w:ascii="Arial" w:eastAsia="Arial" w:hAnsi="Arial" w:cs="Arial"/>
          <w:color w:val="000000" w:themeColor="text1"/>
          <w:sz w:val="22"/>
          <w:szCs w:val="22"/>
        </w:rPr>
        <w:t xml:space="preserve"> can be used and adapted in similar settings.</w:t>
      </w:r>
    </w:p>
    <w:p w14:paraId="16C658EE" w14:textId="6B054693"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5. Measure staff stress levels and wellbeing prior to and after participation in the community activities using qualitative data from semi- structured interviews, validated scales such as the Perceived Stress Scale </w:t>
      </w:r>
      <w:r w:rsidR="6F4BD7F5" w:rsidRPr="5ECF1BC0">
        <w:rPr>
          <w:rFonts w:ascii="Arial" w:eastAsia="Arial" w:hAnsi="Arial" w:cs="Arial"/>
          <w:color w:val="000000" w:themeColor="text1"/>
          <w:sz w:val="22"/>
          <w:szCs w:val="22"/>
        </w:rPr>
        <w:t xml:space="preserve">(PSS) </w:t>
      </w:r>
      <w:r w:rsidRPr="5ECF1BC0">
        <w:rPr>
          <w:rFonts w:ascii="Arial" w:eastAsia="Arial" w:hAnsi="Arial" w:cs="Arial"/>
          <w:color w:val="000000" w:themeColor="text1"/>
          <w:sz w:val="22"/>
          <w:szCs w:val="22"/>
        </w:rPr>
        <w:t xml:space="preserve">and a bespoke questionnaire on wellbeing. </w:t>
      </w:r>
    </w:p>
    <w:p w14:paraId="49FD57F1" w14:textId="175E25CC"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6. Demonstrate if the strategies, initiatives and activities had a positive impact on staff wellbeing. </w:t>
      </w:r>
    </w:p>
    <w:p w14:paraId="0EBCFB13" w14:textId="704B0B9B"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7. Evaluate which strategies positively influence staff well-being.</w:t>
      </w:r>
    </w:p>
    <w:p w14:paraId="0DC289B5" w14:textId="01998C99"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8. Develop ethical reflection and awareness, especially in relation to conducting insider research within a professional setting.</w:t>
      </w:r>
    </w:p>
    <w:p w14:paraId="0C132DB7" w14:textId="07E0D8AC"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lastRenderedPageBreak/>
        <w:t>The project will strengthen the researcher’s skills in planning, evaluation, and ethical enquiry. Institutionally, the findings aim to contribute to a healthier, more resilient staff culture, ultimately benefiting the pupils through more consistent and emotionally available staff.</w:t>
      </w:r>
    </w:p>
    <w:p w14:paraId="6A90D4CA" w14:textId="34AE1475" w:rsidR="5ECF1BC0" w:rsidRDefault="5ECF1BC0" w:rsidP="5ECF1BC0">
      <w:pPr>
        <w:spacing w:before="240" w:after="240" w:line="360" w:lineRule="auto"/>
        <w:rPr>
          <w:rFonts w:ascii="Arial" w:eastAsia="Arial" w:hAnsi="Arial" w:cs="Arial"/>
          <w:color w:val="000000" w:themeColor="text1"/>
          <w:sz w:val="22"/>
          <w:szCs w:val="22"/>
        </w:rPr>
      </w:pPr>
    </w:p>
    <w:p w14:paraId="1100C06E" w14:textId="256CBBB0" w:rsidR="5ECF1BC0" w:rsidRDefault="5ECF1BC0" w:rsidP="5ECF1BC0">
      <w:pPr>
        <w:spacing w:before="240" w:after="240" w:line="360" w:lineRule="auto"/>
        <w:rPr>
          <w:rFonts w:ascii="Arial" w:eastAsia="Arial" w:hAnsi="Arial" w:cs="Arial"/>
          <w:color w:val="000000" w:themeColor="text1"/>
          <w:sz w:val="22"/>
          <w:szCs w:val="22"/>
        </w:rPr>
      </w:pPr>
    </w:p>
    <w:p w14:paraId="48EB035D" w14:textId="2C1578EF" w:rsidR="5ECF1BC0" w:rsidRDefault="5ECF1BC0" w:rsidP="5ECF1BC0">
      <w:pPr>
        <w:spacing w:before="240" w:after="240" w:line="360" w:lineRule="auto"/>
        <w:rPr>
          <w:rFonts w:ascii="Arial" w:eastAsia="Arial" w:hAnsi="Arial" w:cs="Arial"/>
          <w:color w:val="000000" w:themeColor="text1"/>
          <w:sz w:val="22"/>
          <w:szCs w:val="22"/>
        </w:rPr>
      </w:pPr>
    </w:p>
    <w:p w14:paraId="2CB56788" w14:textId="4679E17F" w:rsidR="5ECF1BC0" w:rsidRDefault="5ECF1BC0" w:rsidP="5ECF1BC0">
      <w:pPr>
        <w:spacing w:before="240" w:after="240" w:line="360" w:lineRule="auto"/>
        <w:rPr>
          <w:rFonts w:ascii="Arial" w:eastAsia="Arial" w:hAnsi="Arial" w:cs="Arial"/>
          <w:color w:val="000000" w:themeColor="text1"/>
          <w:sz w:val="22"/>
          <w:szCs w:val="22"/>
        </w:rPr>
      </w:pPr>
    </w:p>
    <w:p w14:paraId="7BD6C8DD" w14:textId="4D59363A" w:rsidR="5ECF1BC0" w:rsidRDefault="5ECF1BC0" w:rsidP="5ECF1BC0">
      <w:pPr>
        <w:spacing w:before="240" w:after="240" w:line="360" w:lineRule="auto"/>
        <w:rPr>
          <w:rFonts w:ascii="Arial" w:eastAsia="Arial" w:hAnsi="Arial" w:cs="Arial"/>
          <w:color w:val="000000" w:themeColor="text1"/>
          <w:sz w:val="22"/>
          <w:szCs w:val="22"/>
        </w:rPr>
      </w:pPr>
    </w:p>
    <w:p w14:paraId="03747EEB" w14:textId="56DDA1C2" w:rsidR="5ECF1BC0" w:rsidRDefault="5ECF1BC0" w:rsidP="5ECF1BC0">
      <w:pPr>
        <w:spacing w:before="240" w:after="240" w:line="360" w:lineRule="auto"/>
        <w:rPr>
          <w:rFonts w:ascii="Arial" w:eastAsia="Arial" w:hAnsi="Arial" w:cs="Arial"/>
          <w:color w:val="000000" w:themeColor="text1"/>
          <w:sz w:val="22"/>
          <w:szCs w:val="22"/>
        </w:rPr>
      </w:pPr>
    </w:p>
    <w:p w14:paraId="01515626" w14:textId="46EE1BEA" w:rsidR="5ECF1BC0" w:rsidRDefault="5ECF1BC0" w:rsidP="5ECF1BC0">
      <w:pPr>
        <w:spacing w:before="240" w:after="240" w:line="360" w:lineRule="auto"/>
        <w:rPr>
          <w:rFonts w:ascii="Arial" w:eastAsia="Arial" w:hAnsi="Arial" w:cs="Arial"/>
          <w:color w:val="000000" w:themeColor="text1"/>
          <w:sz w:val="22"/>
          <w:szCs w:val="22"/>
        </w:rPr>
      </w:pPr>
    </w:p>
    <w:p w14:paraId="1110E8EE" w14:textId="20262002" w:rsidR="5ECF1BC0" w:rsidRDefault="5ECF1BC0" w:rsidP="5ECF1BC0">
      <w:pPr>
        <w:spacing w:before="240" w:after="240" w:line="360" w:lineRule="auto"/>
        <w:rPr>
          <w:rFonts w:ascii="Arial" w:eastAsia="Arial" w:hAnsi="Arial" w:cs="Arial"/>
          <w:color w:val="000000" w:themeColor="text1"/>
          <w:sz w:val="22"/>
          <w:szCs w:val="22"/>
        </w:rPr>
      </w:pPr>
    </w:p>
    <w:p w14:paraId="677473A6" w14:textId="62B8A25F" w:rsidR="5ECF1BC0" w:rsidRDefault="5ECF1BC0" w:rsidP="5ECF1BC0">
      <w:pPr>
        <w:spacing w:before="240" w:after="240" w:line="360" w:lineRule="auto"/>
        <w:rPr>
          <w:rFonts w:ascii="Arial" w:eastAsia="Arial" w:hAnsi="Arial" w:cs="Arial"/>
          <w:color w:val="000000" w:themeColor="text1"/>
          <w:sz w:val="22"/>
          <w:szCs w:val="22"/>
        </w:rPr>
      </w:pPr>
    </w:p>
    <w:p w14:paraId="682BA5EE" w14:textId="6C43F56C" w:rsidR="5ECF1BC0" w:rsidRDefault="5ECF1BC0" w:rsidP="5ECF1BC0">
      <w:pPr>
        <w:spacing w:before="240" w:after="240" w:line="360" w:lineRule="auto"/>
        <w:rPr>
          <w:rFonts w:ascii="Arial" w:eastAsia="Arial" w:hAnsi="Arial" w:cs="Arial"/>
          <w:color w:val="000000" w:themeColor="text1"/>
          <w:sz w:val="22"/>
          <w:szCs w:val="22"/>
        </w:rPr>
      </w:pPr>
    </w:p>
    <w:p w14:paraId="1D0BD976" w14:textId="5E4A3518" w:rsidR="5ECF1BC0" w:rsidRDefault="5ECF1BC0" w:rsidP="5ECF1BC0">
      <w:pPr>
        <w:spacing w:before="240" w:after="240" w:line="360" w:lineRule="auto"/>
        <w:rPr>
          <w:rFonts w:ascii="Arial" w:eastAsia="Arial" w:hAnsi="Arial" w:cs="Arial"/>
          <w:color w:val="000000" w:themeColor="text1"/>
          <w:sz w:val="22"/>
          <w:szCs w:val="22"/>
        </w:rPr>
      </w:pPr>
    </w:p>
    <w:p w14:paraId="7ED48B0D" w14:textId="77777777" w:rsidR="006C2D08" w:rsidRDefault="006C2D08" w:rsidP="5ECF1BC0">
      <w:pPr>
        <w:spacing w:before="240" w:after="240" w:line="360" w:lineRule="auto"/>
        <w:rPr>
          <w:rFonts w:ascii="Arial" w:eastAsia="Arial" w:hAnsi="Arial" w:cs="Arial"/>
          <w:color w:val="000000" w:themeColor="text1"/>
          <w:sz w:val="22"/>
          <w:szCs w:val="22"/>
        </w:rPr>
      </w:pPr>
    </w:p>
    <w:p w14:paraId="58FC8605" w14:textId="77777777" w:rsidR="006C2D08" w:rsidRDefault="006C2D08" w:rsidP="5ECF1BC0">
      <w:pPr>
        <w:spacing w:before="240" w:after="240" w:line="360" w:lineRule="auto"/>
        <w:rPr>
          <w:rFonts w:ascii="Arial" w:eastAsia="Arial" w:hAnsi="Arial" w:cs="Arial"/>
          <w:color w:val="000000" w:themeColor="text1"/>
          <w:sz w:val="22"/>
          <w:szCs w:val="22"/>
        </w:rPr>
      </w:pPr>
    </w:p>
    <w:p w14:paraId="3D3BCFF8" w14:textId="77777777" w:rsidR="006C2D08" w:rsidRDefault="006C2D08" w:rsidP="5ECF1BC0">
      <w:pPr>
        <w:spacing w:before="240" w:after="240" w:line="360" w:lineRule="auto"/>
        <w:rPr>
          <w:rFonts w:ascii="Arial" w:eastAsia="Arial" w:hAnsi="Arial" w:cs="Arial"/>
          <w:color w:val="000000" w:themeColor="text1"/>
          <w:sz w:val="22"/>
          <w:szCs w:val="22"/>
        </w:rPr>
      </w:pPr>
    </w:p>
    <w:p w14:paraId="135A3A3C" w14:textId="77777777" w:rsidR="006C2D08" w:rsidRDefault="006C2D08" w:rsidP="5ECF1BC0">
      <w:pPr>
        <w:spacing w:before="240" w:after="240" w:line="360" w:lineRule="auto"/>
        <w:rPr>
          <w:rFonts w:ascii="Arial" w:eastAsia="Arial" w:hAnsi="Arial" w:cs="Arial"/>
          <w:color w:val="000000" w:themeColor="text1"/>
          <w:sz w:val="22"/>
          <w:szCs w:val="22"/>
        </w:rPr>
      </w:pPr>
    </w:p>
    <w:p w14:paraId="4101ADEB" w14:textId="77777777" w:rsidR="006C2D08" w:rsidRDefault="006C2D08" w:rsidP="5ECF1BC0">
      <w:pPr>
        <w:spacing w:before="240" w:after="240" w:line="360" w:lineRule="auto"/>
        <w:rPr>
          <w:rFonts w:ascii="Arial" w:eastAsia="Arial" w:hAnsi="Arial" w:cs="Arial"/>
          <w:color w:val="000000" w:themeColor="text1"/>
          <w:sz w:val="22"/>
          <w:szCs w:val="22"/>
        </w:rPr>
      </w:pPr>
    </w:p>
    <w:p w14:paraId="778851E2" w14:textId="77777777" w:rsidR="006C2D08" w:rsidRDefault="006C2D08" w:rsidP="5ECF1BC0">
      <w:pPr>
        <w:spacing w:before="240" w:after="240" w:line="360" w:lineRule="auto"/>
        <w:rPr>
          <w:rFonts w:ascii="Arial" w:eastAsia="Arial" w:hAnsi="Arial" w:cs="Arial"/>
          <w:color w:val="000000" w:themeColor="text1"/>
          <w:sz w:val="22"/>
          <w:szCs w:val="22"/>
        </w:rPr>
      </w:pPr>
    </w:p>
    <w:p w14:paraId="0D049EFB" w14:textId="5081AA95" w:rsidR="3F29B626" w:rsidRDefault="3F29B626" w:rsidP="3F29B626">
      <w:pPr>
        <w:spacing w:before="240" w:after="240" w:line="360" w:lineRule="auto"/>
        <w:rPr>
          <w:rFonts w:ascii="Arial" w:eastAsia="Arial" w:hAnsi="Arial" w:cs="Arial"/>
          <w:b/>
          <w:bCs/>
          <w:color w:val="000000" w:themeColor="text1"/>
          <w:sz w:val="22"/>
          <w:szCs w:val="22"/>
          <w:u w:val="single"/>
        </w:rPr>
      </w:pPr>
    </w:p>
    <w:p w14:paraId="1BCE5D45" w14:textId="4AA0679C" w:rsidR="1F9151B1" w:rsidRDefault="369C3725" w:rsidP="3F29B626">
      <w:pPr>
        <w:spacing w:before="240" w:after="240" w:line="360" w:lineRule="auto"/>
        <w:rPr>
          <w:rFonts w:ascii="Arial" w:eastAsia="Arial" w:hAnsi="Arial" w:cs="Arial"/>
          <w:b/>
          <w:bCs/>
          <w:color w:val="000000" w:themeColor="text1"/>
          <w:sz w:val="22"/>
          <w:szCs w:val="22"/>
          <w:u w:val="single"/>
        </w:rPr>
      </w:pPr>
      <w:r w:rsidRPr="3F29B626">
        <w:rPr>
          <w:rFonts w:ascii="Arial" w:eastAsia="Arial" w:hAnsi="Arial" w:cs="Arial"/>
          <w:b/>
          <w:bCs/>
          <w:color w:val="000000" w:themeColor="text1"/>
          <w:sz w:val="22"/>
          <w:szCs w:val="22"/>
          <w:u w:val="single"/>
        </w:rPr>
        <w:t>I</w:t>
      </w:r>
      <w:r w:rsidR="471817A2" w:rsidRPr="3F29B626">
        <w:rPr>
          <w:rFonts w:ascii="Arial" w:eastAsia="Arial" w:hAnsi="Arial" w:cs="Arial"/>
          <w:b/>
          <w:bCs/>
          <w:color w:val="000000" w:themeColor="text1"/>
          <w:sz w:val="22"/>
          <w:szCs w:val="22"/>
          <w:u w:val="single"/>
        </w:rPr>
        <w:t>NTRODUCTION</w:t>
      </w:r>
    </w:p>
    <w:p w14:paraId="4F7E6229" w14:textId="625066C0" w:rsidR="1F9151B1" w:rsidRDefault="2BD08BD0" w:rsidP="0BBEACF1">
      <w:pPr>
        <w:spacing w:before="240" w:after="240" w:line="360" w:lineRule="auto"/>
        <w:rPr>
          <w:rFonts w:ascii="Arial" w:eastAsia="Arial" w:hAnsi="Arial" w:cs="Arial"/>
          <w:color w:val="000000" w:themeColor="text1"/>
          <w:sz w:val="22"/>
          <w:szCs w:val="22"/>
        </w:rPr>
      </w:pPr>
      <w:r w:rsidRPr="0BBEACF1">
        <w:rPr>
          <w:rFonts w:ascii="Arial" w:eastAsia="Arial" w:hAnsi="Arial" w:cs="Arial"/>
          <w:color w:val="000000" w:themeColor="text1"/>
          <w:sz w:val="22"/>
          <w:szCs w:val="22"/>
        </w:rPr>
        <w:t xml:space="preserve">Recent years have witnessed growing recognition of the positive impact of nature on mental health and wellbeing, particularly within high-stress environments. The University of </w:t>
      </w:r>
      <w:r w:rsidRPr="0BBEACF1">
        <w:rPr>
          <w:rFonts w:ascii="Arial" w:eastAsia="Arial" w:hAnsi="Arial" w:cs="Arial"/>
          <w:color w:val="000000" w:themeColor="text1"/>
          <w:sz w:val="22"/>
          <w:szCs w:val="22"/>
        </w:rPr>
        <w:lastRenderedPageBreak/>
        <w:t>Sheffield’s Green Social Prescribing Evaluation Report (Centre for Sustainable Healthcare and University of Sheffield, 2023) highlights that participants engaging in regular outdoor activities such as gardening, nature walks, and conservation projects reported significant improvements in their emotional wellbeing. Specifically, the study found reductions in anxiety and depression alongside increased feelings of happiness, social connection, and life satisfaction. These improvements were especially evident among individuals who initially demonstrated lower-than-average wellbeing, suggesting that nature-based initiatives can act as powerful early interventions for vulnerable populations. This evidence supports the rationale for investigating the potential benefits of an outdoor-based wellbeing community in a special school setting, where occupational stress and emotional demands on staff are particularly high.</w:t>
      </w:r>
    </w:p>
    <w:p w14:paraId="20A964FE" w14:textId="556FA7E4"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The setting for this research is a special school for pupils with Profound and Multiple Learning Difficulties (PMLD) and Severe Learning Difficulties (SLD). Staff working in this environment face unique and persistent challenges. Due to the complex medical, behavioural, and emotional needs of the pupils, the staff-to-pupil ratio must be high, and the emotional investment in daily routines is considerable. Over time, these demands, compounded by broader social and financial pressures, have contributed to noticeable declines in staff wellbeing and increased staff absence. As consistency and relationships are fundamental to pupil development in special education, frequent staff turnover and absence not only burden colleagues but also disrupt the care and progress of the pupils themselves.</w:t>
      </w:r>
    </w:p>
    <w:p w14:paraId="44B466B3" w14:textId="2917D6FD" w:rsidR="1F9151B1" w:rsidRDefault="1F9151B1" w:rsidP="5ECF1BC0">
      <w:pPr>
        <w:spacing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Considering the ongoing challenges affecting staff wellbeing, there is a growing recognition of the need for innovative and holistic strategies that move beyond traditional, reactive interventions such as counselling, occupational health referrals and crisis support. </w:t>
      </w:r>
      <w:r w:rsidR="3EB0C116" w:rsidRPr="5ECF1BC0">
        <w:rPr>
          <w:rFonts w:ascii="Arial" w:eastAsia="Arial" w:hAnsi="Arial" w:cs="Arial"/>
          <w:color w:val="000000" w:themeColor="text1"/>
          <w:sz w:val="22"/>
          <w:szCs w:val="22"/>
        </w:rPr>
        <w:t xml:space="preserve"> T</w:t>
      </w:r>
      <w:r w:rsidRPr="5ECF1BC0">
        <w:rPr>
          <w:rFonts w:ascii="Arial" w:eastAsia="Arial" w:hAnsi="Arial" w:cs="Arial"/>
          <w:color w:val="000000" w:themeColor="text1"/>
          <w:sz w:val="22"/>
          <w:szCs w:val="22"/>
        </w:rPr>
        <w:t xml:space="preserve">he World Health Organization (2022) </w:t>
      </w:r>
      <w:r w:rsidR="2B6775CD" w:rsidRPr="5ECF1BC0">
        <w:rPr>
          <w:rFonts w:ascii="Arial" w:eastAsia="Arial" w:hAnsi="Arial" w:cs="Arial"/>
          <w:color w:val="000000" w:themeColor="text1"/>
          <w:sz w:val="22"/>
          <w:szCs w:val="22"/>
        </w:rPr>
        <w:t>emphasises that</w:t>
      </w:r>
      <w:r w:rsidRPr="5ECF1BC0">
        <w:rPr>
          <w:rFonts w:ascii="Arial" w:eastAsia="Arial" w:hAnsi="Arial" w:cs="Arial"/>
          <w:color w:val="000000" w:themeColor="text1"/>
          <w:sz w:val="22"/>
          <w:szCs w:val="22"/>
        </w:rPr>
        <w:t xml:space="preserve"> workplace mental health</w:t>
      </w:r>
      <w:r w:rsidR="4FDFDB86" w:rsidRPr="5ECF1BC0">
        <w:rPr>
          <w:rFonts w:ascii="Arial" w:eastAsia="Arial" w:hAnsi="Arial" w:cs="Arial"/>
          <w:color w:val="000000" w:themeColor="text1"/>
          <w:sz w:val="22"/>
          <w:szCs w:val="22"/>
        </w:rPr>
        <w:t xml:space="preserve"> should prioritise preventative, </w:t>
      </w:r>
      <w:r w:rsidRPr="5ECF1BC0">
        <w:rPr>
          <w:rFonts w:ascii="Arial" w:eastAsia="Arial" w:hAnsi="Arial" w:cs="Arial"/>
          <w:color w:val="000000" w:themeColor="text1"/>
          <w:sz w:val="22"/>
          <w:szCs w:val="22"/>
        </w:rPr>
        <w:t xml:space="preserve">community-based </w:t>
      </w:r>
      <w:r w:rsidR="146ADB2D" w:rsidRPr="5ECF1BC0">
        <w:rPr>
          <w:rFonts w:ascii="Arial" w:eastAsia="Arial" w:hAnsi="Arial" w:cs="Arial"/>
          <w:color w:val="000000" w:themeColor="text1"/>
          <w:sz w:val="22"/>
          <w:szCs w:val="22"/>
        </w:rPr>
        <w:t xml:space="preserve">approaches </w:t>
      </w:r>
      <w:r w:rsidRPr="5ECF1BC0">
        <w:rPr>
          <w:rFonts w:ascii="Arial" w:eastAsia="Arial" w:hAnsi="Arial" w:cs="Arial"/>
          <w:color w:val="000000" w:themeColor="text1"/>
          <w:sz w:val="22"/>
          <w:szCs w:val="22"/>
        </w:rPr>
        <w:t xml:space="preserve">that </w:t>
      </w:r>
      <w:r w:rsidR="53FA3711" w:rsidRPr="5ECF1BC0">
        <w:rPr>
          <w:rFonts w:ascii="Arial" w:eastAsia="Arial" w:hAnsi="Arial" w:cs="Arial"/>
          <w:color w:val="000000" w:themeColor="text1"/>
          <w:sz w:val="22"/>
          <w:szCs w:val="22"/>
        </w:rPr>
        <w:t>build suppor</w:t>
      </w:r>
      <w:r w:rsidRPr="5ECF1BC0">
        <w:rPr>
          <w:rFonts w:ascii="Arial" w:eastAsia="Arial" w:hAnsi="Arial" w:cs="Arial"/>
          <w:color w:val="000000" w:themeColor="text1"/>
          <w:sz w:val="22"/>
          <w:szCs w:val="22"/>
        </w:rPr>
        <w:t xml:space="preserve">t, resilience and belonging </w:t>
      </w:r>
      <w:r w:rsidR="7132B2BA" w:rsidRPr="5ECF1BC0">
        <w:rPr>
          <w:rFonts w:ascii="Arial" w:eastAsia="Arial" w:hAnsi="Arial" w:cs="Arial"/>
          <w:color w:val="000000" w:themeColor="text1"/>
          <w:sz w:val="22"/>
          <w:szCs w:val="22"/>
        </w:rPr>
        <w:t xml:space="preserve">rather than relying solely on crisis driven interventions. </w:t>
      </w:r>
      <w:r w:rsidRPr="5ECF1BC0">
        <w:rPr>
          <w:rFonts w:ascii="Arial" w:eastAsia="Arial" w:hAnsi="Arial" w:cs="Arial"/>
          <w:color w:val="000000" w:themeColor="text1"/>
          <w:sz w:val="22"/>
          <w:szCs w:val="22"/>
        </w:rPr>
        <w:t xml:space="preserve"> Within this context, nature-based activities, particularly those that are shared and community-driven, offer a promising avenue.  A systematic review of literature by Yau and Loke (2020) examining the effects of forest bathing on adults with pre-hypertension and hypertension found that a single two-hour forest walk produced both physiological and psychological relaxation effects, suggesting that structured outdoor and nature-based engagement can contribute to </w:t>
      </w:r>
      <w:r w:rsidR="5C7FD35D" w:rsidRPr="5ECF1BC0">
        <w:rPr>
          <w:rFonts w:ascii="Arial" w:eastAsia="Arial" w:hAnsi="Arial" w:cs="Arial"/>
          <w:color w:val="000000" w:themeColor="text1"/>
          <w:sz w:val="22"/>
          <w:szCs w:val="22"/>
        </w:rPr>
        <w:t xml:space="preserve">a reduction in </w:t>
      </w:r>
      <w:r w:rsidRPr="5ECF1BC0">
        <w:rPr>
          <w:rFonts w:ascii="Arial" w:eastAsia="Arial" w:hAnsi="Arial" w:cs="Arial"/>
          <w:color w:val="000000" w:themeColor="text1"/>
          <w:sz w:val="22"/>
          <w:szCs w:val="22"/>
        </w:rPr>
        <w:t xml:space="preserve">stress , </w:t>
      </w:r>
      <w:r w:rsidR="3E9AA38F" w:rsidRPr="5ECF1BC0">
        <w:rPr>
          <w:rFonts w:ascii="Arial" w:eastAsia="Arial" w:hAnsi="Arial" w:cs="Arial"/>
          <w:color w:val="000000" w:themeColor="text1"/>
          <w:sz w:val="22"/>
          <w:szCs w:val="22"/>
        </w:rPr>
        <w:t xml:space="preserve">improvements in </w:t>
      </w:r>
      <w:r w:rsidRPr="5ECF1BC0">
        <w:rPr>
          <w:rFonts w:ascii="Arial" w:eastAsia="Arial" w:hAnsi="Arial" w:cs="Arial"/>
          <w:color w:val="000000" w:themeColor="text1"/>
          <w:sz w:val="22"/>
          <w:szCs w:val="22"/>
        </w:rPr>
        <w:t>psychological restoration, and</w:t>
      </w:r>
      <w:r w:rsidR="086AC9FB" w:rsidRPr="5ECF1BC0">
        <w:rPr>
          <w:rFonts w:ascii="Arial" w:eastAsia="Arial" w:hAnsi="Arial" w:cs="Arial"/>
          <w:color w:val="000000" w:themeColor="text1"/>
          <w:sz w:val="22"/>
          <w:szCs w:val="22"/>
        </w:rPr>
        <w:t xml:space="preserve"> enhanced</w:t>
      </w:r>
      <w:r w:rsidRPr="5ECF1BC0">
        <w:rPr>
          <w:rFonts w:ascii="Arial" w:eastAsia="Arial" w:hAnsi="Arial" w:cs="Arial"/>
          <w:color w:val="000000" w:themeColor="text1"/>
          <w:sz w:val="22"/>
          <w:szCs w:val="22"/>
        </w:rPr>
        <w:t xml:space="preserve"> social cohesion.  </w:t>
      </w:r>
    </w:p>
    <w:p w14:paraId="0EBF9980" w14:textId="14628E66" w:rsidR="1F9151B1" w:rsidRDefault="1F9151B1" w:rsidP="5ECF1BC0">
      <w:pPr>
        <w:spacing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Building upon this evidence, the project aims to evaluate whether the implementation of a structured outdoor wellbeing community can offer a sustainable and effective model for enhancing </w:t>
      </w:r>
      <w:r w:rsidR="0C32B997" w:rsidRPr="5ECF1BC0">
        <w:rPr>
          <w:rFonts w:ascii="Arial" w:eastAsia="Arial" w:hAnsi="Arial" w:cs="Arial"/>
          <w:color w:val="000000" w:themeColor="text1"/>
          <w:sz w:val="22"/>
          <w:szCs w:val="22"/>
        </w:rPr>
        <w:t xml:space="preserve">mental and </w:t>
      </w:r>
      <w:r w:rsidRPr="5ECF1BC0">
        <w:rPr>
          <w:rFonts w:ascii="Arial" w:eastAsia="Arial" w:hAnsi="Arial" w:cs="Arial"/>
          <w:color w:val="000000" w:themeColor="text1"/>
          <w:sz w:val="22"/>
          <w:szCs w:val="22"/>
        </w:rPr>
        <w:t xml:space="preserve">emotional wellbeing and reducing </w:t>
      </w:r>
      <w:r w:rsidR="29DF3F1B" w:rsidRPr="5ECF1BC0">
        <w:rPr>
          <w:rFonts w:ascii="Arial" w:eastAsia="Arial" w:hAnsi="Arial" w:cs="Arial"/>
          <w:color w:val="000000" w:themeColor="text1"/>
          <w:sz w:val="22"/>
          <w:szCs w:val="22"/>
        </w:rPr>
        <w:t xml:space="preserve">inconsistencies </w:t>
      </w:r>
      <w:r w:rsidRPr="5ECF1BC0">
        <w:rPr>
          <w:rFonts w:ascii="Arial" w:eastAsia="Arial" w:hAnsi="Arial" w:cs="Arial"/>
          <w:color w:val="000000" w:themeColor="text1"/>
          <w:sz w:val="22"/>
          <w:szCs w:val="22"/>
        </w:rPr>
        <w:t xml:space="preserve">among staff in a </w:t>
      </w:r>
      <w:r w:rsidRPr="5ECF1BC0">
        <w:rPr>
          <w:rFonts w:ascii="Arial" w:eastAsia="Arial" w:hAnsi="Arial" w:cs="Arial"/>
          <w:color w:val="000000" w:themeColor="text1"/>
          <w:sz w:val="22"/>
          <w:szCs w:val="22"/>
        </w:rPr>
        <w:lastRenderedPageBreak/>
        <w:t>special school context.  Activities such as guided walks, forest therapy, and reflective coastal activities will be introduced with the intention of fostering a sense of shared purpose and emotional connection through nature-based experiences. If successful, the outcomes could provide a practical, low-cost model that other educational settings could replicate to improve staff wellbeing and retention.</w:t>
      </w:r>
    </w:p>
    <w:p w14:paraId="7E404DD3" w14:textId="3053DE39" w:rsidR="1F9151B1" w:rsidRDefault="1F9151B1"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Through undertaking this study, several key learning outcomes are anticipated. The researcher aims to develop advanced research skills, including mixed-methods data collection and critical analysis. Additionally, the project will provide a deeper understanding of evidence-based approaches to wellbeing in educational contexts. A practical wellbeing toolkit will be created, adaptable for similar school environments, and empirical data will be gathered to demonstrate the effectiveness of nature-based interventions. Finally, conducting insider research ethically and responsibly will further enhance the researcher’s critical reflection and professional practice, contributing both personally and institutionally to a healthier, more sustainable workplace culture.</w:t>
      </w:r>
    </w:p>
    <w:p w14:paraId="0F1BBD78" w14:textId="02DD9D37" w:rsidR="5ECF1BC0" w:rsidRDefault="5ECF1BC0" w:rsidP="5ECF1BC0">
      <w:pPr>
        <w:spacing w:before="240" w:after="240" w:line="360" w:lineRule="auto"/>
        <w:rPr>
          <w:rFonts w:ascii="Arial" w:eastAsia="Arial" w:hAnsi="Arial" w:cs="Arial"/>
          <w:color w:val="000000" w:themeColor="text1"/>
          <w:sz w:val="22"/>
          <w:szCs w:val="22"/>
        </w:rPr>
      </w:pPr>
    </w:p>
    <w:p w14:paraId="591337F0" w14:textId="5B097E3E" w:rsidR="5ECF1BC0" w:rsidRDefault="5ECF1BC0" w:rsidP="5ECF1BC0">
      <w:pPr>
        <w:spacing w:before="240" w:after="240" w:line="360" w:lineRule="auto"/>
        <w:rPr>
          <w:rFonts w:ascii="Arial" w:eastAsia="Arial" w:hAnsi="Arial" w:cs="Arial"/>
          <w:color w:val="000000" w:themeColor="text1"/>
          <w:sz w:val="22"/>
          <w:szCs w:val="22"/>
        </w:rPr>
      </w:pPr>
    </w:p>
    <w:p w14:paraId="117CBA59" w14:textId="14CE16BA" w:rsidR="5ECF1BC0" w:rsidRDefault="5ECF1BC0" w:rsidP="5ECF1BC0">
      <w:pPr>
        <w:spacing w:before="240" w:after="240" w:line="360" w:lineRule="auto"/>
        <w:rPr>
          <w:rFonts w:ascii="Arial" w:eastAsia="Arial" w:hAnsi="Arial" w:cs="Arial"/>
          <w:color w:val="000000" w:themeColor="text1"/>
          <w:sz w:val="22"/>
          <w:szCs w:val="22"/>
        </w:rPr>
      </w:pPr>
    </w:p>
    <w:p w14:paraId="3B904057" w14:textId="40157446" w:rsidR="5ECF1BC0" w:rsidRDefault="5ECF1BC0" w:rsidP="5ECF1BC0">
      <w:pPr>
        <w:spacing w:before="240" w:after="240" w:line="360" w:lineRule="auto"/>
        <w:rPr>
          <w:rFonts w:ascii="Arial" w:eastAsia="Arial" w:hAnsi="Arial" w:cs="Arial"/>
          <w:color w:val="000000" w:themeColor="text1"/>
          <w:sz w:val="22"/>
          <w:szCs w:val="22"/>
        </w:rPr>
      </w:pPr>
    </w:p>
    <w:p w14:paraId="143A5935" w14:textId="2B698E09" w:rsidR="5ECF1BC0" w:rsidRDefault="5ECF1BC0" w:rsidP="5ECF1BC0">
      <w:pPr>
        <w:spacing w:before="240" w:after="240" w:line="360" w:lineRule="auto"/>
        <w:rPr>
          <w:rFonts w:ascii="Arial" w:eastAsia="Arial" w:hAnsi="Arial" w:cs="Arial"/>
          <w:color w:val="000000" w:themeColor="text1"/>
          <w:sz w:val="22"/>
          <w:szCs w:val="22"/>
        </w:rPr>
      </w:pPr>
    </w:p>
    <w:p w14:paraId="6A0869DE" w14:textId="1BB3C869" w:rsidR="5ECF1BC0" w:rsidRDefault="5ECF1BC0" w:rsidP="5ECF1BC0">
      <w:pPr>
        <w:spacing w:before="240" w:after="240" w:line="360" w:lineRule="auto"/>
        <w:rPr>
          <w:rFonts w:ascii="Arial" w:eastAsia="Arial" w:hAnsi="Arial" w:cs="Arial"/>
          <w:color w:val="000000" w:themeColor="text1"/>
          <w:sz w:val="22"/>
          <w:szCs w:val="22"/>
        </w:rPr>
      </w:pPr>
    </w:p>
    <w:p w14:paraId="23507CB2" w14:textId="6CAD156C" w:rsidR="5ECF1BC0" w:rsidRDefault="5ECF1BC0" w:rsidP="5ECF1BC0">
      <w:pPr>
        <w:spacing w:before="240" w:after="240" w:line="360" w:lineRule="auto"/>
        <w:rPr>
          <w:rFonts w:ascii="Arial" w:eastAsia="Arial" w:hAnsi="Arial" w:cs="Arial"/>
          <w:color w:val="000000" w:themeColor="text1"/>
          <w:sz w:val="22"/>
          <w:szCs w:val="22"/>
        </w:rPr>
      </w:pPr>
    </w:p>
    <w:p w14:paraId="242A3B84" w14:textId="12B864A3" w:rsidR="5ECF1BC0" w:rsidRDefault="5ECF1BC0" w:rsidP="5ECF1BC0">
      <w:pPr>
        <w:spacing w:before="240" w:after="240" w:line="360" w:lineRule="auto"/>
        <w:rPr>
          <w:rFonts w:ascii="Arial" w:eastAsia="Arial" w:hAnsi="Arial" w:cs="Arial"/>
          <w:color w:val="000000" w:themeColor="text1"/>
          <w:sz w:val="22"/>
          <w:szCs w:val="22"/>
        </w:rPr>
      </w:pPr>
    </w:p>
    <w:p w14:paraId="5A20D6DC" w14:textId="77777777" w:rsidR="006C2D08" w:rsidRDefault="006C2D08" w:rsidP="5ECF1BC0">
      <w:pPr>
        <w:spacing w:before="240" w:after="240" w:line="360" w:lineRule="auto"/>
        <w:rPr>
          <w:rFonts w:ascii="Arial" w:eastAsia="Arial" w:hAnsi="Arial" w:cs="Arial"/>
          <w:color w:val="000000" w:themeColor="text1"/>
          <w:sz w:val="22"/>
          <w:szCs w:val="22"/>
        </w:rPr>
      </w:pPr>
    </w:p>
    <w:p w14:paraId="33C86FED" w14:textId="13633A40" w:rsidR="5ECF1BC0" w:rsidRDefault="5ECF1BC0" w:rsidP="5ECF1BC0">
      <w:pPr>
        <w:spacing w:before="240" w:after="240" w:line="360" w:lineRule="auto"/>
        <w:rPr>
          <w:rFonts w:ascii="Arial" w:eastAsia="Arial" w:hAnsi="Arial" w:cs="Arial"/>
          <w:color w:val="000000" w:themeColor="text1"/>
          <w:sz w:val="22"/>
          <w:szCs w:val="22"/>
        </w:rPr>
      </w:pPr>
    </w:p>
    <w:p w14:paraId="461E0786" w14:textId="4620BC22" w:rsidR="5ECF1BC0" w:rsidRDefault="5ECF1BC0" w:rsidP="5ECF1BC0">
      <w:pPr>
        <w:spacing w:before="240" w:after="240" w:line="360" w:lineRule="auto"/>
        <w:rPr>
          <w:rFonts w:ascii="Arial" w:eastAsia="Arial" w:hAnsi="Arial" w:cs="Arial"/>
          <w:color w:val="000000" w:themeColor="text1"/>
          <w:sz w:val="22"/>
          <w:szCs w:val="22"/>
        </w:rPr>
      </w:pPr>
    </w:p>
    <w:p w14:paraId="501AA255" w14:textId="7DE9ABC5" w:rsidR="27811222" w:rsidRDefault="10F1343D" w:rsidP="0BBEACF1">
      <w:pPr>
        <w:spacing w:before="240" w:after="240" w:line="360" w:lineRule="auto"/>
        <w:rPr>
          <w:rFonts w:ascii="Arial" w:eastAsia="Arial" w:hAnsi="Arial" w:cs="Arial"/>
          <w:color w:val="000000" w:themeColor="text1"/>
          <w:sz w:val="22"/>
          <w:szCs w:val="22"/>
          <w:u w:val="single"/>
        </w:rPr>
      </w:pPr>
      <w:r w:rsidRPr="0BBEACF1">
        <w:rPr>
          <w:rFonts w:ascii="Arial" w:eastAsia="Arial" w:hAnsi="Arial" w:cs="Arial"/>
          <w:b/>
          <w:bCs/>
          <w:color w:val="000000" w:themeColor="text1"/>
          <w:sz w:val="22"/>
          <w:szCs w:val="22"/>
          <w:u w:val="single"/>
        </w:rPr>
        <w:t>LITERATURE REVIEW</w:t>
      </w:r>
    </w:p>
    <w:p w14:paraId="6B3C7BEF" w14:textId="2EB0BC6C"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 xml:space="preserve">A literature review of nature-based communities and the impact on adult mental health. </w:t>
      </w:r>
    </w:p>
    <w:p w14:paraId="53279191" w14:textId="0834E8D1"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lastRenderedPageBreak/>
        <w:t>The increasing recognition of mental health challenges among adults, particularly those working in high-stress professions such as education, has prompted a significant shift in the research landscape toward preventative and holistic wellbeing interventions. This literature review critically explores the evidence base for nature-based and group exercise interventions, especially those situated in green and blue spaces, as strategies for enhancing adult mental health. It also examines the role of community and social connectedness in fostering psychological resilience and improving longevity. The review is underpinned by foundational theories such as Attention Restoration Theory (Kaplan and Kaplan, 1989, cited in Simply Psychology, 2025) and The Biophilia Hypothesis (Wilson, 1984, cited in Britannica, 2025), offering a multidimensional lens on the dynamic relationship between natural environments, human behaviour, and psychological wellbeing.</w:t>
      </w:r>
    </w:p>
    <w:p w14:paraId="72442F61" w14:textId="55BE2C46" w:rsidR="27811222" w:rsidRDefault="27811222" w:rsidP="5ECF1BC0">
      <w:p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Having personally and professionally observed the significant toll that school-based roles can take on staff wellbeing, this review was undertaken to explore adaptive strategies for emotional regulation and wellbei</w:t>
      </w:r>
      <w:r w:rsidRPr="5ECF1BC0">
        <w:rPr>
          <w:color w:val="000000" w:themeColor="text1"/>
          <w:sz w:val="22"/>
          <w:szCs w:val="22"/>
        </w:rPr>
        <w:t xml:space="preserve">ng, </w:t>
      </w:r>
      <w:r w:rsidR="3A769482" w:rsidRPr="5ECF1BC0">
        <w:rPr>
          <w:sz w:val="22"/>
          <w:szCs w:val="22"/>
        </w:rPr>
        <w:t>rather than the maladaptive coping approaches often observed in high‑stress educational environments, including substance‑based coping, elevated emotional responses, and unstructured venting.</w:t>
      </w:r>
    </w:p>
    <w:p w14:paraId="1A443C25" w14:textId="0301FDF2"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Many educators, dedicated to the care of others, often neglect their own health. In this context, nature-based interventions, aligned with the ethos of "prevention is better than cure", present a promising, sustainable approach for institutional wellbeing strategies. </w:t>
      </w:r>
    </w:p>
    <w:p w14:paraId="5408CB56" w14:textId="5E961BEF"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Mental health challenges among education professionals are well-documented. Kidger et al. (2016) identified elevated depressive symptoms among secondary school teachers. In special education, these stressors are often intensified due to the emotional demands of supporting pupils with such complex needs. </w:t>
      </w:r>
    </w:p>
    <w:p w14:paraId="0342D0C1" w14:textId="7013DBC1" w:rsidR="5ECF1BC0"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Geary et al. (2023) demonstrated that exposure to green and blue spaces significantly improved wellbeing in high-emotion-labour settings. These findings advocate for the integration of nature-based strategies into school staff wellbeing frameworks. Given individual variability in nature affinity, interventions should be tailored—offering guided nature walks, mindfulness practices, or green activity programs. However, successful implementation depends on leadership commitment and policies that explicitly prioritise staff wellbeing. The aim of this research is to advocate for a policy framework in which wellbeing is treated as a systemic imperative rather than a discretionary concern.</w:t>
      </w:r>
    </w:p>
    <w:p w14:paraId="2CE45775" w14:textId="08C9FC50"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Natural Environments</w:t>
      </w:r>
    </w:p>
    <w:p w14:paraId="7B8A48FE" w14:textId="4D08C1E6" w:rsidR="5ECF1BC0"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lastRenderedPageBreak/>
        <w:t>Humans are instinctively drawn to forests and coastlines for rest and recuperation. Activities like yoga, breathwork, and meditation are frequently practiced in these settings, reflecting a tacit awareness of their calming effects. Wilson’s (1984, cited in Britannica, 2025) biophilia hypothesis supports this notion, suggesting an innate human tendency to seek connection with nature.</w:t>
      </w:r>
      <w:r w:rsidR="03CC87E0" w:rsidRPr="5ECF1BC0">
        <w:rPr>
          <w:rFonts w:ascii="Arial" w:eastAsia="Arial" w:hAnsi="Arial" w:cs="Arial"/>
          <w:color w:val="000000" w:themeColor="text1"/>
          <w:sz w:val="22"/>
          <w:szCs w:val="22"/>
        </w:rPr>
        <w:t xml:space="preserve"> </w:t>
      </w:r>
      <w:r w:rsidRPr="5ECF1BC0">
        <w:rPr>
          <w:rFonts w:ascii="Arial" w:eastAsia="Arial" w:hAnsi="Arial" w:cs="Arial"/>
          <w:color w:val="000000" w:themeColor="text1"/>
          <w:sz w:val="22"/>
          <w:szCs w:val="22"/>
        </w:rPr>
        <w:t xml:space="preserve"> Understanding these </w:t>
      </w:r>
      <w:r w:rsidR="330C000E" w:rsidRPr="5ECF1BC0">
        <w:rPr>
          <w:rFonts w:ascii="Arial" w:eastAsia="Arial" w:hAnsi="Arial" w:cs="Arial"/>
          <w:color w:val="000000" w:themeColor="text1"/>
          <w:sz w:val="22"/>
          <w:szCs w:val="22"/>
        </w:rPr>
        <w:t>relationships</w:t>
      </w:r>
      <w:r w:rsidRPr="5ECF1BC0">
        <w:rPr>
          <w:rFonts w:ascii="Arial" w:eastAsia="Arial" w:hAnsi="Arial" w:cs="Arial"/>
          <w:color w:val="000000" w:themeColor="text1"/>
          <w:sz w:val="22"/>
          <w:szCs w:val="22"/>
        </w:rPr>
        <w:t xml:space="preserve"> can inform the development of workplace health interventions and policy. To support this, school architecture and organisational wellbeing strategies should ideally embed access to green and blue spaces as a routine element of the working day. However, in settings where such integration is constrained by environmental or logistical limitations, every effort should be made to encourage staff to engage with neighbouring natural spaces, thereby ensuring equitable opportunities for restorative experiences.</w:t>
      </w:r>
    </w:p>
    <w:p w14:paraId="65CD64F5" w14:textId="7ADDB32E"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Green Spaces</w:t>
      </w:r>
    </w:p>
    <w:p w14:paraId="6CD8DB0D" w14:textId="76F87BC6"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The physiological benefits of forest environments have been extensively explored. A recent focused review by Li (2022) synthesises clinical and experimental research demonstrating the preventive effects of Shinrin-</w:t>
      </w:r>
      <w:r w:rsidR="5DFC0417" w:rsidRPr="5ECF1BC0">
        <w:rPr>
          <w:rFonts w:ascii="Arial" w:eastAsia="Arial" w:hAnsi="Arial" w:cs="Arial"/>
          <w:color w:val="000000" w:themeColor="text1"/>
          <w:sz w:val="22"/>
          <w:szCs w:val="22"/>
        </w:rPr>
        <w:t>Y</w:t>
      </w:r>
      <w:r w:rsidRPr="5ECF1BC0">
        <w:rPr>
          <w:rFonts w:ascii="Arial" w:eastAsia="Arial" w:hAnsi="Arial" w:cs="Arial"/>
          <w:color w:val="000000" w:themeColor="text1"/>
          <w:sz w:val="22"/>
          <w:szCs w:val="22"/>
        </w:rPr>
        <w:t>oku (forest bathing) on health promotion and disease prevention. Significant reductions in systolic and diastolic blood pressure, pulse rate, and stress hormones such as adrenaline and cortisol were consistently observed. These outcomes are linked to increased parasympathetic nervous system activity, as indicated by heart rate variability (HRV), which supports autonomic balance and cardiovascular resilience. Further benefits have shown to include improved sleep quality.  Li (2022) attributes these physiological improvements to several mechanisms, including phytoncides emitted by trees, reduced environmental noise, and psychological relaxation. Collectively, these findings position forest bathing as a non-pharmacological, low-cost strategy with significant potential in preventing and managing significant health risks.</w:t>
      </w:r>
    </w:p>
    <w:p w14:paraId="3BB8E6C3" w14:textId="528C4A01"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Kotera et al. (2023) conducted a systematic review and meta-analysis of thirty-six studies involving 3,554 participants to evaluate the psychological outcomes of nature-based interventions, primarily forest bathing. The review identified moderate-to-large reductions in depression and anxiety, along with improvements in positive affect. Although physiological markers such as blood pressure and HRV were less consistent, the psychological benefits were robust. The authors attribute these findings to attentional restoration, reduced stress, and increased mindfulness opportunities, aligning with Attention Restoration Theory (Kaplan and Kaplan, 1989, cited in Simply Psychology, 2025). However, they also call for improved methodological rigour, including larger sample sizes and long-term follow-ups.</w:t>
      </w:r>
    </w:p>
    <w:p w14:paraId="674754F8" w14:textId="08BB3E24"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lastRenderedPageBreak/>
        <w:t>The Nature Relatedness Scale – Short Form (NR-6) has emerged as a robust and efficient tool for measuring individuals’ psychological connection to the natural world. Originally developed by Nisbet and Zelenski (2013), the NR-6 captures key dimensions of nature relatedness—particularly self-identification with nature and experiential engagement—while maintaining strong internal consistency and predictive validity. High NR-6 scores have been consistently linked to enhanced wellbeing outcomes, including increased happiness, vitality, and environmental concern (Nisbet and Zelenski, 2013). More recently, Kövi et al. (2023) validated the NR-6 across culturally diverse populations, demonstrating that nature relatedness positively correlates with wellbeing across Hungary, India, South Korea, and Canada. Their findings also revealed that gratitude and spirituality mediate this relationship, suggesting that nature connection fosters deeper emotional and existential benefits. The scale’s versatility has been further demonstrated in applied contexts, including studies on consumer behaviour and emotional regulation, reinforcing its relevance for adult populations engaging with nature-based interventions (OpenPsychometrics.org, 2023). Collectively, these findings position the NR-6 as a valuable instrument for evaluating the psychological impact of natural environments on adult wellbeing.</w:t>
      </w:r>
    </w:p>
    <w:p w14:paraId="65CCBA72" w14:textId="4CBE09F6" w:rsidR="5ECF1BC0"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Fraser, Munoz, and MacRury (2019) compared psychological outcomes between walking and golfing in natural settings. Walking was more beneficial for attentional restoration and mood, likely due to its lower cognitive load. Similarly, Pretty et al. (2007) found moderate effect sizes in green exercise meta-analyses, with water features producing the greatest wellbeing gains. These results emphasize that low intensity, less cognitively demanding activities in aesthetically rich natural environments are particularly effective.</w:t>
      </w:r>
    </w:p>
    <w:p w14:paraId="3DDDA8B1" w14:textId="53F2E84A" w:rsidR="27811222" w:rsidRDefault="27811222" w:rsidP="5ECF1BC0">
      <w:pPr>
        <w:spacing w:before="240" w:after="240" w:line="360" w:lineRule="auto"/>
        <w:rPr>
          <w:b/>
          <w:bCs/>
          <w:color w:val="000000" w:themeColor="text1"/>
          <w:sz w:val="22"/>
          <w:szCs w:val="22"/>
        </w:rPr>
      </w:pPr>
      <w:r w:rsidRPr="5ECF1BC0">
        <w:rPr>
          <w:b/>
          <w:bCs/>
          <w:color w:val="000000" w:themeColor="text1"/>
          <w:sz w:val="22"/>
          <w:szCs w:val="22"/>
        </w:rPr>
        <w:t xml:space="preserve">Blue Spaces </w:t>
      </w:r>
    </w:p>
    <w:p w14:paraId="311A1F0C" w14:textId="7C9D4DA8" w:rsidR="39F51734" w:rsidRDefault="776F212E" w:rsidP="0BBEACF1">
      <w:pPr>
        <w:spacing w:before="210" w:after="210" w:line="360" w:lineRule="auto"/>
        <w:rPr>
          <w:sz w:val="22"/>
          <w:szCs w:val="22"/>
        </w:rPr>
      </w:pPr>
      <w:r w:rsidRPr="0BBEACF1">
        <w:rPr>
          <w:sz w:val="22"/>
          <w:szCs w:val="22"/>
        </w:rPr>
        <w:t>The therapeutic value of coastal environments has deep historical roots. During the eighteenth century, sea‑bathing and cold‑water immersion were widely promoted as medical treatments, particularly through the work of Richard Russell, who advocated the use of seawater for conditions such as scurvy and glandular illnesses (Russell, 1750). By the nineteenth century, these ideas had become embedded in institutional practice, with dedicated facilities such as the Royal Sea Bathing Hospital in Margate providing structured seaside convalescence for patients with tuberculosis and other chronic conditions (The National Archives, n.d.).</w:t>
      </w:r>
    </w:p>
    <w:p w14:paraId="75708785" w14:textId="17B8F0E0" w:rsidR="39F51734" w:rsidRDefault="39F51734" w:rsidP="5ECF1BC0">
      <w:pPr>
        <w:spacing w:before="210" w:after="210" w:line="360" w:lineRule="auto"/>
        <w:rPr>
          <w:sz w:val="22"/>
          <w:szCs w:val="22"/>
        </w:rPr>
      </w:pPr>
      <w:r w:rsidRPr="5ECF1BC0">
        <w:rPr>
          <w:sz w:val="22"/>
          <w:szCs w:val="22"/>
        </w:rPr>
        <w:t xml:space="preserve">Historical records also document the rise of coastal convalescent homes in towns such as Felixstowe and Charmouth, where children and adults were sent to recuperate from the effects of overcrowded and polluted industrial cities (Hidden Lives Revealed, n.d.; Salisbury </w:t>
      </w:r>
      <w:r w:rsidRPr="5ECF1BC0">
        <w:rPr>
          <w:sz w:val="22"/>
          <w:szCs w:val="22"/>
        </w:rPr>
        <w:lastRenderedPageBreak/>
        <w:t>Healthcare History, n.d.). Although based on now‑outdated medical theory, these early practices anticipated contemporary understandings of the health benefits associated with exposure to blue spaces, including psychological restoration, enhanced respiratory health, and improved emotional wellbeing.</w:t>
      </w:r>
    </w:p>
    <w:p w14:paraId="0E34ABAC" w14:textId="7306723F" w:rsidR="5ECF1BC0" w:rsidRPr="006C2D08" w:rsidRDefault="7FA29B0A" w:rsidP="006C2D08">
      <w:pPr>
        <w:spacing w:after="0" w:line="360" w:lineRule="auto"/>
        <w:rPr>
          <w:sz w:val="22"/>
          <w:szCs w:val="22"/>
        </w:rPr>
      </w:pPr>
      <w:r w:rsidRPr="5ECF1BC0">
        <w:rPr>
          <w:sz w:val="22"/>
          <w:szCs w:val="22"/>
        </w:rPr>
        <w:t>Parallel to green‑space research, emerging evidence highlights the psychological and physical benefits of blue spaces—coastal areas, lakes, rivers, and canals. A systematic review of 35 quantitative studies reported strong associations between blue‑space access and improved mental health (12 studies) as well as elevated physical activity (13 studies) (Geary et al., 2023). In addition, large‑scale international survey data from the BlueHealth Project (2020), including more than 18,000 participants across Europe, North America, and Australia, found that individuals living near or regularly engaging with blue spaces reported higher WHO‑5 wellbeing scores and lower usage of antidepressant or anxiolytic medications (White et al., 2020a). The broader “blue‑health” framework suggests that sensory qualities of water—including soft visual and auditory fascination, mindfulness, and opportunities for social connection—act as mediators of reduced rumination and enhanced mood (White et al., 2020b). Importantly, coastal proximity has been shown to buffer psychological distress, particularly for socioeconomically disadvantaged populations (White et al., 2020b).</w:t>
      </w:r>
    </w:p>
    <w:p w14:paraId="55DF77AA" w14:textId="54DCBFB7"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Community</w:t>
      </w:r>
    </w:p>
    <w:p w14:paraId="544A1813" w14:textId="3B0EC886"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In addition to environmental factors, social connection plays a vital role in mental health and longevity. Holt-Lunstad, Smith, and Layton (2010) found that strong social relationships reduce mortality risk as effectively as quitting smoking. Data from the UK Biobank (Smith, Liu et al., 2023) revealed that frequent group activity participation and social visits significantly lowered risks of all-cause and cardiovascular mortality. </w:t>
      </w:r>
    </w:p>
    <w:p w14:paraId="57923185" w14:textId="1441D1A2" w:rsidR="5ECF1BC0"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Emerging research highlights the compounded benefits of combining physical activity with nature exposure. Bramwell et al. (2023) conducted a randomized pilot study examining stress outcomes among college students participating in group exercise sessions held either indoors or outdoors. The results indicated that outdoor exercise led to significantly greater reductions in perceived stress compared to indoor sessions (p = 0.003, η²</w:t>
      </w:r>
      <w:r w:rsidRPr="5ECF1BC0">
        <w:rPr>
          <w:rFonts w:ascii="Cambria Math" w:eastAsia="Cambria Math" w:hAnsi="Cambria Math" w:cs="Cambria Math"/>
          <w:color w:val="000000" w:themeColor="text1"/>
          <w:sz w:val="22"/>
          <w:szCs w:val="22"/>
        </w:rPr>
        <w:t>ₚ</w:t>
      </w:r>
      <w:r w:rsidRPr="5ECF1BC0">
        <w:rPr>
          <w:rFonts w:ascii="Arial" w:eastAsia="Arial" w:hAnsi="Arial" w:cs="Arial"/>
          <w:color w:val="000000" w:themeColor="text1"/>
          <w:sz w:val="22"/>
          <w:szCs w:val="22"/>
        </w:rPr>
        <w:t xml:space="preserve"> = 0.626), suggesting a substantial effect size. These findings underscore the therapeutic potential of natural environments in enhancing the psychological benefits of physical activity, reinforcing the relevance of environmental context in wellbeing interventions. This supports Kaplan and Kaplan’s (1989) Attention Restoration Theory, which posits that natural environments restore depleted cognitive capacities. However, Rogerson et al. (2020) examined the effects of running alone versus in small groups within green spaces. While both groups showed </w:t>
      </w:r>
      <w:r w:rsidRPr="5ECF1BC0">
        <w:rPr>
          <w:rFonts w:ascii="Arial" w:eastAsia="Arial" w:hAnsi="Arial" w:cs="Arial"/>
          <w:color w:val="000000" w:themeColor="text1"/>
          <w:sz w:val="22"/>
          <w:szCs w:val="22"/>
        </w:rPr>
        <w:lastRenderedPageBreak/>
        <w:t>improved mood and self-esteem, the presence or absence of social interaction made no statistically significant difference. This suggests that while green exercise is beneficial, the social context may not always amplify its effects.</w:t>
      </w:r>
    </w:p>
    <w:p w14:paraId="3C677DF5" w14:textId="277377C0"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Conclusion</w:t>
      </w:r>
    </w:p>
    <w:p w14:paraId="2C01091C" w14:textId="2D2F53AA"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Community-based nature activities—such as group walks, community gardening, and outdoor volunteering—offer a compelling intersection of social engagement and environmental therapy. These interventions have been shown to buffer stress, support immune function, and reinforce positive behaviours, making them especially valuable for long-term health promotion.</w:t>
      </w:r>
    </w:p>
    <w:p w14:paraId="5AF2B9E9" w14:textId="0F654292" w:rsidR="27811222" w:rsidRDefault="27811222"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An expanding body of evidence supports the integration of nature-based and community-oriented approaches into adult mental health strategies. Engagement with green and blue spaces, particularly in group settings, provides accessible, low-cost, and scalable solutions for reducing stress and enhancing wellbeing. For professionals experiencing chronic stress—especially educators in emotionally demanding roles—these interventions are not only beneficial but potentially transformative.</w:t>
      </w:r>
    </w:p>
    <w:p w14:paraId="2FEB7A53" w14:textId="79D814E1" w:rsidR="6919CA06" w:rsidRDefault="1DC48DCD" w:rsidP="3F29B626">
      <w:pPr>
        <w:spacing w:before="240" w:after="240" w:line="360" w:lineRule="auto"/>
        <w:rPr>
          <w:rFonts w:ascii="Arial" w:eastAsia="Arial" w:hAnsi="Arial" w:cs="Arial"/>
          <w:sz w:val="22"/>
          <w:szCs w:val="22"/>
          <w:u w:val="single"/>
        </w:rPr>
      </w:pPr>
      <w:r w:rsidRPr="3F29B626">
        <w:rPr>
          <w:rFonts w:ascii="Arial" w:eastAsia="Arial" w:hAnsi="Arial" w:cs="Arial"/>
          <w:color w:val="000000" w:themeColor="text1"/>
          <w:sz w:val="22"/>
          <w:szCs w:val="22"/>
        </w:rPr>
        <w:t>To optimise impact, interventions must account for individual preferences, accessibility, and institutional culture. When championed by leadership and embedded within systemic policy, these holistic approaches can foster restorative ecosystems that nurture both personal and professional wellbeing.</w:t>
      </w:r>
    </w:p>
    <w:p w14:paraId="293B18C2" w14:textId="6A7D868B" w:rsidR="6919CA06" w:rsidRDefault="6919CA06" w:rsidP="3F29B626">
      <w:pPr>
        <w:spacing w:before="240" w:after="240" w:line="360" w:lineRule="auto"/>
        <w:rPr>
          <w:rFonts w:ascii="Arial" w:eastAsia="Arial" w:hAnsi="Arial" w:cs="Arial"/>
          <w:b/>
          <w:bCs/>
          <w:sz w:val="22"/>
          <w:szCs w:val="22"/>
          <w:u w:val="single"/>
        </w:rPr>
      </w:pPr>
    </w:p>
    <w:p w14:paraId="2AA4ED71" w14:textId="391E06C0" w:rsidR="6919CA06" w:rsidRDefault="6919CA06" w:rsidP="3F29B626">
      <w:pPr>
        <w:spacing w:before="240" w:after="240" w:line="360" w:lineRule="auto"/>
        <w:rPr>
          <w:rFonts w:ascii="Arial" w:eastAsia="Arial" w:hAnsi="Arial" w:cs="Arial"/>
          <w:b/>
          <w:bCs/>
          <w:sz w:val="22"/>
          <w:szCs w:val="22"/>
          <w:u w:val="single"/>
        </w:rPr>
      </w:pPr>
    </w:p>
    <w:p w14:paraId="61BE4303" w14:textId="01BEEAF5" w:rsidR="6919CA06" w:rsidRDefault="6919CA06" w:rsidP="3F29B626">
      <w:pPr>
        <w:spacing w:before="240" w:after="240" w:line="360" w:lineRule="auto"/>
        <w:rPr>
          <w:rFonts w:ascii="Arial" w:eastAsia="Arial" w:hAnsi="Arial" w:cs="Arial"/>
          <w:b/>
          <w:bCs/>
          <w:sz w:val="22"/>
          <w:szCs w:val="22"/>
          <w:u w:val="single"/>
        </w:rPr>
      </w:pPr>
    </w:p>
    <w:p w14:paraId="0CC2788A" w14:textId="345661FA" w:rsidR="6919CA06" w:rsidRDefault="6919CA06" w:rsidP="3F29B626">
      <w:pPr>
        <w:spacing w:before="240" w:after="240" w:line="360" w:lineRule="auto"/>
        <w:rPr>
          <w:rFonts w:ascii="Arial" w:eastAsia="Arial" w:hAnsi="Arial" w:cs="Arial"/>
          <w:b/>
          <w:bCs/>
          <w:sz w:val="22"/>
          <w:szCs w:val="22"/>
          <w:u w:val="single"/>
        </w:rPr>
      </w:pPr>
    </w:p>
    <w:p w14:paraId="7DD66454" w14:textId="2C9266A8" w:rsidR="6919CA06" w:rsidRDefault="6919CA06" w:rsidP="3F29B626">
      <w:pPr>
        <w:spacing w:before="240" w:after="240" w:line="360" w:lineRule="auto"/>
        <w:rPr>
          <w:rFonts w:ascii="Arial" w:eastAsia="Arial" w:hAnsi="Arial" w:cs="Arial"/>
          <w:b/>
          <w:bCs/>
          <w:sz w:val="22"/>
          <w:szCs w:val="22"/>
          <w:u w:val="single"/>
        </w:rPr>
      </w:pPr>
    </w:p>
    <w:p w14:paraId="1AF283C4" w14:textId="24A8BA36" w:rsidR="6919CA06" w:rsidRDefault="16DBF8A5" w:rsidP="3F29B626">
      <w:pPr>
        <w:spacing w:before="240" w:after="240" w:line="360" w:lineRule="auto"/>
        <w:rPr>
          <w:rFonts w:ascii="Arial" w:eastAsia="Arial" w:hAnsi="Arial" w:cs="Arial"/>
          <w:sz w:val="22"/>
          <w:szCs w:val="22"/>
          <w:u w:val="single"/>
        </w:rPr>
      </w:pPr>
      <w:r w:rsidRPr="3F29B626">
        <w:rPr>
          <w:rFonts w:ascii="Arial" w:eastAsia="Arial" w:hAnsi="Arial" w:cs="Arial"/>
          <w:b/>
          <w:bCs/>
          <w:sz w:val="22"/>
          <w:szCs w:val="22"/>
          <w:u w:val="single"/>
        </w:rPr>
        <w:t>METHODOLOGY</w:t>
      </w:r>
    </w:p>
    <w:p w14:paraId="0B81D307" w14:textId="464EED15" w:rsidR="6919CA06" w:rsidRDefault="6919CA06" w:rsidP="5ECF1BC0">
      <w:pPr>
        <w:pStyle w:val="Heading2"/>
        <w:spacing w:before="299" w:after="299" w:line="360" w:lineRule="auto"/>
        <w:rPr>
          <w:rFonts w:ascii="Arial" w:eastAsia="Arial" w:hAnsi="Arial" w:cs="Arial"/>
          <w:color w:val="auto"/>
          <w:sz w:val="22"/>
          <w:szCs w:val="22"/>
        </w:rPr>
      </w:pPr>
      <w:r w:rsidRPr="5ECF1BC0">
        <w:rPr>
          <w:rFonts w:ascii="Arial" w:eastAsia="Arial" w:hAnsi="Arial" w:cs="Arial"/>
          <w:sz w:val="22"/>
          <w:szCs w:val="22"/>
        </w:rPr>
        <w:lastRenderedPageBreak/>
        <w:t>G</w:t>
      </w:r>
      <w:r w:rsidRPr="5ECF1BC0">
        <w:rPr>
          <w:rFonts w:ascii="Arial" w:eastAsia="Arial" w:hAnsi="Arial" w:cs="Arial"/>
          <w:color w:val="auto"/>
          <w:sz w:val="22"/>
          <w:szCs w:val="22"/>
        </w:rPr>
        <w:t>iven the nature of this project which explore</w:t>
      </w:r>
      <w:r w:rsidR="6BFC7884" w:rsidRPr="5ECF1BC0">
        <w:rPr>
          <w:rFonts w:ascii="Arial" w:eastAsia="Arial" w:hAnsi="Arial" w:cs="Arial"/>
          <w:color w:val="auto"/>
          <w:sz w:val="22"/>
          <w:szCs w:val="22"/>
        </w:rPr>
        <w:t>d</w:t>
      </w:r>
      <w:r w:rsidRPr="5ECF1BC0">
        <w:rPr>
          <w:rFonts w:ascii="Arial" w:eastAsia="Arial" w:hAnsi="Arial" w:cs="Arial"/>
          <w:color w:val="auto"/>
          <w:sz w:val="22"/>
          <w:szCs w:val="22"/>
        </w:rPr>
        <w:t xml:space="preserve"> whether the establishment of an outdoor-based wellbeing community has a positive impact on the mental and emotional wellbeing of staff in a special school setting, the methodology </w:t>
      </w:r>
      <w:r w:rsidR="5EE7ABCA" w:rsidRPr="5ECF1BC0">
        <w:rPr>
          <w:rFonts w:ascii="Arial" w:eastAsia="Arial" w:hAnsi="Arial" w:cs="Arial"/>
          <w:color w:val="auto"/>
          <w:sz w:val="22"/>
          <w:szCs w:val="22"/>
        </w:rPr>
        <w:t>wa</w:t>
      </w:r>
      <w:r w:rsidRPr="5ECF1BC0">
        <w:rPr>
          <w:rFonts w:ascii="Arial" w:eastAsia="Arial" w:hAnsi="Arial" w:cs="Arial"/>
          <w:color w:val="auto"/>
          <w:sz w:val="22"/>
          <w:szCs w:val="22"/>
        </w:rPr>
        <w:t>s designed to generate findings that are both academically robust and directly relevant to the wellbeing of staff within the school.</w:t>
      </w:r>
    </w:p>
    <w:p w14:paraId="2D3908E3" w14:textId="308895DE"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Work-based research demands a careful balance between scholarly rigour and practical feasibility. The methods chosen therefore need</w:t>
      </w:r>
      <w:r w:rsidR="3D2EBB55"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to be sensitive to the realities of the school environment, respectful of the needs of participants, and capable of capturing both measurable outcomes and lived experiences.</w:t>
      </w:r>
    </w:p>
    <w:p w14:paraId="41790415" w14:textId="3844CF3E" w:rsidR="6919CA06" w:rsidRDefault="6919CA06" w:rsidP="5ECF1BC0">
      <w:pPr>
        <w:pStyle w:val="Heading2"/>
        <w:spacing w:before="299" w:after="299" w:line="360" w:lineRule="auto"/>
        <w:rPr>
          <w:rFonts w:ascii="Arial" w:eastAsia="Arial" w:hAnsi="Arial" w:cs="Arial"/>
          <w:color w:val="000000" w:themeColor="text1"/>
          <w:sz w:val="22"/>
          <w:szCs w:val="22"/>
        </w:rPr>
      </w:pPr>
      <w:r w:rsidRPr="5ECF1BC0">
        <w:rPr>
          <w:rFonts w:ascii="Arial" w:eastAsia="Arial" w:hAnsi="Arial" w:cs="Arial"/>
          <w:b/>
          <w:bCs/>
          <w:color w:val="auto"/>
          <w:sz w:val="22"/>
          <w:szCs w:val="22"/>
        </w:rPr>
        <w:t xml:space="preserve">Research Philosophy and Approach </w:t>
      </w:r>
    </w:p>
    <w:p w14:paraId="75B232F3" w14:textId="6B098D94" w:rsidR="6919CA06" w:rsidRDefault="6919CA06" w:rsidP="5ECF1BC0">
      <w:pPr>
        <w:pStyle w:val="Heading2"/>
        <w:spacing w:before="299" w:after="299"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This study adopt</w:t>
      </w:r>
      <w:r w:rsidR="67E98845"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a pragmatic stance to generate actionable insights for the school while contributing to wider wellbeing research. Pragmatism offer</w:t>
      </w:r>
      <w:r w:rsidR="2D598B47" w:rsidRPr="5ECF1BC0">
        <w:rPr>
          <w:rFonts w:ascii="Arial" w:eastAsia="Arial" w:hAnsi="Arial" w:cs="Arial"/>
          <w:color w:val="000000" w:themeColor="text1"/>
          <w:sz w:val="22"/>
          <w:szCs w:val="22"/>
        </w:rPr>
        <w:t>s</w:t>
      </w:r>
      <w:r w:rsidRPr="5ECF1BC0">
        <w:rPr>
          <w:rFonts w:ascii="Arial" w:eastAsia="Arial" w:hAnsi="Arial" w:cs="Arial"/>
          <w:color w:val="000000" w:themeColor="text1"/>
          <w:sz w:val="22"/>
          <w:szCs w:val="22"/>
        </w:rPr>
        <w:t xml:space="preserve"> methodological flexibility and prioritises practical consequences, enabling the use of both qualitative and quantitative methods (Gillespie, Glăveanu &amp; de Saint Laurent, 2024). Unlike positivism, which assumes a single objective reality and privileges measurement, pragmatism recognises wellbeing as complex and context-dependent, making it better suited to educational settings (Foster, 2024). Constructivism, though interpretivist, resists quantitative integration, limiting scope. Pragmatism supports methodological pluralism, combining validated scales with narrative inquiry to enhance credibility and depth (Feilzer, 2023). This approach ensure</w:t>
      </w:r>
      <w:r w:rsidR="58776DB4"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methods </w:t>
      </w:r>
      <w:r w:rsidR="7F5A5496" w:rsidRPr="5ECF1BC0">
        <w:rPr>
          <w:rFonts w:ascii="Arial" w:eastAsia="Arial" w:hAnsi="Arial" w:cs="Arial"/>
          <w:color w:val="000000" w:themeColor="text1"/>
          <w:sz w:val="22"/>
          <w:szCs w:val="22"/>
        </w:rPr>
        <w:t>we</w:t>
      </w:r>
      <w:r w:rsidRPr="5ECF1BC0">
        <w:rPr>
          <w:rFonts w:ascii="Arial" w:eastAsia="Arial" w:hAnsi="Arial" w:cs="Arial"/>
          <w:color w:val="000000" w:themeColor="text1"/>
          <w:sz w:val="22"/>
          <w:szCs w:val="22"/>
        </w:rPr>
        <w:t>re chosen for effectiveness rather than paradigm loyalty.</w:t>
      </w:r>
    </w:p>
    <w:p w14:paraId="648811D5" w14:textId="487A4D90"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The inquiry </w:t>
      </w:r>
      <w:r w:rsidR="6C069957" w:rsidRPr="5ECF1BC0">
        <w:rPr>
          <w:rFonts w:ascii="Arial" w:eastAsia="Arial" w:hAnsi="Arial" w:cs="Arial"/>
          <w:color w:val="000000" w:themeColor="text1"/>
          <w:sz w:val="22"/>
          <w:szCs w:val="22"/>
        </w:rPr>
        <w:t>wa</w:t>
      </w:r>
      <w:r w:rsidRPr="5ECF1BC0">
        <w:rPr>
          <w:rFonts w:ascii="Arial" w:eastAsia="Arial" w:hAnsi="Arial" w:cs="Arial"/>
          <w:color w:val="000000" w:themeColor="text1"/>
          <w:sz w:val="22"/>
          <w:szCs w:val="22"/>
        </w:rPr>
        <w:t xml:space="preserve">s primarily interpretivist, seeking to understand how staff use outdoor spaces for wellbeing and the meanings attached to participation. Wellbeing is subjective and cannot be fully captured by numbers alone, so qualitative methods </w:t>
      </w:r>
      <w:r w:rsidR="1F9A54B5" w:rsidRPr="5ECF1BC0">
        <w:rPr>
          <w:rFonts w:ascii="Arial" w:eastAsia="Arial" w:hAnsi="Arial" w:cs="Arial"/>
          <w:color w:val="000000" w:themeColor="text1"/>
          <w:sz w:val="22"/>
          <w:szCs w:val="22"/>
        </w:rPr>
        <w:t>we</w:t>
      </w:r>
      <w:r w:rsidRPr="5ECF1BC0">
        <w:rPr>
          <w:rFonts w:ascii="Arial" w:eastAsia="Arial" w:hAnsi="Arial" w:cs="Arial"/>
          <w:color w:val="000000" w:themeColor="text1"/>
          <w:sz w:val="22"/>
          <w:szCs w:val="22"/>
        </w:rPr>
        <w:t>re essential for nuance. Quantitative tools such as the NR-6 scale add</w:t>
      </w:r>
      <w:r w:rsidR="465405FA"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a complementary dimension, offering structured indicators of self-reported wellbeing. Their inclusion d</w:t>
      </w:r>
      <w:r w:rsidR="09B2AF06" w:rsidRPr="5ECF1BC0">
        <w:rPr>
          <w:rFonts w:ascii="Arial" w:eastAsia="Arial" w:hAnsi="Arial" w:cs="Arial"/>
          <w:color w:val="000000" w:themeColor="text1"/>
          <w:sz w:val="22"/>
          <w:szCs w:val="22"/>
        </w:rPr>
        <w:t>id</w:t>
      </w:r>
      <w:r w:rsidRPr="5ECF1BC0">
        <w:rPr>
          <w:rFonts w:ascii="Arial" w:eastAsia="Arial" w:hAnsi="Arial" w:cs="Arial"/>
          <w:color w:val="000000" w:themeColor="text1"/>
          <w:sz w:val="22"/>
          <w:szCs w:val="22"/>
        </w:rPr>
        <w:t xml:space="preserve"> not reduce wellbeing to metrics but enriche</w:t>
      </w:r>
      <w:r w:rsidR="1325C53D"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interpretation through pluralism. Validated scales provide</w:t>
      </w:r>
      <w:r w:rsidR="54EBB9D4"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benchmarks and strengthen</w:t>
      </w:r>
      <w:r w:rsidR="3D0FBF81"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credibility when used reflexively alongside qualitative insights (Stewart-Brown, 2021).</w:t>
      </w:r>
    </w:p>
    <w:p w14:paraId="6FE9F241" w14:textId="78E0BA51"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Reasoning follow</w:t>
      </w:r>
      <w:r w:rsidR="5ED2F053"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an abductive approach, moving between lived experience and theory. Abduction accommodates complexity and ambiguity, unlike induction, which risks remaining descriptive, or deduction, which constrains emergent insights.</w:t>
      </w:r>
      <w:r w:rsidR="07D50437" w:rsidRPr="5ECF1BC0">
        <w:rPr>
          <w:rFonts w:ascii="Arial" w:eastAsia="Arial" w:hAnsi="Arial" w:cs="Arial"/>
          <w:color w:val="000000" w:themeColor="text1"/>
          <w:sz w:val="22"/>
          <w:szCs w:val="22"/>
        </w:rPr>
        <w:t xml:space="preserve">  </w:t>
      </w:r>
      <w:r w:rsidRPr="5ECF1BC0">
        <w:rPr>
          <w:rFonts w:ascii="Arial" w:eastAsia="Arial" w:hAnsi="Arial" w:cs="Arial"/>
          <w:color w:val="000000" w:themeColor="text1"/>
          <w:sz w:val="22"/>
          <w:szCs w:val="22"/>
        </w:rPr>
        <w:t xml:space="preserve">Tavory and Timmermans (2014) </w:t>
      </w:r>
      <w:r w:rsidR="24D0FFA5" w:rsidRPr="5ECF1BC0">
        <w:rPr>
          <w:rFonts w:ascii="Arial" w:eastAsia="Arial" w:hAnsi="Arial" w:cs="Arial"/>
          <w:color w:val="000000" w:themeColor="text1"/>
          <w:sz w:val="22"/>
          <w:szCs w:val="22"/>
        </w:rPr>
        <w:t xml:space="preserve">explain that </w:t>
      </w:r>
      <w:r w:rsidRPr="5ECF1BC0">
        <w:rPr>
          <w:rFonts w:ascii="Arial" w:eastAsia="Arial" w:hAnsi="Arial" w:cs="Arial"/>
          <w:color w:val="000000" w:themeColor="text1"/>
          <w:sz w:val="22"/>
          <w:szCs w:val="22"/>
        </w:rPr>
        <w:t>abducti</w:t>
      </w:r>
      <w:r w:rsidR="7A2DE809" w:rsidRPr="5ECF1BC0">
        <w:rPr>
          <w:rFonts w:ascii="Arial" w:eastAsia="Arial" w:hAnsi="Arial" w:cs="Arial"/>
          <w:color w:val="000000" w:themeColor="text1"/>
          <w:sz w:val="22"/>
          <w:szCs w:val="22"/>
        </w:rPr>
        <w:t>ve reasoning involves moving iteratively between emerging data and existing theor</w:t>
      </w:r>
      <w:r w:rsidR="601B1A5A" w:rsidRPr="5ECF1BC0">
        <w:rPr>
          <w:rFonts w:ascii="Arial" w:eastAsia="Arial" w:hAnsi="Arial" w:cs="Arial"/>
          <w:color w:val="000000" w:themeColor="text1"/>
          <w:sz w:val="22"/>
          <w:szCs w:val="22"/>
        </w:rPr>
        <w:t>ies</w:t>
      </w:r>
      <w:r w:rsidR="7A2DE809" w:rsidRPr="5ECF1BC0">
        <w:rPr>
          <w:rFonts w:ascii="Arial" w:eastAsia="Arial" w:hAnsi="Arial" w:cs="Arial"/>
          <w:color w:val="000000" w:themeColor="text1"/>
          <w:sz w:val="22"/>
          <w:szCs w:val="22"/>
        </w:rPr>
        <w:t xml:space="preserve"> in order to develop the most plausible interpretations.</w:t>
      </w:r>
    </w:p>
    <w:p w14:paraId="1B573286" w14:textId="187EB334" w:rsidR="6919CA06" w:rsidRDefault="6919CA06" w:rsidP="5ECF1BC0">
      <w:pPr>
        <w:pStyle w:val="Heading2"/>
        <w:spacing w:before="299" w:after="299" w:line="360" w:lineRule="auto"/>
        <w:rPr>
          <w:rFonts w:ascii="Arial" w:eastAsia="Arial" w:hAnsi="Arial" w:cs="Arial"/>
          <w:color w:val="auto"/>
          <w:sz w:val="22"/>
          <w:szCs w:val="22"/>
        </w:rPr>
      </w:pPr>
      <w:r w:rsidRPr="5ECF1BC0">
        <w:rPr>
          <w:rFonts w:ascii="Arial" w:eastAsia="Arial" w:hAnsi="Arial" w:cs="Arial"/>
          <w:b/>
          <w:bCs/>
          <w:color w:val="auto"/>
          <w:sz w:val="22"/>
          <w:szCs w:val="22"/>
        </w:rPr>
        <w:lastRenderedPageBreak/>
        <w:t>Research Design</w:t>
      </w:r>
    </w:p>
    <w:p w14:paraId="31646710" w14:textId="60983924" w:rsidR="6919CA06" w:rsidRDefault="6919CA06" w:rsidP="5ECF1BC0">
      <w:pPr>
        <w:spacing w:after="0" w:line="360" w:lineRule="auto"/>
        <w:rPr>
          <w:sz w:val="22"/>
          <w:szCs w:val="22"/>
        </w:rPr>
      </w:pPr>
      <w:r w:rsidRPr="5ECF1BC0">
        <w:rPr>
          <w:rFonts w:ascii="Arial" w:eastAsia="Arial" w:hAnsi="Arial" w:cs="Arial"/>
          <w:color w:val="000000" w:themeColor="text1"/>
          <w:sz w:val="22"/>
          <w:szCs w:val="22"/>
        </w:rPr>
        <w:t>The study adopt</w:t>
      </w:r>
      <w:r w:rsidR="5F44EFF7"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an ethnographically informed mixed-methods design over several months. While not a full ethnography, it draws on ethnographic principles to explore staff wellbeing in context. The researche</w:t>
      </w:r>
      <w:r w:rsidR="4987792A" w:rsidRPr="5ECF1BC0">
        <w:rPr>
          <w:rFonts w:ascii="Arial" w:eastAsia="Arial" w:hAnsi="Arial" w:cs="Arial"/>
          <w:color w:val="000000" w:themeColor="text1"/>
          <w:sz w:val="22"/>
          <w:szCs w:val="22"/>
        </w:rPr>
        <w:t>r</w:t>
      </w:r>
      <w:r w:rsidRPr="5ECF1BC0">
        <w:rPr>
          <w:rFonts w:ascii="Arial" w:eastAsia="Arial" w:hAnsi="Arial" w:cs="Arial"/>
          <w:color w:val="000000" w:themeColor="text1"/>
          <w:sz w:val="22"/>
          <w:szCs w:val="22"/>
        </w:rPr>
        <w:t xml:space="preserve"> engage</w:t>
      </w:r>
      <w:r w:rsidR="3C460D94"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directly with participants in their everyday environments, using immersion and observation to capture lived experience. Data w</w:t>
      </w:r>
      <w:r w:rsidR="1DFDD4D6" w:rsidRPr="5ECF1BC0">
        <w:rPr>
          <w:rFonts w:ascii="Arial" w:eastAsia="Arial" w:hAnsi="Arial" w:cs="Arial"/>
          <w:color w:val="000000" w:themeColor="text1"/>
          <w:sz w:val="22"/>
          <w:szCs w:val="22"/>
        </w:rPr>
        <w:t xml:space="preserve">as </w:t>
      </w:r>
      <w:r w:rsidRPr="5ECF1BC0">
        <w:rPr>
          <w:rFonts w:ascii="Arial" w:eastAsia="Arial" w:hAnsi="Arial" w:cs="Arial"/>
          <w:color w:val="000000" w:themeColor="text1"/>
          <w:sz w:val="22"/>
          <w:szCs w:val="22"/>
        </w:rPr>
        <w:t xml:space="preserve">triangulated across interviews, reflective notes, and contextual materials for a holistic understanding. </w:t>
      </w:r>
      <w:r w:rsidRPr="5ECF1BC0">
        <w:rPr>
          <w:color w:val="000000" w:themeColor="text1"/>
          <w:sz w:val="22"/>
          <w:szCs w:val="22"/>
        </w:rPr>
        <w:t>Reflexivity w</w:t>
      </w:r>
      <w:r w:rsidR="293D4DCA" w:rsidRPr="5ECF1BC0">
        <w:rPr>
          <w:color w:val="000000" w:themeColor="text1"/>
          <w:sz w:val="22"/>
          <w:szCs w:val="22"/>
        </w:rPr>
        <w:t>as</w:t>
      </w:r>
      <w:r w:rsidRPr="5ECF1BC0">
        <w:rPr>
          <w:color w:val="000000" w:themeColor="text1"/>
          <w:sz w:val="22"/>
          <w:szCs w:val="22"/>
        </w:rPr>
        <w:t xml:space="preserve"> embedded throughout, with ongoing reflection on the researcher’s role and influence. The process remain</w:t>
      </w:r>
      <w:r w:rsidR="6A5CFA8D" w:rsidRPr="5ECF1BC0">
        <w:rPr>
          <w:color w:val="000000" w:themeColor="text1"/>
          <w:sz w:val="22"/>
          <w:szCs w:val="22"/>
        </w:rPr>
        <w:t>ed</w:t>
      </w:r>
      <w:r w:rsidRPr="5ECF1BC0">
        <w:rPr>
          <w:color w:val="000000" w:themeColor="text1"/>
          <w:sz w:val="22"/>
          <w:szCs w:val="22"/>
        </w:rPr>
        <w:t xml:space="preserve"> iterative and adaptive</w:t>
      </w:r>
      <w:r w:rsidR="5D15C970" w:rsidRPr="5ECF1BC0">
        <w:rPr>
          <w:color w:val="000000" w:themeColor="text1"/>
          <w:sz w:val="22"/>
          <w:szCs w:val="22"/>
        </w:rPr>
        <w:t xml:space="preserve"> </w:t>
      </w:r>
      <w:r w:rsidRPr="5ECF1BC0">
        <w:rPr>
          <w:color w:val="000000" w:themeColor="text1"/>
          <w:sz w:val="22"/>
          <w:szCs w:val="22"/>
        </w:rPr>
        <w:t>to emerging insights, maintaining sensitivity to cultural and relational dynamics</w:t>
      </w:r>
      <w:r w:rsidR="231A9701" w:rsidRPr="5ECF1BC0">
        <w:rPr>
          <w:color w:val="000000" w:themeColor="text1"/>
          <w:sz w:val="22"/>
          <w:szCs w:val="22"/>
        </w:rPr>
        <w:t xml:space="preserve"> </w:t>
      </w:r>
      <w:r w:rsidR="231A9701" w:rsidRPr="5ECF1BC0">
        <w:rPr>
          <w:sz w:val="22"/>
          <w:szCs w:val="22"/>
        </w:rPr>
        <w:t>(Finlay, 2002; Braun and Clarke, 2019).</w:t>
      </w:r>
    </w:p>
    <w:p w14:paraId="0FE4904A" w14:textId="5C08C429" w:rsidR="5ECF1BC0" w:rsidRDefault="5ECF1BC0" w:rsidP="5ECF1BC0">
      <w:pPr>
        <w:spacing w:line="360" w:lineRule="auto"/>
        <w:rPr>
          <w:color w:val="000000" w:themeColor="text1"/>
          <w:sz w:val="22"/>
          <w:szCs w:val="22"/>
        </w:rPr>
      </w:pPr>
    </w:p>
    <w:p w14:paraId="7C1647CD" w14:textId="0E59CE7D" w:rsidR="6919CA06" w:rsidRDefault="6919CA06" w:rsidP="5ECF1BC0">
      <w:pPr>
        <w:spacing w:line="360" w:lineRule="auto"/>
        <w:rPr>
          <w:color w:val="000000" w:themeColor="text1"/>
          <w:sz w:val="22"/>
          <w:szCs w:val="22"/>
        </w:rPr>
      </w:pPr>
      <w:r w:rsidRPr="5ECF1BC0">
        <w:rPr>
          <w:color w:val="000000" w:themeColor="text1"/>
          <w:sz w:val="22"/>
          <w:szCs w:val="22"/>
        </w:rPr>
        <w:t xml:space="preserve">Qualitative methods </w:t>
      </w:r>
      <w:r w:rsidR="0521EDF9" w:rsidRPr="5ECF1BC0">
        <w:rPr>
          <w:color w:val="000000" w:themeColor="text1"/>
          <w:sz w:val="22"/>
          <w:szCs w:val="22"/>
        </w:rPr>
        <w:t>we</w:t>
      </w:r>
      <w:r w:rsidRPr="5ECF1BC0">
        <w:rPr>
          <w:color w:val="000000" w:themeColor="text1"/>
          <w:sz w:val="22"/>
          <w:szCs w:val="22"/>
        </w:rPr>
        <w:t>re central, involving time alongside participants, observation, and both informal conversations and semi-structured interviews to build a nuanced picture of wellbeing. To complement this, validated wellbeing scales capture</w:t>
      </w:r>
      <w:r w:rsidR="33708A7E" w:rsidRPr="5ECF1BC0">
        <w:rPr>
          <w:color w:val="000000" w:themeColor="text1"/>
          <w:sz w:val="22"/>
          <w:szCs w:val="22"/>
        </w:rPr>
        <w:t>d</w:t>
      </w:r>
      <w:r w:rsidRPr="5ECF1BC0">
        <w:rPr>
          <w:color w:val="000000" w:themeColor="text1"/>
          <w:sz w:val="22"/>
          <w:szCs w:val="22"/>
        </w:rPr>
        <w:t xml:space="preserve"> measurable changes over time, exploring not only how participants felt but whether those feelings translated into observable shifts.</w:t>
      </w:r>
    </w:p>
    <w:p w14:paraId="782397CC" w14:textId="48E8D0F6" w:rsidR="6919CA06" w:rsidRDefault="04426DC7" w:rsidP="5ECF1BC0">
      <w:pPr>
        <w:spacing w:line="360" w:lineRule="auto"/>
        <w:rPr>
          <w:rFonts w:ascii="Arial" w:eastAsia="Arial" w:hAnsi="Arial" w:cs="Arial"/>
          <w:color w:val="000000" w:themeColor="text1"/>
          <w:sz w:val="22"/>
          <w:szCs w:val="22"/>
        </w:rPr>
      </w:pPr>
      <w:r w:rsidRPr="0BBEACF1">
        <w:rPr>
          <w:rFonts w:ascii="Arial" w:eastAsia="Arial" w:hAnsi="Arial" w:cs="Arial"/>
          <w:color w:val="000000" w:themeColor="text1"/>
          <w:sz w:val="22"/>
          <w:szCs w:val="22"/>
        </w:rPr>
        <w:t>The mixed-methods design reflect</w:t>
      </w:r>
      <w:r w:rsidR="1DCB14E1" w:rsidRPr="0BBEACF1">
        <w:rPr>
          <w:rFonts w:ascii="Arial" w:eastAsia="Arial" w:hAnsi="Arial" w:cs="Arial"/>
          <w:color w:val="000000" w:themeColor="text1"/>
          <w:sz w:val="22"/>
          <w:szCs w:val="22"/>
        </w:rPr>
        <w:t>ed</w:t>
      </w:r>
      <w:r w:rsidRPr="0BBEACF1">
        <w:rPr>
          <w:rFonts w:ascii="Arial" w:eastAsia="Arial" w:hAnsi="Arial" w:cs="Arial"/>
          <w:color w:val="000000" w:themeColor="text1"/>
          <w:sz w:val="22"/>
          <w:szCs w:val="22"/>
        </w:rPr>
        <w:t xml:space="preserve"> both practical needs and the multidimensional nature of wellbeing. Emotional, psychological, and social aspects c</w:t>
      </w:r>
      <w:r w:rsidR="762833A0" w:rsidRPr="0BBEACF1">
        <w:rPr>
          <w:rFonts w:ascii="Arial" w:eastAsia="Arial" w:hAnsi="Arial" w:cs="Arial"/>
          <w:color w:val="000000" w:themeColor="text1"/>
          <w:sz w:val="22"/>
          <w:szCs w:val="22"/>
        </w:rPr>
        <w:t>ould not</w:t>
      </w:r>
      <w:r w:rsidRPr="0BBEACF1">
        <w:rPr>
          <w:rFonts w:ascii="Arial" w:eastAsia="Arial" w:hAnsi="Arial" w:cs="Arial"/>
          <w:color w:val="000000" w:themeColor="text1"/>
          <w:sz w:val="22"/>
          <w:szCs w:val="22"/>
        </w:rPr>
        <w:t xml:space="preserve"> be fully captured by numbers alone, yet personal accounts may</w:t>
      </w:r>
      <w:r w:rsidR="19F2AE6C" w:rsidRPr="0BBEACF1">
        <w:rPr>
          <w:rFonts w:ascii="Arial" w:eastAsia="Arial" w:hAnsi="Arial" w:cs="Arial"/>
          <w:color w:val="000000" w:themeColor="text1"/>
          <w:sz w:val="22"/>
          <w:szCs w:val="22"/>
        </w:rPr>
        <w:t xml:space="preserve"> have</w:t>
      </w:r>
      <w:r w:rsidRPr="0BBEACF1">
        <w:rPr>
          <w:rFonts w:ascii="Arial" w:eastAsia="Arial" w:hAnsi="Arial" w:cs="Arial"/>
          <w:color w:val="000000" w:themeColor="text1"/>
          <w:sz w:val="22"/>
          <w:szCs w:val="22"/>
        </w:rPr>
        <w:t xml:space="preserve"> lack</w:t>
      </w:r>
      <w:r w:rsidR="38E7423D" w:rsidRPr="0BBEACF1">
        <w:rPr>
          <w:rFonts w:ascii="Arial" w:eastAsia="Arial" w:hAnsi="Arial" w:cs="Arial"/>
          <w:color w:val="000000" w:themeColor="text1"/>
          <w:sz w:val="22"/>
          <w:szCs w:val="22"/>
        </w:rPr>
        <w:t>ed</w:t>
      </w:r>
      <w:r w:rsidRPr="0BBEACF1">
        <w:rPr>
          <w:rFonts w:ascii="Arial" w:eastAsia="Arial" w:hAnsi="Arial" w:cs="Arial"/>
          <w:color w:val="000000" w:themeColor="text1"/>
          <w:sz w:val="22"/>
          <w:szCs w:val="22"/>
        </w:rPr>
        <w:t xml:space="preserve"> weight for policy influence. Combining qualitative and quantitative approaches leverage</w:t>
      </w:r>
      <w:r w:rsidR="10145D98" w:rsidRPr="0BBEACF1">
        <w:rPr>
          <w:rFonts w:ascii="Arial" w:eastAsia="Arial" w:hAnsi="Arial" w:cs="Arial"/>
          <w:color w:val="000000" w:themeColor="text1"/>
          <w:sz w:val="22"/>
          <w:szCs w:val="22"/>
        </w:rPr>
        <w:t>d</w:t>
      </w:r>
      <w:r w:rsidRPr="0BBEACF1">
        <w:rPr>
          <w:rFonts w:ascii="Arial" w:eastAsia="Arial" w:hAnsi="Arial" w:cs="Arial"/>
          <w:color w:val="000000" w:themeColor="text1"/>
          <w:sz w:val="22"/>
          <w:szCs w:val="22"/>
        </w:rPr>
        <w:t xml:space="preserve"> the strengths of both, weaving lived experience with measurable outcomes to present a fuller, more persuasive picture of the intervention’s impact.</w:t>
      </w:r>
    </w:p>
    <w:p w14:paraId="05792E93" w14:textId="1091AFE8" w:rsidR="6919CA06" w:rsidRDefault="6919CA06" w:rsidP="5ECF1BC0">
      <w:pPr>
        <w:pStyle w:val="Heading2"/>
        <w:spacing w:before="281" w:after="281" w:line="360" w:lineRule="auto"/>
        <w:rPr>
          <w:rFonts w:ascii="Arial" w:eastAsia="Arial" w:hAnsi="Arial" w:cs="Arial"/>
          <w:color w:val="auto"/>
          <w:sz w:val="22"/>
          <w:szCs w:val="22"/>
        </w:rPr>
      </w:pPr>
      <w:r w:rsidRPr="5ECF1BC0">
        <w:rPr>
          <w:rFonts w:ascii="Arial" w:eastAsia="Arial" w:hAnsi="Arial" w:cs="Arial"/>
          <w:b/>
          <w:bCs/>
          <w:color w:val="auto"/>
          <w:sz w:val="22"/>
          <w:szCs w:val="22"/>
        </w:rPr>
        <w:t>Data Collection Methods</w:t>
      </w:r>
    </w:p>
    <w:p w14:paraId="29056DFB" w14:textId="662FEA17"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Ethnographically Informed Observation</w:t>
      </w:r>
      <w:r>
        <w:br/>
      </w:r>
      <w:r w:rsidRPr="5ECF1BC0">
        <w:rPr>
          <w:rFonts w:ascii="Arial" w:eastAsia="Arial" w:hAnsi="Arial" w:cs="Arial"/>
          <w:color w:val="000000" w:themeColor="text1"/>
          <w:sz w:val="22"/>
          <w:szCs w:val="22"/>
        </w:rPr>
        <w:t>As both researcher and staff member, an ethnographic stance w</w:t>
      </w:r>
      <w:r w:rsidR="120AC37F" w:rsidRPr="5ECF1BC0">
        <w:rPr>
          <w:rFonts w:ascii="Arial" w:eastAsia="Arial" w:hAnsi="Arial" w:cs="Arial"/>
          <w:color w:val="000000" w:themeColor="text1"/>
          <w:sz w:val="22"/>
          <w:szCs w:val="22"/>
        </w:rPr>
        <w:t>as</w:t>
      </w:r>
      <w:r w:rsidRPr="5ECF1BC0">
        <w:rPr>
          <w:rFonts w:ascii="Arial" w:eastAsia="Arial" w:hAnsi="Arial" w:cs="Arial"/>
          <w:color w:val="000000" w:themeColor="text1"/>
          <w:sz w:val="22"/>
          <w:szCs w:val="22"/>
        </w:rPr>
        <w:t xml:space="preserve"> adopted during the establishment of the outdoor wellbeing community. This involve</w:t>
      </w:r>
      <w:r w:rsidR="4F02E85D"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participating in and observing weekly sessions, noting staff interactions, engagement with outdoor activities, and informal expressions of wellbeing. Fieldnotes capture</w:t>
      </w:r>
      <w:r w:rsidR="0DBAEA88"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descriptive accounts and reflective commentary, offering insight into cultural dynamics and subtleties that formal interviews may </w:t>
      </w:r>
      <w:r w:rsidR="4301D760" w:rsidRPr="5ECF1BC0">
        <w:rPr>
          <w:rFonts w:ascii="Arial" w:eastAsia="Arial" w:hAnsi="Arial" w:cs="Arial"/>
          <w:color w:val="000000" w:themeColor="text1"/>
          <w:sz w:val="22"/>
          <w:szCs w:val="22"/>
        </w:rPr>
        <w:t xml:space="preserve">have </w:t>
      </w:r>
      <w:r w:rsidRPr="5ECF1BC0">
        <w:rPr>
          <w:rFonts w:ascii="Arial" w:eastAsia="Arial" w:hAnsi="Arial" w:cs="Arial"/>
          <w:color w:val="000000" w:themeColor="text1"/>
          <w:sz w:val="22"/>
          <w:szCs w:val="22"/>
        </w:rPr>
        <w:t>miss</w:t>
      </w:r>
      <w:r w:rsidR="1E5727F8"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w:t>
      </w:r>
    </w:p>
    <w:p w14:paraId="11B90FEC" w14:textId="39B7D52B"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Informal and Semi-Structured Interviews</w:t>
      </w:r>
      <w:r>
        <w:br/>
      </w:r>
      <w:r w:rsidRPr="5ECF1BC0">
        <w:rPr>
          <w:rFonts w:ascii="Arial" w:eastAsia="Arial" w:hAnsi="Arial" w:cs="Arial"/>
          <w:color w:val="000000" w:themeColor="text1"/>
          <w:sz w:val="22"/>
          <w:szCs w:val="22"/>
        </w:rPr>
        <w:t>Alongside observation, staff who regularly attend</w:t>
      </w:r>
      <w:r w:rsidR="64E92A54"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sessions w</w:t>
      </w:r>
      <w:r w:rsidR="1022D107" w:rsidRPr="5ECF1BC0">
        <w:rPr>
          <w:rFonts w:ascii="Arial" w:eastAsia="Arial" w:hAnsi="Arial" w:cs="Arial"/>
          <w:color w:val="000000" w:themeColor="text1"/>
          <w:sz w:val="22"/>
          <w:szCs w:val="22"/>
        </w:rPr>
        <w:t xml:space="preserve">ere </w:t>
      </w:r>
      <w:r w:rsidRPr="5ECF1BC0">
        <w:rPr>
          <w:rFonts w:ascii="Arial" w:eastAsia="Arial" w:hAnsi="Arial" w:cs="Arial"/>
          <w:color w:val="000000" w:themeColor="text1"/>
          <w:sz w:val="22"/>
          <w:szCs w:val="22"/>
        </w:rPr>
        <w:t xml:space="preserve">invited to informal conversations and semi-structured interviews. These </w:t>
      </w:r>
      <w:r w:rsidR="02A5E186" w:rsidRPr="5ECF1BC0">
        <w:rPr>
          <w:rFonts w:ascii="Arial" w:eastAsia="Arial" w:hAnsi="Arial" w:cs="Arial"/>
          <w:color w:val="000000" w:themeColor="text1"/>
          <w:sz w:val="22"/>
          <w:szCs w:val="22"/>
        </w:rPr>
        <w:t>occurred</w:t>
      </w:r>
      <w:r w:rsidRPr="5ECF1BC0">
        <w:rPr>
          <w:rFonts w:ascii="Arial" w:eastAsia="Arial" w:hAnsi="Arial" w:cs="Arial"/>
          <w:color w:val="000000" w:themeColor="text1"/>
          <w:sz w:val="22"/>
          <w:szCs w:val="22"/>
        </w:rPr>
        <w:t xml:space="preserve"> naturally during walks or after </w:t>
      </w:r>
      <w:r w:rsidRPr="5ECF1BC0">
        <w:rPr>
          <w:rFonts w:ascii="Arial" w:eastAsia="Arial" w:hAnsi="Arial" w:cs="Arial"/>
          <w:color w:val="000000" w:themeColor="text1"/>
          <w:sz w:val="22"/>
          <w:szCs w:val="22"/>
        </w:rPr>
        <w:lastRenderedPageBreak/>
        <w:t>activities, with structured interviews at key points. The format allow</w:t>
      </w:r>
      <w:r w:rsidR="4D2AB937"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participants to speak freely while guiding discussion around motivations, perceived wellbeing shifts, and the role of outdoor settings. Interviews </w:t>
      </w:r>
      <w:r w:rsidR="097D83DE" w:rsidRPr="5ECF1BC0">
        <w:rPr>
          <w:rFonts w:ascii="Arial" w:eastAsia="Arial" w:hAnsi="Arial" w:cs="Arial"/>
          <w:color w:val="000000" w:themeColor="text1"/>
          <w:sz w:val="22"/>
          <w:szCs w:val="22"/>
        </w:rPr>
        <w:t>lasted between</w:t>
      </w:r>
      <w:r w:rsidRPr="5ECF1BC0">
        <w:rPr>
          <w:rFonts w:ascii="Arial" w:eastAsia="Arial" w:hAnsi="Arial" w:cs="Arial"/>
          <w:color w:val="000000" w:themeColor="text1"/>
          <w:sz w:val="22"/>
          <w:szCs w:val="22"/>
        </w:rPr>
        <w:t xml:space="preserve"> 30–60 minutes and </w:t>
      </w:r>
      <w:r w:rsidR="690B2E11" w:rsidRPr="5ECF1BC0">
        <w:rPr>
          <w:rFonts w:ascii="Arial" w:eastAsia="Arial" w:hAnsi="Arial" w:cs="Arial"/>
          <w:color w:val="000000" w:themeColor="text1"/>
          <w:sz w:val="22"/>
          <w:szCs w:val="22"/>
        </w:rPr>
        <w:t>were</w:t>
      </w:r>
      <w:r w:rsidRPr="5ECF1BC0">
        <w:rPr>
          <w:rFonts w:ascii="Arial" w:eastAsia="Arial" w:hAnsi="Arial" w:cs="Arial"/>
          <w:color w:val="000000" w:themeColor="text1"/>
          <w:sz w:val="22"/>
          <w:szCs w:val="22"/>
        </w:rPr>
        <w:t xml:space="preserve"> audio-recorded with consent.</w:t>
      </w:r>
    </w:p>
    <w:p w14:paraId="655FD1EC" w14:textId="3A13D345"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Wellbeing Scales</w:t>
      </w:r>
      <w:r>
        <w:br/>
      </w:r>
      <w:r w:rsidRPr="5ECF1BC0">
        <w:rPr>
          <w:rFonts w:ascii="Arial" w:eastAsia="Arial" w:hAnsi="Arial" w:cs="Arial"/>
          <w:color w:val="000000" w:themeColor="text1"/>
          <w:sz w:val="22"/>
          <w:szCs w:val="22"/>
        </w:rPr>
        <w:t>To complement qualitative data, the NR-6 scale—a validated short-form measure of nature relatedness—w</w:t>
      </w:r>
      <w:r w:rsidR="4260034D" w:rsidRPr="5ECF1BC0">
        <w:rPr>
          <w:rFonts w:ascii="Arial" w:eastAsia="Arial" w:hAnsi="Arial" w:cs="Arial"/>
          <w:color w:val="000000" w:themeColor="text1"/>
          <w:sz w:val="22"/>
          <w:szCs w:val="22"/>
        </w:rPr>
        <w:t>as</w:t>
      </w:r>
      <w:r w:rsidRPr="5ECF1BC0">
        <w:rPr>
          <w:rFonts w:ascii="Arial" w:eastAsia="Arial" w:hAnsi="Arial" w:cs="Arial"/>
          <w:color w:val="000000" w:themeColor="text1"/>
          <w:sz w:val="22"/>
          <w:szCs w:val="22"/>
        </w:rPr>
        <w:t xml:space="preserve"> administered at the start </w:t>
      </w:r>
      <w:r w:rsidR="6D38F903" w:rsidRPr="5ECF1BC0">
        <w:rPr>
          <w:rFonts w:ascii="Arial" w:eastAsia="Arial" w:hAnsi="Arial" w:cs="Arial"/>
          <w:color w:val="000000" w:themeColor="text1"/>
          <w:sz w:val="22"/>
          <w:szCs w:val="22"/>
        </w:rPr>
        <w:t>of the project, and it was intended that it would be re-administered at the</w:t>
      </w:r>
      <w:r w:rsidRPr="5ECF1BC0">
        <w:rPr>
          <w:rFonts w:ascii="Arial" w:eastAsia="Arial" w:hAnsi="Arial" w:cs="Arial"/>
          <w:color w:val="000000" w:themeColor="text1"/>
          <w:sz w:val="22"/>
          <w:szCs w:val="22"/>
        </w:rPr>
        <w:t xml:space="preserve"> end of the project</w:t>
      </w:r>
      <w:r w:rsidR="4947E432" w:rsidRPr="5ECF1BC0">
        <w:rPr>
          <w:rFonts w:ascii="Arial" w:eastAsia="Arial" w:hAnsi="Arial" w:cs="Arial"/>
          <w:color w:val="000000" w:themeColor="text1"/>
          <w:sz w:val="22"/>
          <w:szCs w:val="22"/>
        </w:rPr>
        <w:t xml:space="preserve">. </w:t>
      </w:r>
      <w:r w:rsidRPr="5ECF1BC0">
        <w:rPr>
          <w:rFonts w:ascii="Arial" w:eastAsia="Arial" w:hAnsi="Arial" w:cs="Arial"/>
          <w:color w:val="000000" w:themeColor="text1"/>
          <w:sz w:val="22"/>
          <w:szCs w:val="22"/>
        </w:rPr>
        <w:t xml:space="preserve"> Its brevity sui</w:t>
      </w:r>
      <w:r w:rsidR="2C832179" w:rsidRPr="5ECF1BC0">
        <w:rPr>
          <w:rFonts w:ascii="Arial" w:eastAsia="Arial" w:hAnsi="Arial" w:cs="Arial"/>
          <w:color w:val="000000" w:themeColor="text1"/>
          <w:sz w:val="22"/>
          <w:szCs w:val="22"/>
        </w:rPr>
        <w:t xml:space="preserve">ts </w:t>
      </w:r>
      <w:r w:rsidRPr="5ECF1BC0">
        <w:rPr>
          <w:rFonts w:ascii="Arial" w:eastAsia="Arial" w:hAnsi="Arial" w:cs="Arial"/>
          <w:color w:val="000000" w:themeColor="text1"/>
          <w:sz w:val="22"/>
          <w:szCs w:val="22"/>
        </w:rPr>
        <w:t>applied settings while maintaining strong internal consistency and predictive validity (Nisbet &amp; Zelenski, 2013). Using validated instruments enhance</w:t>
      </w:r>
      <w:r w:rsidR="579FFEBD"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credibility and enable</w:t>
      </w:r>
      <w:r w:rsidR="730769DF"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comparison with existing studies.</w:t>
      </w:r>
    </w:p>
    <w:p w14:paraId="41E06511" w14:textId="1AAF2D82"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sz w:val="22"/>
          <w:szCs w:val="22"/>
        </w:rPr>
        <w:t>Sampling</w:t>
      </w:r>
      <w:r>
        <w:br/>
      </w:r>
      <w:r w:rsidRPr="5ECF1BC0">
        <w:rPr>
          <w:rFonts w:ascii="Arial" w:eastAsia="Arial" w:hAnsi="Arial" w:cs="Arial"/>
          <w:color w:val="000000" w:themeColor="text1"/>
          <w:sz w:val="22"/>
          <w:szCs w:val="22"/>
        </w:rPr>
        <w:t>Participants w</w:t>
      </w:r>
      <w:r w:rsidR="3EB20019" w:rsidRPr="5ECF1BC0">
        <w:rPr>
          <w:rFonts w:ascii="Arial" w:eastAsia="Arial" w:hAnsi="Arial" w:cs="Arial"/>
          <w:color w:val="000000" w:themeColor="text1"/>
          <w:sz w:val="22"/>
          <w:szCs w:val="22"/>
        </w:rPr>
        <w:t>ere</w:t>
      </w:r>
      <w:r w:rsidRPr="5ECF1BC0">
        <w:rPr>
          <w:rFonts w:ascii="Arial" w:eastAsia="Arial" w:hAnsi="Arial" w:cs="Arial"/>
          <w:color w:val="000000" w:themeColor="text1"/>
          <w:sz w:val="22"/>
          <w:szCs w:val="22"/>
        </w:rPr>
        <w:t xml:space="preserve"> recruited voluntarily, with efforts to include varied roles (teachers, support staff, administrative staff) for diverse perspectives. Staff w</w:t>
      </w:r>
      <w:r w:rsidR="6F9039A7" w:rsidRPr="5ECF1BC0">
        <w:rPr>
          <w:rFonts w:ascii="Arial" w:eastAsia="Arial" w:hAnsi="Arial" w:cs="Arial"/>
          <w:color w:val="000000" w:themeColor="text1"/>
          <w:sz w:val="22"/>
          <w:szCs w:val="22"/>
        </w:rPr>
        <w:t>ere</w:t>
      </w:r>
      <w:r w:rsidRPr="5ECF1BC0">
        <w:rPr>
          <w:rFonts w:ascii="Arial" w:eastAsia="Arial" w:hAnsi="Arial" w:cs="Arial"/>
          <w:color w:val="000000" w:themeColor="text1"/>
          <w:sz w:val="22"/>
          <w:szCs w:val="22"/>
        </w:rPr>
        <w:t xml:space="preserve"> invited to complete wellbeing scales, participate in interviews, and engage in nature-based activities. Observational data include</w:t>
      </w:r>
      <w:r w:rsidR="558BB7B8"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all attendees, with anonymity maintained through pseudonyms and secure data handling.</w:t>
      </w:r>
    </w:p>
    <w:p w14:paraId="452D2DF3" w14:textId="457624AC" w:rsidR="6919CA06" w:rsidRDefault="6919CA06" w:rsidP="5ECF1BC0">
      <w:pPr>
        <w:spacing w:before="240" w:after="240" w:line="360" w:lineRule="auto"/>
        <w:rPr>
          <w:rFonts w:ascii="Arial" w:eastAsia="Arial" w:hAnsi="Arial" w:cs="Arial"/>
          <w:sz w:val="22"/>
          <w:szCs w:val="22"/>
        </w:rPr>
      </w:pPr>
      <w:r w:rsidRPr="5ECF1BC0">
        <w:rPr>
          <w:rFonts w:ascii="Arial" w:eastAsia="Arial" w:hAnsi="Arial" w:cs="Arial"/>
          <w:b/>
          <w:bCs/>
          <w:sz w:val="22"/>
          <w:szCs w:val="22"/>
        </w:rPr>
        <w:t>Practical Considerations</w:t>
      </w:r>
    </w:p>
    <w:p w14:paraId="6D707DEA" w14:textId="5468C611" w:rsidR="5ECF1BC0" w:rsidRPr="007715D1" w:rsidRDefault="6919CA06" w:rsidP="007715D1">
      <w:p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As an embedded practitioner-researcher, the insider’s status facilitate</w:t>
      </w:r>
      <w:r w:rsidR="6B54FEB9"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access to participants and foster</w:t>
      </w:r>
      <w:r w:rsidR="4EB485DD"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trust-based dialogue, particularly within the constraints of term-time scheduling and staff workload pressures.  This positionality, whilst advantageous in terms of rapport and contextual insight, also necessitate</w:t>
      </w:r>
      <w:r w:rsidR="58AFBEDB"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ongoing reflexivity to critically examine how familiarity might </w:t>
      </w:r>
      <w:r w:rsidR="17474667" w:rsidRPr="5ECF1BC0">
        <w:rPr>
          <w:rFonts w:ascii="Arial" w:eastAsia="Arial" w:hAnsi="Arial" w:cs="Arial"/>
          <w:color w:val="000000" w:themeColor="text1"/>
          <w:sz w:val="22"/>
          <w:szCs w:val="22"/>
        </w:rPr>
        <w:t xml:space="preserve">have </w:t>
      </w:r>
      <w:r w:rsidRPr="5ECF1BC0">
        <w:rPr>
          <w:rFonts w:ascii="Arial" w:eastAsia="Arial" w:hAnsi="Arial" w:cs="Arial"/>
          <w:color w:val="000000" w:themeColor="text1"/>
          <w:sz w:val="22"/>
          <w:szCs w:val="22"/>
        </w:rPr>
        <w:t>shape</w:t>
      </w:r>
      <w:r w:rsidR="1BAE97D6"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both data collection and interpretation.  Reflexivity w</w:t>
      </w:r>
      <w:r w:rsidR="02DD52B2" w:rsidRPr="5ECF1BC0">
        <w:rPr>
          <w:rFonts w:ascii="Arial" w:eastAsia="Arial" w:hAnsi="Arial" w:cs="Arial"/>
          <w:color w:val="000000" w:themeColor="text1"/>
          <w:sz w:val="22"/>
          <w:szCs w:val="22"/>
        </w:rPr>
        <w:t xml:space="preserve">as </w:t>
      </w:r>
      <w:r w:rsidRPr="5ECF1BC0">
        <w:rPr>
          <w:rFonts w:ascii="Arial" w:eastAsia="Arial" w:hAnsi="Arial" w:cs="Arial"/>
          <w:color w:val="000000" w:themeColor="text1"/>
          <w:sz w:val="22"/>
          <w:szCs w:val="22"/>
        </w:rPr>
        <w:t>enacted through field notes, questioning and conscious attention to power dynamics and assumptions.  Finlay (2002) describes reflexivity as a continuous internal dialogue that enables researchers to interrogate their own influence on the research process.  Engaging in this practice not only enhance</w:t>
      </w:r>
      <w:r w:rsidR="03A734CA"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the credibility of the study but also contribute</w:t>
      </w:r>
      <w:r w:rsidR="2B2EE91F"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to the researcher’s professional development and awareness of ethical complexity, relational sensitivity and interpretive responsibility.   As Holmes (2020) argues, insider research offers a unique opportunity for practitioners to refine their epistemological stance and methodological agility, thereby strengthening their competence in navigating dual roles of researcher and practitioner.</w:t>
      </w:r>
      <w:r w:rsidRPr="5ECF1BC0">
        <w:rPr>
          <w:rFonts w:ascii="Arial" w:eastAsia="Arial" w:hAnsi="Arial" w:cs="Arial"/>
          <w:b/>
          <w:bCs/>
          <w:color w:val="000000" w:themeColor="text1"/>
          <w:sz w:val="22"/>
          <w:szCs w:val="22"/>
        </w:rPr>
        <w:t xml:space="preserve"> </w:t>
      </w:r>
      <w:r w:rsidR="7DBE5E2F" w:rsidRPr="5ECF1BC0">
        <w:rPr>
          <w:sz w:val="22"/>
          <w:szCs w:val="22"/>
        </w:rPr>
        <w:t>(Holmes, 2020; Finlay, 2002)</w:t>
      </w:r>
    </w:p>
    <w:p w14:paraId="2B0129C1" w14:textId="655D00E5" w:rsidR="6919CA06" w:rsidRDefault="69BFFB51" w:rsidP="5ECF1BC0">
      <w:pPr>
        <w:keepNext/>
        <w:keepLines/>
        <w:spacing w:before="240" w:after="240" w:line="360" w:lineRule="auto"/>
        <w:rPr>
          <w:rFonts w:ascii="Arial" w:eastAsia="Arial" w:hAnsi="Arial" w:cs="Arial"/>
          <w:color w:val="000000" w:themeColor="text1"/>
          <w:sz w:val="22"/>
          <w:szCs w:val="22"/>
        </w:rPr>
      </w:pPr>
      <w:r w:rsidRPr="3F29B626">
        <w:rPr>
          <w:rFonts w:ascii="Arial" w:eastAsia="Arial" w:hAnsi="Arial" w:cs="Arial"/>
          <w:b/>
          <w:bCs/>
          <w:color w:val="000000" w:themeColor="text1"/>
          <w:sz w:val="22"/>
          <w:szCs w:val="22"/>
        </w:rPr>
        <w:lastRenderedPageBreak/>
        <w:t>Data Analysis</w:t>
      </w:r>
    </w:p>
    <w:p w14:paraId="2E84716A" w14:textId="52835FC7" w:rsidR="6919CA06" w:rsidRDefault="6919CA06" w:rsidP="5ECF1BC0">
      <w:pPr>
        <w:tabs>
          <w:tab w:val="left" w:pos="5540"/>
        </w:tabs>
        <w:spacing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Qualitative Data</w:t>
      </w:r>
      <w:r>
        <w:br/>
      </w:r>
      <w:r w:rsidRPr="5ECF1BC0">
        <w:rPr>
          <w:rFonts w:ascii="Arial" w:eastAsia="Arial" w:hAnsi="Arial" w:cs="Arial"/>
          <w:color w:val="000000" w:themeColor="text1"/>
          <w:sz w:val="22"/>
          <w:szCs w:val="22"/>
        </w:rPr>
        <w:t>Reflexive thematic analysis (RTA) w</w:t>
      </w:r>
      <w:r w:rsidR="7A334267" w:rsidRPr="5ECF1BC0">
        <w:rPr>
          <w:rFonts w:ascii="Arial" w:eastAsia="Arial" w:hAnsi="Arial" w:cs="Arial"/>
          <w:color w:val="000000" w:themeColor="text1"/>
          <w:sz w:val="22"/>
          <w:szCs w:val="22"/>
        </w:rPr>
        <w:t>as</w:t>
      </w:r>
      <w:r w:rsidRPr="5ECF1BC0">
        <w:rPr>
          <w:rFonts w:ascii="Arial" w:eastAsia="Arial" w:hAnsi="Arial" w:cs="Arial"/>
          <w:color w:val="000000" w:themeColor="text1"/>
          <w:sz w:val="22"/>
          <w:szCs w:val="22"/>
        </w:rPr>
        <w:t xml:space="preserve"> used to identify patterns of meaning, following the approach outlined by Braun and Clarke (2006, 2019). RTA </w:t>
      </w:r>
      <w:r w:rsidR="07C59EE4" w:rsidRPr="5ECF1BC0">
        <w:rPr>
          <w:rFonts w:ascii="Arial" w:eastAsia="Arial" w:hAnsi="Arial" w:cs="Arial"/>
          <w:color w:val="000000" w:themeColor="text1"/>
          <w:sz w:val="22"/>
          <w:szCs w:val="22"/>
        </w:rPr>
        <w:t>wa</w:t>
      </w:r>
      <w:r w:rsidRPr="5ECF1BC0">
        <w:rPr>
          <w:rFonts w:ascii="Arial" w:eastAsia="Arial" w:hAnsi="Arial" w:cs="Arial"/>
          <w:color w:val="000000" w:themeColor="text1"/>
          <w:sz w:val="22"/>
          <w:szCs w:val="22"/>
        </w:rPr>
        <w:t>s chosen for its theoretical flexibility and alignment with an interpretivist orientation, prioritising participant voice and contextual nuance. Unlike coding reliability approaches seeking consensus, RTA embraces subjectivity as a resource (Braun &amp; Clarke, 2021). Analysis beg</w:t>
      </w:r>
      <w:r w:rsidR="14B92010" w:rsidRPr="5ECF1BC0">
        <w:rPr>
          <w:rFonts w:ascii="Arial" w:eastAsia="Arial" w:hAnsi="Arial" w:cs="Arial"/>
          <w:color w:val="000000" w:themeColor="text1"/>
          <w:sz w:val="22"/>
          <w:szCs w:val="22"/>
        </w:rPr>
        <w:t>an</w:t>
      </w:r>
      <w:r w:rsidRPr="5ECF1BC0">
        <w:rPr>
          <w:rFonts w:ascii="Arial" w:eastAsia="Arial" w:hAnsi="Arial" w:cs="Arial"/>
          <w:color w:val="000000" w:themeColor="text1"/>
          <w:sz w:val="22"/>
          <w:szCs w:val="22"/>
        </w:rPr>
        <w:t xml:space="preserve"> with immersive familiarisation—repeated transcript readings and reflective notes—before developing themes through a blend of inductive and deductive strategies informed by research aims and literature. This dual approach ensure</w:t>
      </w:r>
      <w:r w:rsidR="4DBBE166"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findings remain</w:t>
      </w:r>
      <w:r w:rsidR="267D35FC"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grounded in lived experience while engaging critically with theory.</w:t>
      </w:r>
    </w:p>
    <w:p w14:paraId="792390C7" w14:textId="160B8FEE" w:rsidR="6919CA06" w:rsidRDefault="6919CA06" w:rsidP="5ECF1BC0">
      <w:pPr>
        <w:tabs>
          <w:tab w:val="left" w:pos="5540"/>
        </w:tabs>
        <w:spacing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Ethical reflexivity and positionality </w:t>
      </w:r>
      <w:r w:rsidR="228EBE10" w:rsidRPr="5ECF1BC0">
        <w:rPr>
          <w:rFonts w:ascii="Arial" w:eastAsia="Arial" w:hAnsi="Arial" w:cs="Arial"/>
          <w:color w:val="000000" w:themeColor="text1"/>
          <w:sz w:val="22"/>
          <w:szCs w:val="22"/>
        </w:rPr>
        <w:t>we</w:t>
      </w:r>
      <w:r w:rsidRPr="5ECF1BC0">
        <w:rPr>
          <w:rFonts w:ascii="Arial" w:eastAsia="Arial" w:hAnsi="Arial" w:cs="Arial"/>
          <w:color w:val="000000" w:themeColor="text1"/>
          <w:sz w:val="22"/>
          <w:szCs w:val="22"/>
        </w:rPr>
        <w:t>re central. Interpretations reflect</w:t>
      </w:r>
      <w:r w:rsidR="75B3BF02"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both participant voice and the researcher’s educational wellbeing experience, acknowledging co-construction of meaning. Credibil</w:t>
      </w:r>
      <w:r w:rsidR="1CD3BEE9" w:rsidRPr="5ECF1BC0">
        <w:rPr>
          <w:rFonts w:ascii="Arial" w:eastAsia="Arial" w:hAnsi="Arial" w:cs="Arial"/>
          <w:color w:val="000000" w:themeColor="text1"/>
          <w:sz w:val="22"/>
          <w:szCs w:val="22"/>
        </w:rPr>
        <w:t xml:space="preserve">ity was </w:t>
      </w:r>
      <w:r w:rsidRPr="5ECF1BC0">
        <w:rPr>
          <w:rFonts w:ascii="Arial" w:eastAsia="Arial" w:hAnsi="Arial" w:cs="Arial"/>
          <w:color w:val="000000" w:themeColor="text1"/>
          <w:sz w:val="22"/>
          <w:szCs w:val="22"/>
        </w:rPr>
        <w:t>supported through reflective journaling and peer debriefing to challenge assumptions and maintain transparency. This approach align</w:t>
      </w:r>
      <w:r w:rsidR="5ED0B8D8"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with the study’s broader aim: to inform systemic wellbeing policy by grounding analysis in theory and practice.</w:t>
      </w:r>
    </w:p>
    <w:p w14:paraId="003AE914" w14:textId="1255F05C" w:rsidR="6919CA06" w:rsidRDefault="6919CA06" w:rsidP="5ECF1BC0">
      <w:pPr>
        <w:tabs>
          <w:tab w:val="left" w:pos="5540"/>
        </w:tabs>
        <w:spacing w:line="360" w:lineRule="auto"/>
        <w:rPr>
          <w:rFonts w:ascii="Arial" w:eastAsia="Arial" w:hAnsi="Arial" w:cs="Arial"/>
          <w:sz w:val="22"/>
          <w:szCs w:val="22"/>
        </w:rPr>
      </w:pPr>
      <w:r w:rsidRPr="5ECF1BC0">
        <w:rPr>
          <w:rFonts w:ascii="Arial" w:eastAsia="Arial" w:hAnsi="Arial" w:cs="Arial"/>
          <w:b/>
          <w:bCs/>
          <w:color w:val="000000" w:themeColor="text1"/>
          <w:sz w:val="22"/>
          <w:szCs w:val="22"/>
        </w:rPr>
        <w:t>Quantitative Data</w:t>
      </w:r>
      <w:r>
        <w:br/>
      </w:r>
      <w:r w:rsidR="0EE566E9" w:rsidRPr="5ECF1BC0">
        <w:rPr>
          <w:rFonts w:ascii="Arial" w:eastAsia="Arial" w:hAnsi="Arial" w:cs="Arial"/>
          <w:sz w:val="22"/>
          <w:szCs w:val="22"/>
        </w:rPr>
        <w:t>Quantitative data from the NR-6 scale were initially intended to be analysed using paired t-tests to assess changes in nature relatedness pre- and post-intervention. This approach would have allowed comparison of individual scores across two time points to determine whether any observed shifts indicated a meaningful impact. However, the NR-6 was not re-administered at post-intervention. This decision was made due to time constraints and a reconsideration of the conceptual suitability of the measure, as the scale appeared to assess a relatively stable trait that may be less sensitive to change over the short duration of the intervention. While the small sample limits generalisability, the quantitative findings still provide a useful complement to qualitative insights.</w:t>
      </w:r>
    </w:p>
    <w:p w14:paraId="6C28594F" w14:textId="70112DD1" w:rsidR="6919CA06" w:rsidRDefault="6919CA06" w:rsidP="5ECF1BC0">
      <w:pPr>
        <w:spacing w:after="0" w:line="360" w:lineRule="auto"/>
        <w:rPr>
          <w:sz w:val="22"/>
          <w:szCs w:val="22"/>
        </w:rPr>
      </w:pPr>
      <w:r w:rsidRPr="5ECF1BC0">
        <w:rPr>
          <w:rFonts w:ascii="Arial" w:eastAsia="Arial" w:hAnsi="Arial" w:cs="Arial"/>
          <w:b/>
          <w:bCs/>
          <w:color w:val="000000" w:themeColor="text1"/>
          <w:sz w:val="22"/>
          <w:szCs w:val="22"/>
        </w:rPr>
        <w:t>Integration of Data</w:t>
      </w:r>
      <w:r>
        <w:br/>
      </w:r>
      <w:r w:rsidRPr="5ECF1BC0">
        <w:rPr>
          <w:rFonts w:ascii="Arial" w:eastAsia="Arial" w:hAnsi="Arial" w:cs="Arial"/>
          <w:color w:val="000000" w:themeColor="text1"/>
          <w:sz w:val="22"/>
          <w:szCs w:val="22"/>
        </w:rPr>
        <w:t>Qualitative and quantitative findings w</w:t>
      </w:r>
      <w:r w:rsidR="7CD14182" w:rsidRPr="5ECF1BC0">
        <w:rPr>
          <w:rFonts w:ascii="Arial" w:eastAsia="Arial" w:hAnsi="Arial" w:cs="Arial"/>
          <w:color w:val="000000" w:themeColor="text1"/>
          <w:sz w:val="22"/>
          <w:szCs w:val="22"/>
        </w:rPr>
        <w:t>ere</w:t>
      </w:r>
      <w:r w:rsidRPr="5ECF1BC0">
        <w:rPr>
          <w:rFonts w:ascii="Arial" w:eastAsia="Arial" w:hAnsi="Arial" w:cs="Arial"/>
          <w:color w:val="000000" w:themeColor="text1"/>
          <w:sz w:val="22"/>
          <w:szCs w:val="22"/>
        </w:rPr>
        <w:t xml:space="preserve"> integrated during interpretation. Quantitative results offer</w:t>
      </w:r>
      <w:r w:rsidR="62232B30"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measurable evidence, while qu</w:t>
      </w:r>
      <w:r w:rsidRPr="5ECF1BC0">
        <w:rPr>
          <w:color w:val="000000" w:themeColor="text1"/>
          <w:sz w:val="22"/>
          <w:szCs w:val="22"/>
        </w:rPr>
        <w:t>alitative themes reveal</w:t>
      </w:r>
      <w:r w:rsidR="4ADA5334" w:rsidRPr="5ECF1BC0">
        <w:rPr>
          <w:color w:val="000000" w:themeColor="text1"/>
          <w:sz w:val="22"/>
          <w:szCs w:val="22"/>
        </w:rPr>
        <w:t>ed</w:t>
      </w:r>
      <w:r w:rsidRPr="5ECF1BC0">
        <w:rPr>
          <w:color w:val="000000" w:themeColor="text1"/>
          <w:sz w:val="22"/>
          <w:szCs w:val="22"/>
        </w:rPr>
        <w:t xml:space="preserve"> the meanings behind those changes, ensuring a rigorous and contextually rich account</w:t>
      </w:r>
      <w:r w:rsidR="1869A54E" w:rsidRPr="5ECF1BC0">
        <w:rPr>
          <w:color w:val="000000" w:themeColor="text1"/>
          <w:sz w:val="22"/>
          <w:szCs w:val="22"/>
        </w:rPr>
        <w:t xml:space="preserve"> </w:t>
      </w:r>
      <w:r w:rsidR="1869A54E" w:rsidRPr="5ECF1BC0">
        <w:rPr>
          <w:sz w:val="22"/>
          <w:szCs w:val="22"/>
        </w:rPr>
        <w:t>(Braun and Clarke, 2019; Stewart‑Brown, 2021)</w:t>
      </w:r>
    </w:p>
    <w:p w14:paraId="400C254A" w14:textId="62128F77" w:rsidR="6919CA06" w:rsidRDefault="6919CA06" w:rsidP="5ECF1BC0">
      <w:pPr>
        <w:pStyle w:val="Heading2"/>
        <w:spacing w:before="299" w:after="299" w:line="360" w:lineRule="auto"/>
        <w:rPr>
          <w:rFonts w:ascii="Arial" w:eastAsia="Arial" w:hAnsi="Arial" w:cs="Arial"/>
          <w:color w:val="000000" w:themeColor="text1"/>
          <w:sz w:val="22"/>
          <w:szCs w:val="22"/>
        </w:rPr>
      </w:pPr>
      <w:r w:rsidRPr="5ECF1BC0">
        <w:rPr>
          <w:rFonts w:ascii="Arial" w:eastAsia="Arial" w:hAnsi="Arial" w:cs="Arial"/>
          <w:b/>
          <w:bCs/>
          <w:color w:val="auto"/>
          <w:sz w:val="22"/>
          <w:szCs w:val="22"/>
        </w:rPr>
        <w:lastRenderedPageBreak/>
        <w:t>Ethical Considerations</w:t>
      </w:r>
    </w:p>
    <w:p w14:paraId="1060C222" w14:textId="5B623C22" w:rsidR="6919CA06" w:rsidRDefault="16DBF8A5" w:rsidP="0BBEACF1">
      <w:pPr>
        <w:pStyle w:val="Heading2"/>
        <w:spacing w:before="299" w:after="299" w:line="360" w:lineRule="auto"/>
        <w:rPr>
          <w:rFonts w:ascii="Arial" w:eastAsia="Arial" w:hAnsi="Arial" w:cs="Arial"/>
          <w:color w:val="000000" w:themeColor="text1"/>
          <w:sz w:val="22"/>
          <w:szCs w:val="22"/>
        </w:rPr>
      </w:pPr>
      <w:r w:rsidRPr="3F29B626">
        <w:rPr>
          <w:rFonts w:ascii="Arial" w:eastAsia="Arial" w:hAnsi="Arial" w:cs="Arial"/>
          <w:color w:val="000000" w:themeColor="text1"/>
          <w:sz w:val="22"/>
          <w:szCs w:val="22"/>
        </w:rPr>
        <w:t xml:space="preserve">Ethical integrity </w:t>
      </w:r>
      <w:r w:rsidR="3E4BEE56" w:rsidRPr="3F29B626">
        <w:rPr>
          <w:rFonts w:ascii="Arial" w:eastAsia="Arial" w:hAnsi="Arial" w:cs="Arial"/>
          <w:color w:val="000000" w:themeColor="text1"/>
          <w:sz w:val="22"/>
          <w:szCs w:val="22"/>
        </w:rPr>
        <w:t>w</w:t>
      </w:r>
      <w:r w:rsidR="3DAF4F44" w:rsidRPr="3F29B626">
        <w:rPr>
          <w:rFonts w:ascii="Arial" w:eastAsia="Arial" w:hAnsi="Arial" w:cs="Arial"/>
          <w:color w:val="000000" w:themeColor="text1"/>
          <w:sz w:val="22"/>
          <w:szCs w:val="22"/>
        </w:rPr>
        <w:t>as</w:t>
      </w:r>
      <w:r w:rsidRPr="3F29B626">
        <w:rPr>
          <w:rFonts w:ascii="Arial" w:eastAsia="Arial" w:hAnsi="Arial" w:cs="Arial"/>
          <w:color w:val="000000" w:themeColor="text1"/>
          <w:sz w:val="22"/>
          <w:szCs w:val="22"/>
        </w:rPr>
        <w:t xml:space="preserve"> central to the project, particularly as it involve</w:t>
      </w:r>
      <w:r w:rsidR="38811277" w:rsidRPr="3F29B626">
        <w:rPr>
          <w:rFonts w:ascii="Arial" w:eastAsia="Arial" w:hAnsi="Arial" w:cs="Arial"/>
          <w:color w:val="000000" w:themeColor="text1"/>
          <w:sz w:val="22"/>
          <w:szCs w:val="22"/>
        </w:rPr>
        <w:t>d</w:t>
      </w:r>
      <w:r w:rsidRPr="3F29B626">
        <w:rPr>
          <w:rFonts w:ascii="Arial" w:eastAsia="Arial" w:hAnsi="Arial" w:cs="Arial"/>
          <w:color w:val="000000" w:themeColor="text1"/>
          <w:sz w:val="22"/>
          <w:szCs w:val="22"/>
        </w:rPr>
        <w:t xml:space="preserve"> colleagues in a professional setting. Approval was obtained from both the UWTSD Ethics Committee</w:t>
      </w:r>
      <w:r w:rsidR="73541D47" w:rsidRPr="3F29B626">
        <w:rPr>
          <w:rFonts w:ascii="Arial" w:eastAsia="Arial" w:hAnsi="Arial" w:cs="Arial"/>
          <w:color w:val="000000" w:themeColor="text1"/>
          <w:sz w:val="22"/>
          <w:szCs w:val="22"/>
        </w:rPr>
        <w:t xml:space="preserve"> (see Appendix A)</w:t>
      </w:r>
      <w:r w:rsidRPr="3F29B626">
        <w:rPr>
          <w:rFonts w:ascii="Arial" w:eastAsia="Arial" w:hAnsi="Arial" w:cs="Arial"/>
          <w:color w:val="000000" w:themeColor="text1"/>
          <w:sz w:val="22"/>
          <w:szCs w:val="22"/>
        </w:rPr>
        <w:t xml:space="preserve"> and the school’s governing body.</w:t>
      </w:r>
    </w:p>
    <w:p w14:paraId="533B4DB0" w14:textId="685C4286" w:rsidR="6919CA06" w:rsidRDefault="69BFFB51" w:rsidP="5ECF1BC0">
      <w:pPr>
        <w:spacing w:before="240" w:after="240" w:line="360" w:lineRule="auto"/>
        <w:rPr>
          <w:rFonts w:ascii="Arial" w:eastAsia="Arial" w:hAnsi="Arial" w:cs="Arial"/>
          <w:color w:val="000000" w:themeColor="text1"/>
          <w:sz w:val="22"/>
          <w:szCs w:val="22"/>
        </w:rPr>
      </w:pPr>
      <w:r w:rsidRPr="3F29B626">
        <w:rPr>
          <w:rFonts w:ascii="Arial" w:eastAsia="Arial" w:hAnsi="Arial" w:cs="Arial"/>
          <w:b/>
          <w:bCs/>
          <w:color w:val="000000" w:themeColor="text1"/>
          <w:sz w:val="22"/>
          <w:szCs w:val="22"/>
        </w:rPr>
        <w:t>Informed Consent:</w:t>
      </w:r>
      <w:r w:rsidRPr="3F29B626">
        <w:rPr>
          <w:rFonts w:ascii="Arial" w:eastAsia="Arial" w:hAnsi="Arial" w:cs="Arial"/>
          <w:color w:val="000000" w:themeColor="text1"/>
          <w:sz w:val="22"/>
          <w:szCs w:val="22"/>
        </w:rPr>
        <w:t xml:space="preserve"> All participants receive</w:t>
      </w:r>
      <w:r w:rsidR="563197F4" w:rsidRPr="3F29B626">
        <w:rPr>
          <w:rFonts w:ascii="Arial" w:eastAsia="Arial" w:hAnsi="Arial" w:cs="Arial"/>
          <w:color w:val="000000" w:themeColor="text1"/>
          <w:sz w:val="22"/>
          <w:szCs w:val="22"/>
        </w:rPr>
        <w:t>d</w:t>
      </w:r>
      <w:r w:rsidRPr="3F29B626">
        <w:rPr>
          <w:rFonts w:ascii="Arial" w:eastAsia="Arial" w:hAnsi="Arial" w:cs="Arial"/>
          <w:color w:val="000000" w:themeColor="text1"/>
          <w:sz w:val="22"/>
          <w:szCs w:val="22"/>
        </w:rPr>
        <w:t xml:space="preserve"> an information sheet detailing the study’s purpose, methods, and their rights</w:t>
      </w:r>
      <w:r w:rsidR="7B5B4B9D" w:rsidRPr="3F29B626">
        <w:rPr>
          <w:rFonts w:ascii="Arial" w:eastAsia="Arial" w:hAnsi="Arial" w:cs="Arial"/>
          <w:color w:val="000000" w:themeColor="text1"/>
          <w:sz w:val="22"/>
          <w:szCs w:val="22"/>
        </w:rPr>
        <w:t xml:space="preserve"> (</w:t>
      </w:r>
      <w:r w:rsidR="33E0CE16" w:rsidRPr="3F29B626">
        <w:rPr>
          <w:rFonts w:ascii="Arial" w:eastAsia="Arial" w:hAnsi="Arial" w:cs="Arial"/>
          <w:color w:val="000000" w:themeColor="text1"/>
          <w:sz w:val="22"/>
          <w:szCs w:val="22"/>
        </w:rPr>
        <w:t>s</w:t>
      </w:r>
      <w:r w:rsidR="7B5B4B9D" w:rsidRPr="3F29B626">
        <w:rPr>
          <w:rFonts w:ascii="Arial" w:eastAsia="Arial" w:hAnsi="Arial" w:cs="Arial"/>
          <w:color w:val="000000" w:themeColor="text1"/>
          <w:sz w:val="22"/>
          <w:szCs w:val="22"/>
        </w:rPr>
        <w:t>ee Appendix C)</w:t>
      </w:r>
      <w:r w:rsidRPr="3F29B626">
        <w:rPr>
          <w:rFonts w:ascii="Arial" w:eastAsia="Arial" w:hAnsi="Arial" w:cs="Arial"/>
          <w:color w:val="000000" w:themeColor="text1"/>
          <w:sz w:val="22"/>
          <w:szCs w:val="22"/>
        </w:rPr>
        <w:t>. Written consent w</w:t>
      </w:r>
      <w:r w:rsidR="72E87002" w:rsidRPr="3F29B626">
        <w:rPr>
          <w:rFonts w:ascii="Arial" w:eastAsia="Arial" w:hAnsi="Arial" w:cs="Arial"/>
          <w:color w:val="000000" w:themeColor="text1"/>
          <w:sz w:val="22"/>
          <w:szCs w:val="22"/>
        </w:rPr>
        <w:t>as</w:t>
      </w:r>
      <w:r w:rsidRPr="3F29B626">
        <w:rPr>
          <w:rFonts w:ascii="Arial" w:eastAsia="Arial" w:hAnsi="Arial" w:cs="Arial"/>
          <w:color w:val="000000" w:themeColor="text1"/>
          <w:sz w:val="22"/>
          <w:szCs w:val="22"/>
        </w:rPr>
        <w:t xml:space="preserve"> obtained for interviews and survey participation, while consent for observation </w:t>
      </w:r>
      <w:r w:rsidR="043DD720" w:rsidRPr="3F29B626">
        <w:rPr>
          <w:rFonts w:ascii="Arial" w:eastAsia="Arial" w:hAnsi="Arial" w:cs="Arial"/>
          <w:color w:val="000000" w:themeColor="text1"/>
          <w:sz w:val="22"/>
          <w:szCs w:val="22"/>
        </w:rPr>
        <w:t>was</w:t>
      </w:r>
      <w:r w:rsidRPr="3F29B626">
        <w:rPr>
          <w:rFonts w:ascii="Arial" w:eastAsia="Arial" w:hAnsi="Arial" w:cs="Arial"/>
          <w:color w:val="000000" w:themeColor="text1"/>
          <w:sz w:val="22"/>
          <w:szCs w:val="22"/>
        </w:rPr>
        <w:t xml:space="preserve"> implied through the voluntary nature of session participation, supplemented by ongoing reminders of the researcher’s dual role.</w:t>
      </w:r>
    </w:p>
    <w:p w14:paraId="44FB683F" w14:textId="16764178"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Confidentiality and Anonymity:</w:t>
      </w:r>
      <w:r w:rsidRPr="5ECF1BC0">
        <w:rPr>
          <w:rFonts w:ascii="Arial" w:eastAsia="Arial" w:hAnsi="Arial" w:cs="Arial"/>
          <w:color w:val="000000" w:themeColor="text1"/>
          <w:sz w:val="22"/>
          <w:szCs w:val="22"/>
        </w:rPr>
        <w:t xml:space="preserve"> All data </w:t>
      </w:r>
      <w:r w:rsidR="358E251A" w:rsidRPr="5ECF1BC0">
        <w:rPr>
          <w:rFonts w:ascii="Arial" w:eastAsia="Arial" w:hAnsi="Arial" w:cs="Arial"/>
          <w:color w:val="000000" w:themeColor="text1"/>
          <w:sz w:val="22"/>
          <w:szCs w:val="22"/>
        </w:rPr>
        <w:t>wa</w:t>
      </w:r>
      <w:r w:rsidRPr="5ECF1BC0">
        <w:rPr>
          <w:rFonts w:ascii="Arial" w:eastAsia="Arial" w:hAnsi="Arial" w:cs="Arial"/>
          <w:color w:val="000000" w:themeColor="text1"/>
          <w:sz w:val="22"/>
          <w:szCs w:val="22"/>
        </w:rPr>
        <w:t>s anonymised. Pseudonyms w</w:t>
      </w:r>
      <w:r w:rsidR="7D5B2E83" w:rsidRPr="5ECF1BC0">
        <w:rPr>
          <w:rFonts w:ascii="Arial" w:eastAsia="Arial" w:hAnsi="Arial" w:cs="Arial"/>
          <w:color w:val="000000" w:themeColor="text1"/>
          <w:sz w:val="22"/>
          <w:szCs w:val="22"/>
        </w:rPr>
        <w:t>ere</w:t>
      </w:r>
      <w:r w:rsidRPr="5ECF1BC0">
        <w:rPr>
          <w:rFonts w:ascii="Arial" w:eastAsia="Arial" w:hAnsi="Arial" w:cs="Arial"/>
          <w:color w:val="000000" w:themeColor="text1"/>
          <w:sz w:val="22"/>
          <w:szCs w:val="22"/>
        </w:rPr>
        <w:t xml:space="preserve"> used in reporting, and identifying details w</w:t>
      </w:r>
      <w:r w:rsidR="5E9FF960" w:rsidRPr="5ECF1BC0">
        <w:rPr>
          <w:rFonts w:ascii="Arial" w:eastAsia="Arial" w:hAnsi="Arial" w:cs="Arial"/>
          <w:color w:val="000000" w:themeColor="text1"/>
          <w:sz w:val="22"/>
          <w:szCs w:val="22"/>
        </w:rPr>
        <w:t>ere</w:t>
      </w:r>
      <w:r w:rsidRPr="5ECF1BC0">
        <w:rPr>
          <w:rFonts w:ascii="Arial" w:eastAsia="Arial" w:hAnsi="Arial" w:cs="Arial"/>
          <w:color w:val="000000" w:themeColor="text1"/>
          <w:sz w:val="22"/>
          <w:szCs w:val="22"/>
        </w:rPr>
        <w:t xml:space="preserve"> be removed from transcripts and fieldnotes. Data </w:t>
      </w:r>
      <w:r w:rsidR="406C8E92" w:rsidRPr="5ECF1BC0">
        <w:rPr>
          <w:rFonts w:ascii="Arial" w:eastAsia="Arial" w:hAnsi="Arial" w:cs="Arial"/>
          <w:color w:val="000000" w:themeColor="text1"/>
          <w:sz w:val="22"/>
          <w:szCs w:val="22"/>
        </w:rPr>
        <w:t>is</w:t>
      </w:r>
      <w:r w:rsidRPr="5ECF1BC0">
        <w:rPr>
          <w:rFonts w:ascii="Arial" w:eastAsia="Arial" w:hAnsi="Arial" w:cs="Arial"/>
          <w:color w:val="000000" w:themeColor="text1"/>
          <w:sz w:val="22"/>
          <w:szCs w:val="22"/>
        </w:rPr>
        <w:t xml:space="preserve"> stored securely in compliance with GDPR regulations.</w:t>
      </w:r>
    </w:p>
    <w:p w14:paraId="60DAA940" w14:textId="4DB7A846"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Power Dynamics:</w:t>
      </w:r>
      <w:r w:rsidRPr="5ECF1BC0">
        <w:rPr>
          <w:rFonts w:ascii="Arial" w:eastAsia="Arial" w:hAnsi="Arial" w:cs="Arial"/>
          <w:color w:val="000000" w:themeColor="text1"/>
          <w:sz w:val="22"/>
          <w:szCs w:val="22"/>
        </w:rPr>
        <w:t xml:space="preserve"> The dual role of employee and researcher raise</w:t>
      </w:r>
      <w:r w:rsidR="0F770790"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potential concerns about coercion. Care w</w:t>
      </w:r>
      <w:r w:rsidR="66978A61" w:rsidRPr="5ECF1BC0">
        <w:rPr>
          <w:rFonts w:ascii="Arial" w:eastAsia="Arial" w:hAnsi="Arial" w:cs="Arial"/>
          <w:color w:val="000000" w:themeColor="text1"/>
          <w:sz w:val="22"/>
          <w:szCs w:val="22"/>
        </w:rPr>
        <w:t>as</w:t>
      </w:r>
      <w:r w:rsidRPr="5ECF1BC0">
        <w:rPr>
          <w:rFonts w:ascii="Arial" w:eastAsia="Arial" w:hAnsi="Arial" w:cs="Arial"/>
          <w:color w:val="000000" w:themeColor="text1"/>
          <w:sz w:val="22"/>
          <w:szCs w:val="22"/>
        </w:rPr>
        <w:t xml:space="preserve"> taken to emphasise the voluntary nature of participation, and no data w</w:t>
      </w:r>
      <w:r w:rsidR="37A74E0C" w:rsidRPr="5ECF1BC0">
        <w:rPr>
          <w:rFonts w:ascii="Arial" w:eastAsia="Arial" w:hAnsi="Arial" w:cs="Arial"/>
          <w:color w:val="000000" w:themeColor="text1"/>
          <w:sz w:val="22"/>
          <w:szCs w:val="22"/>
        </w:rPr>
        <w:t>as</w:t>
      </w:r>
      <w:r w:rsidRPr="5ECF1BC0">
        <w:rPr>
          <w:rFonts w:ascii="Arial" w:eastAsia="Arial" w:hAnsi="Arial" w:cs="Arial"/>
          <w:color w:val="000000" w:themeColor="text1"/>
          <w:sz w:val="22"/>
          <w:szCs w:val="22"/>
        </w:rPr>
        <w:t xml:space="preserve"> shared in a way that could identify individuals.</w:t>
      </w:r>
    </w:p>
    <w:p w14:paraId="2925DFAB" w14:textId="6A575803" w:rsidR="6919CA06"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b/>
          <w:bCs/>
          <w:color w:val="000000" w:themeColor="text1"/>
          <w:sz w:val="22"/>
          <w:szCs w:val="22"/>
        </w:rPr>
        <w:t>Researcher Reflexivity:</w:t>
      </w:r>
      <w:r w:rsidRPr="5ECF1BC0">
        <w:rPr>
          <w:rFonts w:ascii="Arial" w:eastAsia="Arial" w:hAnsi="Arial" w:cs="Arial"/>
          <w:color w:val="000000" w:themeColor="text1"/>
          <w:sz w:val="22"/>
          <w:szCs w:val="22"/>
        </w:rPr>
        <w:t xml:space="preserve"> </w:t>
      </w:r>
    </w:p>
    <w:p w14:paraId="07BACEE3" w14:textId="2EFDCA3E" w:rsidR="5ECF1BC0" w:rsidRDefault="6919CA06"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A reflexive stance w</w:t>
      </w:r>
      <w:r w:rsidR="28C80853" w:rsidRPr="5ECF1BC0">
        <w:rPr>
          <w:rFonts w:ascii="Arial" w:eastAsia="Arial" w:hAnsi="Arial" w:cs="Arial"/>
          <w:color w:val="000000" w:themeColor="text1"/>
          <w:sz w:val="22"/>
          <w:szCs w:val="22"/>
        </w:rPr>
        <w:t>as</w:t>
      </w:r>
      <w:r w:rsidRPr="5ECF1BC0">
        <w:rPr>
          <w:rFonts w:ascii="Arial" w:eastAsia="Arial" w:hAnsi="Arial" w:cs="Arial"/>
          <w:color w:val="000000" w:themeColor="text1"/>
          <w:sz w:val="22"/>
          <w:szCs w:val="22"/>
        </w:rPr>
        <w:t xml:space="preserve"> maintained throughout, acknowledging that the researcher’s position as both insider and participant could shape interpretations. The researcher</w:t>
      </w:r>
      <w:r w:rsidR="50C4CBE6" w:rsidRPr="5ECF1BC0">
        <w:rPr>
          <w:rFonts w:ascii="Arial" w:eastAsia="Arial" w:hAnsi="Arial" w:cs="Arial"/>
          <w:color w:val="000000" w:themeColor="text1"/>
          <w:sz w:val="22"/>
          <w:szCs w:val="22"/>
        </w:rPr>
        <w:t xml:space="preserve"> sought </w:t>
      </w:r>
      <w:r w:rsidRPr="5ECF1BC0">
        <w:rPr>
          <w:rFonts w:ascii="Arial" w:eastAsia="Arial" w:hAnsi="Arial" w:cs="Arial"/>
          <w:color w:val="000000" w:themeColor="text1"/>
          <w:sz w:val="22"/>
          <w:szCs w:val="22"/>
        </w:rPr>
        <w:t>to reduce bias and enhance transparency. This involve</w:t>
      </w:r>
      <w:r w:rsidR="0FA7481D"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ongoing reflection on how experiences, values, and professional context may </w:t>
      </w:r>
      <w:r w:rsidR="6D353D4B" w:rsidRPr="5ECF1BC0">
        <w:rPr>
          <w:rFonts w:ascii="Arial" w:eastAsia="Arial" w:hAnsi="Arial" w:cs="Arial"/>
          <w:color w:val="000000" w:themeColor="text1"/>
          <w:sz w:val="22"/>
          <w:szCs w:val="22"/>
        </w:rPr>
        <w:t xml:space="preserve">have </w:t>
      </w:r>
      <w:r w:rsidRPr="5ECF1BC0">
        <w:rPr>
          <w:rFonts w:ascii="Arial" w:eastAsia="Arial" w:hAnsi="Arial" w:cs="Arial"/>
          <w:color w:val="000000" w:themeColor="text1"/>
          <w:sz w:val="22"/>
          <w:szCs w:val="22"/>
        </w:rPr>
        <w:t>influence</w:t>
      </w:r>
      <w:r w:rsidR="32F47D47"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the framing of research questions, the interpretation of data, and the relational dynamics with participants.</w:t>
      </w:r>
    </w:p>
    <w:p w14:paraId="3FEE320F" w14:textId="7CBE4A5A" w:rsidR="6919CA06" w:rsidRDefault="6919CA06" w:rsidP="5ECF1BC0">
      <w:pPr>
        <w:spacing w:before="240" w:after="240" w:line="360" w:lineRule="auto"/>
        <w:rPr>
          <w:b/>
          <w:bCs/>
          <w:color w:val="000000" w:themeColor="text1"/>
          <w:sz w:val="22"/>
          <w:szCs w:val="22"/>
        </w:rPr>
      </w:pPr>
      <w:r w:rsidRPr="5ECF1BC0">
        <w:rPr>
          <w:b/>
          <w:bCs/>
          <w:color w:val="000000" w:themeColor="text1"/>
          <w:sz w:val="22"/>
          <w:szCs w:val="22"/>
        </w:rPr>
        <w:t>Limitations of the Methodology</w:t>
      </w:r>
    </w:p>
    <w:p w14:paraId="6707FD09" w14:textId="323AC40D" w:rsidR="28DD2C65" w:rsidRDefault="28DD2C65" w:rsidP="5ECF1BC0">
      <w:pPr>
        <w:spacing w:before="210" w:after="210" w:line="360" w:lineRule="auto"/>
        <w:rPr>
          <w:sz w:val="22"/>
          <w:szCs w:val="22"/>
        </w:rPr>
      </w:pPr>
      <w:r w:rsidRPr="5ECF1BC0">
        <w:rPr>
          <w:sz w:val="22"/>
          <w:szCs w:val="22"/>
        </w:rPr>
        <w:t>Small‑scale studies naturally involve certain limitations, particularly regarding how far the findings can be applied beyond the immediate context. Nevertheless, when these constraints are explicitly recognised, such studies can still offer valuable and insightful contributions. Cohen et al. (2018) argue that although these limitations cannot be entirely removed, they can be managed effectively through transparent reporting and thoughtful methodological decision‑making.</w:t>
      </w:r>
    </w:p>
    <w:p w14:paraId="5C41D58C" w14:textId="1543A1FF" w:rsidR="28DD2C65" w:rsidRDefault="7F9767EF" w:rsidP="0BBEACF1">
      <w:pPr>
        <w:spacing w:before="210" w:after="210" w:line="360" w:lineRule="auto"/>
        <w:rPr>
          <w:sz w:val="22"/>
          <w:szCs w:val="22"/>
        </w:rPr>
      </w:pPr>
      <w:r w:rsidRPr="0BBEACF1">
        <w:rPr>
          <w:sz w:val="22"/>
          <w:szCs w:val="22"/>
        </w:rPr>
        <w:t xml:space="preserve">In this research, careful consideration of limitations was essential. Conducting the study within a single special school means that the findings provide depth and contextual relevance, but they cannot be assumed to represent other settings. The relatively small </w:t>
      </w:r>
      <w:r w:rsidRPr="0BBEACF1">
        <w:rPr>
          <w:sz w:val="22"/>
          <w:szCs w:val="22"/>
        </w:rPr>
        <w:lastRenderedPageBreak/>
        <w:t>sample for the wellbeing scale further restricts statistical confidence, meaning the quantitative results should be viewed as indicative rather than definitive. As highlighted by Cohen</w:t>
      </w:r>
      <w:r w:rsidR="668EB9E5" w:rsidRPr="0BBEACF1">
        <w:rPr>
          <w:sz w:val="22"/>
          <w:szCs w:val="22"/>
        </w:rPr>
        <w:t xml:space="preserve"> et al.</w:t>
      </w:r>
      <w:r w:rsidRPr="0BBEACF1">
        <w:rPr>
          <w:sz w:val="22"/>
          <w:szCs w:val="22"/>
        </w:rPr>
        <w:t xml:space="preserve"> (2018), small‑scale studies can still be meaningful when their constraints are openly acknowledged and situated within broader theoretical and practical understanding (Cohen et al., 2018). Through transparency and ongoing reflexivity, this study sought to provide a nuanced and contextually sensitive interpretation of the data.</w:t>
      </w:r>
    </w:p>
    <w:p w14:paraId="6F796351" w14:textId="1784E3A0" w:rsidR="28DD2C65" w:rsidRDefault="28DD2C65" w:rsidP="5ECF1BC0">
      <w:pPr>
        <w:spacing w:before="210" w:after="210" w:line="360" w:lineRule="auto"/>
        <w:rPr>
          <w:sz w:val="22"/>
          <w:szCs w:val="22"/>
        </w:rPr>
      </w:pPr>
      <w:r w:rsidRPr="5ECF1BC0">
        <w:rPr>
          <w:sz w:val="22"/>
          <w:szCs w:val="22"/>
        </w:rPr>
        <w:t>Working as an insider researcher offered significant depth of insight but also introduced challenges related to bias, positionality, and power dynamics. Holmes (2020) notes that navigating the balance between familiarity and analytical distance can be complex, as established relationships may influence participants’ responses and the researcher’s interpretations. To minimise these risks, a reflexive approach was maintained through journaling, memo‑writing, and regular peer discussion. Assumptions were continually examined during the coding process, and methodological triangulation—including the use of wellbeing scales alongside literature‑informed deductive analysis—helped strengthen credibility and minimise interpretive bias. Although positionality can never be fully “set aside,” conscious reflexive practice enabled ethical, transparent, and context‑aware analysis. This process also supported the development of professional competence and deeper awareness of the relational and epistemological considerations involved in insider research (Berger, 2015).</w:t>
      </w:r>
    </w:p>
    <w:p w14:paraId="384D8139" w14:textId="0820D07B" w:rsidR="5B9A9602" w:rsidRDefault="5B9A9602" w:rsidP="5ECF1BC0">
      <w:pPr>
        <w:spacing w:after="0" w:line="360" w:lineRule="auto"/>
        <w:rPr>
          <w:sz w:val="22"/>
          <w:szCs w:val="22"/>
        </w:rPr>
      </w:pPr>
      <w:r w:rsidRPr="5ECF1BC0">
        <w:rPr>
          <w:sz w:val="22"/>
          <w:szCs w:val="22"/>
        </w:rPr>
        <w:t>A planned post-intervention re-administration of the NR-6 scale was not conducted. This deviation from the original methodology was due to both practical constraints, including time limitations, and a reconsideration of the conceptual suitability of the measure. Upon initial data collection, the NR-6 appeared to assess a relatively stable trait (nature relatedness) rather than a state likely to change over a short intervention period. As such, its sensitivity to detect change within the timeframe of this study was considered limited.</w:t>
      </w:r>
    </w:p>
    <w:p w14:paraId="7E280975" w14:textId="52AB5DFD" w:rsidR="5B9A9602" w:rsidRDefault="5B9A9602" w:rsidP="5ECF1BC0">
      <w:pPr>
        <w:spacing w:before="240" w:after="240" w:line="360" w:lineRule="auto"/>
        <w:rPr>
          <w:sz w:val="22"/>
          <w:szCs w:val="22"/>
        </w:rPr>
      </w:pPr>
      <w:r w:rsidRPr="5ECF1BC0">
        <w:rPr>
          <w:sz w:val="22"/>
          <w:szCs w:val="22"/>
        </w:rPr>
        <w:t>However, the omission of post-intervention data represent</w:t>
      </w:r>
      <w:r w:rsidR="04605F23" w:rsidRPr="5ECF1BC0">
        <w:rPr>
          <w:sz w:val="22"/>
          <w:szCs w:val="22"/>
        </w:rPr>
        <w:t>ed</w:t>
      </w:r>
      <w:r w:rsidRPr="5ECF1BC0">
        <w:rPr>
          <w:sz w:val="22"/>
          <w:szCs w:val="22"/>
        </w:rPr>
        <w:t xml:space="preserve"> a limitation, as it prevent</w:t>
      </w:r>
      <w:r w:rsidR="4C6BC26A" w:rsidRPr="5ECF1BC0">
        <w:rPr>
          <w:sz w:val="22"/>
          <w:szCs w:val="22"/>
        </w:rPr>
        <w:t>ed</w:t>
      </w:r>
      <w:r w:rsidRPr="5ECF1BC0">
        <w:rPr>
          <w:sz w:val="22"/>
          <w:szCs w:val="22"/>
        </w:rPr>
        <w:t xml:space="preserve"> direct assessment of potential changes in nature relatedness. Future research should consider retaining pre- and post-measures or selecting instruments specifically validated for sensitivity to short-term interventions.</w:t>
      </w:r>
      <w:r w:rsidR="22E7669F" w:rsidRPr="5ECF1BC0">
        <w:rPr>
          <w:sz w:val="22"/>
          <w:szCs w:val="22"/>
        </w:rPr>
        <w:t xml:space="preserve"> </w:t>
      </w:r>
    </w:p>
    <w:p w14:paraId="490D1FF9" w14:textId="67A98A12" w:rsidR="090D24E1" w:rsidRDefault="090D24E1" w:rsidP="5ECF1BC0">
      <w:pPr>
        <w:spacing w:before="240" w:after="240" w:line="360" w:lineRule="auto"/>
      </w:pPr>
      <w:r w:rsidRPr="5ECF1BC0">
        <w:rPr>
          <w:rFonts w:ascii="Arial" w:eastAsia="Arial" w:hAnsi="Arial" w:cs="Arial"/>
          <w:sz w:val="22"/>
          <w:szCs w:val="22"/>
        </w:rPr>
        <w:t xml:space="preserve">A further methodological refinement related to the proposed use of staff attendance data.  </w:t>
      </w:r>
      <w:r w:rsidR="22E7669F" w:rsidRPr="5ECF1BC0">
        <w:rPr>
          <w:rFonts w:ascii="Arial" w:eastAsia="Arial" w:hAnsi="Arial" w:cs="Arial"/>
          <w:sz w:val="22"/>
          <w:szCs w:val="22"/>
        </w:rPr>
        <w:t xml:space="preserve">Initial project planning proposed examining potential impacts on staff attendance through comparison of organisational data. However, this aspect of the study was not pursued following further methodological and ethical consideration. Accessing and meaningfully interpreting attendance data within the timeframe of the study proved impractical, and the </w:t>
      </w:r>
      <w:r w:rsidR="22E7669F" w:rsidRPr="5ECF1BC0">
        <w:rPr>
          <w:rFonts w:ascii="Arial" w:eastAsia="Arial" w:hAnsi="Arial" w:cs="Arial"/>
          <w:sz w:val="22"/>
          <w:szCs w:val="22"/>
        </w:rPr>
        <w:lastRenderedPageBreak/>
        <w:t>complexity of factors influencing staff attendance made it difficult to attribute any changes directly to the intervention.</w:t>
      </w:r>
    </w:p>
    <w:p w14:paraId="5C7A4575" w14:textId="400480A2" w:rsidR="22E7669F" w:rsidRDefault="22E7669F" w:rsidP="5ECF1BC0">
      <w:pPr>
        <w:spacing w:before="240" w:after="240" w:line="360" w:lineRule="auto"/>
      </w:pPr>
      <w:r w:rsidRPr="5ECF1BC0">
        <w:rPr>
          <w:rFonts w:ascii="Arial" w:eastAsia="Arial" w:hAnsi="Arial" w:cs="Arial"/>
          <w:sz w:val="22"/>
          <w:szCs w:val="22"/>
        </w:rPr>
        <w:t>Furthermore, it was determined that staff attendance operates at an organisational level and may not align closely with the study’s primary focus on individual experiences of wellbeing. As such, its inclusion risked overextending the scope of the research and introducing speculative or unreliable conclusions. The decision to omit this measure allowed for a more focused and methodologically coherent exploration of participant wellbeing within the study’s constraints. Future research adopting a larger-scale or longitudinal design may be better positioned to explore potential links between wellbeing interventions and staff attendance outcomes.</w:t>
      </w:r>
    </w:p>
    <w:p w14:paraId="21EC2D54" w14:textId="13957052" w:rsidR="6919CA06" w:rsidRDefault="6919CA06" w:rsidP="5ECF1BC0">
      <w:pPr>
        <w:spacing w:before="240" w:after="240" w:line="360" w:lineRule="auto"/>
        <w:rPr>
          <w:rFonts w:ascii="Arial" w:eastAsia="Arial" w:hAnsi="Arial" w:cs="Arial"/>
          <w:color w:val="000000" w:themeColor="text1"/>
          <w:sz w:val="22"/>
          <w:szCs w:val="22"/>
        </w:rPr>
      </w:pPr>
      <w:r w:rsidRPr="5ECF1BC0">
        <w:rPr>
          <w:color w:val="000000" w:themeColor="text1"/>
          <w:sz w:val="22"/>
          <w:szCs w:val="22"/>
        </w:rPr>
        <w:t>Finally, the short timeframe limit</w:t>
      </w:r>
      <w:r w:rsidR="2E5D7B71" w:rsidRPr="5ECF1BC0">
        <w:rPr>
          <w:color w:val="000000" w:themeColor="text1"/>
          <w:sz w:val="22"/>
          <w:szCs w:val="22"/>
        </w:rPr>
        <w:t>ed</w:t>
      </w:r>
      <w:r w:rsidRPr="5ECF1BC0">
        <w:rPr>
          <w:color w:val="000000" w:themeColor="text1"/>
          <w:sz w:val="22"/>
          <w:szCs w:val="22"/>
        </w:rPr>
        <w:t xml:space="preserve"> insight into sustained impact. A longit</w:t>
      </w:r>
      <w:r w:rsidRPr="5ECF1BC0">
        <w:rPr>
          <w:rFonts w:ascii="Arial" w:eastAsia="Arial" w:hAnsi="Arial" w:cs="Arial"/>
          <w:color w:val="000000" w:themeColor="text1"/>
          <w:sz w:val="22"/>
          <w:szCs w:val="22"/>
        </w:rPr>
        <w:t>udinal design could reveal longer-term effects, but this study provide</w:t>
      </w:r>
      <w:r w:rsidR="1AC6D9BF" w:rsidRPr="5ECF1BC0">
        <w:rPr>
          <w:rFonts w:ascii="Arial" w:eastAsia="Arial" w:hAnsi="Arial" w:cs="Arial"/>
          <w:color w:val="000000" w:themeColor="text1"/>
          <w:sz w:val="22"/>
          <w:szCs w:val="22"/>
        </w:rPr>
        <w:t>d</w:t>
      </w:r>
      <w:r w:rsidRPr="5ECF1BC0">
        <w:rPr>
          <w:rFonts w:ascii="Arial" w:eastAsia="Arial" w:hAnsi="Arial" w:cs="Arial"/>
          <w:color w:val="000000" w:themeColor="text1"/>
          <w:sz w:val="22"/>
          <w:szCs w:val="22"/>
        </w:rPr>
        <w:t xml:space="preserve"> a meaningful snapshot to inform future inquiry. Despite constraints, the pragmatic, ethnographically informed mixed-methods design—combining observation, interviews, and validated scales—remain</w:t>
      </w:r>
      <w:r w:rsidR="60718208" w:rsidRPr="5ECF1BC0">
        <w:rPr>
          <w:rFonts w:ascii="Arial" w:eastAsia="Arial" w:hAnsi="Arial" w:cs="Arial"/>
          <w:color w:val="000000" w:themeColor="text1"/>
          <w:sz w:val="22"/>
          <w:szCs w:val="22"/>
        </w:rPr>
        <w:t>ed</w:t>
      </w:r>
      <w:r w:rsidRPr="5ECF1BC0">
        <w:rPr>
          <w:rFonts w:ascii="Arial" w:eastAsia="Arial" w:hAnsi="Arial" w:cs="Arial"/>
          <w:color w:val="000000" w:themeColor="text1"/>
          <w:sz w:val="22"/>
          <w:szCs w:val="22"/>
        </w:rPr>
        <w:t xml:space="preserve"> appropriate for capturing the complex, subjective nature of wellbeing. Ethical principles </w:t>
      </w:r>
      <w:r w:rsidR="1A8EEA35" w:rsidRPr="5ECF1BC0">
        <w:rPr>
          <w:rFonts w:ascii="Arial" w:eastAsia="Arial" w:hAnsi="Arial" w:cs="Arial"/>
          <w:color w:val="000000" w:themeColor="text1"/>
          <w:sz w:val="22"/>
          <w:szCs w:val="22"/>
        </w:rPr>
        <w:t>were</w:t>
      </w:r>
      <w:r w:rsidRPr="5ECF1BC0">
        <w:rPr>
          <w:rFonts w:ascii="Arial" w:eastAsia="Arial" w:hAnsi="Arial" w:cs="Arial"/>
          <w:color w:val="000000" w:themeColor="text1"/>
          <w:sz w:val="22"/>
          <w:szCs w:val="22"/>
        </w:rPr>
        <w:t xml:space="preserve"> rigorously applied, and limitations acknowledged, ensuring findings </w:t>
      </w:r>
      <w:r w:rsidR="5C98D2F8" w:rsidRPr="5ECF1BC0">
        <w:rPr>
          <w:rFonts w:ascii="Arial" w:eastAsia="Arial" w:hAnsi="Arial" w:cs="Arial"/>
          <w:color w:val="000000" w:themeColor="text1"/>
          <w:sz w:val="22"/>
          <w:szCs w:val="22"/>
        </w:rPr>
        <w:t>we</w:t>
      </w:r>
      <w:r w:rsidRPr="5ECF1BC0">
        <w:rPr>
          <w:rFonts w:ascii="Arial" w:eastAsia="Arial" w:hAnsi="Arial" w:cs="Arial"/>
          <w:color w:val="000000" w:themeColor="text1"/>
          <w:sz w:val="22"/>
          <w:szCs w:val="22"/>
        </w:rPr>
        <w:t>re credible within their organisational context.</w:t>
      </w:r>
    </w:p>
    <w:p w14:paraId="256972C6" w14:textId="3964E0B2" w:rsidR="5ECF1BC0" w:rsidRDefault="5ECF1BC0" w:rsidP="5ECF1BC0">
      <w:pPr>
        <w:keepNext/>
        <w:keepLines/>
        <w:spacing w:before="240" w:after="240" w:line="360" w:lineRule="auto"/>
        <w:rPr>
          <w:rFonts w:ascii="Arial" w:eastAsia="Arial" w:hAnsi="Arial" w:cs="Arial"/>
          <w:color w:val="000000" w:themeColor="text1"/>
          <w:sz w:val="22"/>
          <w:szCs w:val="22"/>
        </w:rPr>
      </w:pPr>
    </w:p>
    <w:p w14:paraId="03573628" w14:textId="08A378A4" w:rsidR="5ECF1BC0" w:rsidRDefault="5ECF1BC0" w:rsidP="5ECF1BC0">
      <w:pPr>
        <w:spacing w:before="240" w:after="240" w:line="360" w:lineRule="auto"/>
        <w:rPr>
          <w:rFonts w:ascii="Arial" w:eastAsia="Arial" w:hAnsi="Arial" w:cs="Arial"/>
          <w:color w:val="000000" w:themeColor="text1"/>
          <w:sz w:val="22"/>
          <w:szCs w:val="22"/>
        </w:rPr>
      </w:pPr>
    </w:p>
    <w:p w14:paraId="6F5C9CEB" w14:textId="1221EA81" w:rsidR="5ECF1BC0" w:rsidRDefault="5ECF1BC0" w:rsidP="5ECF1BC0">
      <w:pPr>
        <w:spacing w:before="240" w:after="240" w:line="360" w:lineRule="auto"/>
        <w:rPr>
          <w:rFonts w:ascii="Arial" w:eastAsia="Arial" w:hAnsi="Arial" w:cs="Arial"/>
          <w:color w:val="000000" w:themeColor="text1"/>
          <w:sz w:val="22"/>
          <w:szCs w:val="22"/>
        </w:rPr>
      </w:pPr>
    </w:p>
    <w:p w14:paraId="26878506" w14:textId="0D7EB771" w:rsidR="5ECF1BC0" w:rsidRDefault="5ECF1BC0" w:rsidP="5ECF1BC0">
      <w:pPr>
        <w:spacing w:before="240" w:after="240" w:line="360" w:lineRule="auto"/>
        <w:rPr>
          <w:rFonts w:ascii="Arial" w:eastAsia="Arial" w:hAnsi="Arial" w:cs="Arial"/>
          <w:color w:val="000000" w:themeColor="text1"/>
          <w:sz w:val="22"/>
          <w:szCs w:val="22"/>
        </w:rPr>
      </w:pPr>
    </w:p>
    <w:p w14:paraId="6F2BA88A" w14:textId="5B4600FA" w:rsidR="70B7F7BB" w:rsidRDefault="70B7F7BB" w:rsidP="3F29B626">
      <w:pPr>
        <w:spacing w:before="240" w:after="240" w:line="360" w:lineRule="auto"/>
        <w:rPr>
          <w:rFonts w:ascii="Arial" w:eastAsia="Arial" w:hAnsi="Arial" w:cs="Arial"/>
          <w:color w:val="000000" w:themeColor="text1"/>
          <w:sz w:val="22"/>
          <w:szCs w:val="22"/>
        </w:rPr>
      </w:pPr>
    </w:p>
    <w:p w14:paraId="40C25F20" w14:textId="2A1AAA90" w:rsidR="70B7F7BB" w:rsidRDefault="70B7F7BB" w:rsidP="3F29B626">
      <w:pPr>
        <w:spacing w:before="240" w:after="240" w:line="360" w:lineRule="auto"/>
        <w:rPr>
          <w:rFonts w:ascii="Arial" w:eastAsia="Arial" w:hAnsi="Arial" w:cs="Arial"/>
          <w:color w:val="000000" w:themeColor="text1"/>
          <w:sz w:val="22"/>
          <w:szCs w:val="22"/>
        </w:rPr>
      </w:pPr>
    </w:p>
    <w:p w14:paraId="4A424353" w14:textId="13184549" w:rsidR="70B7F7BB" w:rsidRDefault="70B7F7BB" w:rsidP="3F29B626">
      <w:pPr>
        <w:spacing w:before="240" w:after="240" w:line="360" w:lineRule="auto"/>
        <w:rPr>
          <w:rFonts w:ascii="Arial" w:eastAsia="Arial" w:hAnsi="Arial" w:cs="Arial"/>
          <w:color w:val="000000" w:themeColor="text1"/>
          <w:sz w:val="22"/>
          <w:szCs w:val="22"/>
        </w:rPr>
      </w:pPr>
    </w:p>
    <w:p w14:paraId="024D4D4B" w14:textId="1980D5F5" w:rsidR="70B7F7BB" w:rsidRDefault="70B7F7BB" w:rsidP="3F29B626">
      <w:pPr>
        <w:spacing w:before="240" w:after="240" w:line="360" w:lineRule="auto"/>
        <w:rPr>
          <w:rFonts w:ascii="Arial" w:eastAsia="Arial" w:hAnsi="Arial" w:cs="Arial"/>
          <w:color w:val="000000" w:themeColor="text1"/>
          <w:sz w:val="22"/>
          <w:szCs w:val="22"/>
        </w:rPr>
      </w:pPr>
    </w:p>
    <w:p w14:paraId="6636D828" w14:textId="6A1C9150" w:rsidR="70B7F7BB" w:rsidRDefault="70B7F7BB" w:rsidP="3F29B626">
      <w:pPr>
        <w:pStyle w:val="Heading1"/>
        <w:spacing w:before="240" w:after="240" w:line="360" w:lineRule="auto"/>
        <w:rPr>
          <w:rFonts w:ascii="Arial" w:eastAsia="Arial" w:hAnsi="Arial" w:cs="Arial"/>
          <w:b/>
          <w:bCs/>
          <w:color w:val="auto"/>
          <w:sz w:val="22"/>
          <w:szCs w:val="22"/>
          <w:u w:val="single"/>
        </w:rPr>
      </w:pPr>
    </w:p>
    <w:p w14:paraId="29FDD802" w14:textId="5EDFD71E" w:rsidR="70B7F7BB" w:rsidRDefault="28D0E01C" w:rsidP="3F29B626">
      <w:pPr>
        <w:pStyle w:val="Heading1"/>
        <w:spacing w:before="240" w:after="240" w:line="360" w:lineRule="auto"/>
        <w:rPr>
          <w:rFonts w:ascii="Arial" w:eastAsia="Arial" w:hAnsi="Arial" w:cs="Arial"/>
          <w:b/>
          <w:bCs/>
          <w:color w:val="auto"/>
          <w:sz w:val="22"/>
          <w:szCs w:val="22"/>
          <w:u w:val="single"/>
        </w:rPr>
      </w:pPr>
      <w:r w:rsidRPr="3F29B626">
        <w:rPr>
          <w:rFonts w:ascii="Arial" w:eastAsia="Arial" w:hAnsi="Arial" w:cs="Arial"/>
          <w:b/>
          <w:bCs/>
          <w:color w:val="auto"/>
          <w:sz w:val="22"/>
          <w:szCs w:val="22"/>
          <w:u w:val="single"/>
        </w:rPr>
        <w:t>FINDINGS</w:t>
      </w:r>
    </w:p>
    <w:p w14:paraId="55C1DDA3" w14:textId="60D7654D" w:rsidR="70B7F7BB" w:rsidRDefault="1A9FE99B" w:rsidP="5ECF1BC0">
      <w:pPr>
        <w:spacing w:before="210" w:after="210" w:line="360" w:lineRule="auto"/>
        <w:rPr>
          <w:color w:val="000000" w:themeColor="text1"/>
          <w:sz w:val="22"/>
          <w:szCs w:val="22"/>
        </w:rPr>
      </w:pPr>
      <w:r w:rsidRPr="5ECF1BC0">
        <w:rPr>
          <w:rFonts w:ascii="Arial" w:eastAsia="Arial" w:hAnsi="Arial" w:cs="Arial"/>
          <w:color w:val="000000" w:themeColor="text1"/>
          <w:sz w:val="22"/>
          <w:szCs w:val="22"/>
        </w:rPr>
        <w:t>This chapter integrates six interconnected datasets collected over nine months to build a coherent account of how staff in a special school experienced stress, wellbeing, nature, and workplace demands. Academic holiday periods were intentionally excluded so the picture reflects everyday school life rather than the atypical rhythms of long breaks. Rather than seeking a single definitive answer, the chapter asks a more generative</w:t>
      </w:r>
      <w:r w:rsidR="1077EC68" w:rsidRPr="5ECF1BC0">
        <w:rPr>
          <w:rFonts w:ascii="Arial" w:eastAsia="Arial" w:hAnsi="Arial" w:cs="Arial"/>
          <w:color w:val="000000" w:themeColor="text1"/>
          <w:sz w:val="22"/>
          <w:szCs w:val="22"/>
        </w:rPr>
        <w:t xml:space="preserve"> </w:t>
      </w:r>
      <w:r w:rsidRPr="5ECF1BC0">
        <w:rPr>
          <w:rFonts w:ascii="Arial" w:eastAsia="Arial" w:hAnsi="Arial" w:cs="Arial"/>
          <w:color w:val="000000" w:themeColor="text1"/>
          <w:sz w:val="22"/>
          <w:szCs w:val="22"/>
        </w:rPr>
        <w:t>question: does establishing an outdoor‑based wellbeing community appear to support staff mental and emotional wellbeing, and if so, through which mechanisms, for whom, and under what conditions?</w:t>
      </w:r>
    </w:p>
    <w:p w14:paraId="4FA905FA" w14:textId="7A3C4354" w:rsidR="70B7F7BB" w:rsidRDefault="1A9FE99B" w:rsidP="5ECF1BC0">
      <w:pPr>
        <w:spacing w:after="0" w:line="360" w:lineRule="auto"/>
        <w:rPr>
          <w:rFonts w:ascii="Arial" w:eastAsia="Arial" w:hAnsi="Arial" w:cs="Arial"/>
          <w:color w:val="000000" w:themeColor="text1"/>
          <w:sz w:val="22"/>
          <w:szCs w:val="22"/>
        </w:rPr>
      </w:pPr>
      <w:r w:rsidRPr="5ECF1BC0">
        <w:rPr>
          <w:color w:val="000000" w:themeColor="text1"/>
          <w:sz w:val="22"/>
          <w:szCs w:val="22"/>
        </w:rPr>
        <w:t>The design embraced methodological triangulation</w:t>
      </w:r>
      <w:r w:rsidR="633E62E0" w:rsidRPr="5ECF1BC0">
        <w:rPr>
          <w:color w:val="000000" w:themeColor="text1"/>
          <w:sz w:val="22"/>
          <w:szCs w:val="22"/>
        </w:rPr>
        <w:t xml:space="preserve"> </w:t>
      </w:r>
      <w:r w:rsidR="633E62E0" w:rsidRPr="5ECF1BC0">
        <w:rPr>
          <w:sz w:val="22"/>
          <w:szCs w:val="22"/>
        </w:rPr>
        <w:t xml:space="preserve">(Braun and Clarke, 2019; Finlay, 2002), </w:t>
      </w:r>
      <w:r w:rsidRPr="5ECF1BC0">
        <w:rPr>
          <w:color w:val="000000" w:themeColor="text1"/>
          <w:sz w:val="22"/>
          <w:szCs w:val="22"/>
        </w:rPr>
        <w:t xml:space="preserve">combining quantitative snapshots with qualitative depth to examine the same issues from different angles. Each dataset contributes something distinct: brief surveys </w:t>
      </w:r>
      <w:r w:rsidRPr="5ECF1BC0">
        <w:rPr>
          <w:rFonts w:ascii="Arial" w:eastAsia="Arial" w:hAnsi="Arial" w:cs="Arial"/>
          <w:color w:val="000000" w:themeColor="text1"/>
          <w:sz w:val="22"/>
          <w:szCs w:val="22"/>
        </w:rPr>
        <w:t>offer breadth and comparability; semi‑structured interviews and reflective questionnaires yield emotional nuance and context; weekly wellbeing walks reveal how simple, relational practices play out in lived time and specific places. Where the datasets converge, the interpretation gains strength; where they diverge, these tensions are treated as analytically productive rather than contradictory, prompting questions about role, seasonality, access, and personal capacity.</w:t>
      </w:r>
    </w:p>
    <w:p w14:paraId="02B126F5" w14:textId="1888E308"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Two conceptual lenses provide helpful scaffolding for interpreting patterns that recur across the chapter. First, the Job Demands–Resources (JD‑R) model</w:t>
      </w:r>
      <w:r w:rsidR="276A9FF8" w:rsidRPr="5ECF1BC0">
        <w:rPr>
          <w:rFonts w:ascii="Arial" w:eastAsia="Arial" w:hAnsi="Arial" w:cs="Arial"/>
          <w:color w:val="000000" w:themeColor="text1"/>
          <w:sz w:val="22"/>
          <w:szCs w:val="22"/>
        </w:rPr>
        <w:t xml:space="preserve"> (Bakker and Demerouti, 2017),</w:t>
      </w:r>
      <w:r w:rsidRPr="5ECF1BC0">
        <w:rPr>
          <w:rFonts w:ascii="Arial" w:eastAsia="Arial" w:hAnsi="Arial" w:cs="Arial"/>
          <w:color w:val="000000" w:themeColor="text1"/>
          <w:sz w:val="22"/>
          <w:szCs w:val="22"/>
        </w:rPr>
        <w:t xml:space="preserve"> highlights how strain arises when emotional, cognitive and organisational demands are insufficiently balanced by resources such as autonomy, collegial support, recovery opportunities and meaningful work. In educational settings, these dynamics are especially visible around workload, behaviour, safeguarding responsibility and accountability pressures — demands that can be high even in well‑functioning schools and that often peak at particular times of the year (Nwoko et al., 2023). Second, the findings repeatedly point to the value of nature‑based recovery, where low‑threshold outdoor moments provide sensory regulation, attentional reset and a psychological transition between roles, a theme explored empirically in later sections of this chapter.</w:t>
      </w:r>
    </w:p>
    <w:p w14:paraId="7F592B61" w14:textId="446F90A6"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Across the six studies, the analysis focuses on meaning, context and common patterns of experience over mere frequency counts. Quantitative elements remain descriptive and exploratory; they locate contrasts and gradients (e.g., role‑based differences in stress), while qualitative materials explain how those gradients are lived and managed in practice. The </w:t>
      </w:r>
      <w:r w:rsidRPr="5ECF1BC0">
        <w:rPr>
          <w:rFonts w:ascii="Arial" w:eastAsia="Arial" w:hAnsi="Arial" w:cs="Arial"/>
          <w:color w:val="000000" w:themeColor="text1"/>
          <w:sz w:val="22"/>
          <w:szCs w:val="22"/>
        </w:rPr>
        <w:lastRenderedPageBreak/>
        <w:t>resulting synthesis aims to be realistic and usable: it does not ignore constraint, but neither does it overlook everyday, feasible supports that staff already value (e.g., informal collegial conversations outside, short walks, noticing sensory cues).</w:t>
      </w:r>
    </w:p>
    <w:p w14:paraId="75DAC8D3" w14:textId="3F1BD794"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PARTICIPANTS</w:t>
      </w:r>
    </w:p>
    <w:p w14:paraId="367F68D6" w14:textId="7D0E3C9A" w:rsidR="70B7F7BB" w:rsidRDefault="60059935" w:rsidP="3F29B626">
      <w:pPr>
        <w:spacing w:before="210" w:after="210" w:line="360" w:lineRule="auto"/>
        <w:rPr>
          <w:color w:val="000000" w:themeColor="text1"/>
          <w:sz w:val="22"/>
          <w:szCs w:val="22"/>
        </w:rPr>
      </w:pPr>
      <w:r w:rsidRPr="3F29B626">
        <w:rPr>
          <w:color w:val="000000" w:themeColor="text1"/>
          <w:sz w:val="22"/>
          <w:szCs w:val="22"/>
        </w:rPr>
        <w:t xml:space="preserve">Participants were recruited through posters displayed across the school with a QR‑code to express interest </w:t>
      </w:r>
      <w:r w:rsidR="5BE88E63" w:rsidRPr="3F29B626">
        <w:rPr>
          <w:color w:val="000000" w:themeColor="text1"/>
          <w:sz w:val="22"/>
          <w:szCs w:val="22"/>
        </w:rPr>
        <w:t>(</w:t>
      </w:r>
      <w:r w:rsidR="6E6D224F" w:rsidRPr="3F29B626">
        <w:rPr>
          <w:color w:val="000000" w:themeColor="text1"/>
          <w:sz w:val="22"/>
          <w:szCs w:val="22"/>
        </w:rPr>
        <w:t>s</w:t>
      </w:r>
      <w:r w:rsidR="5BE88E63" w:rsidRPr="3F29B626">
        <w:rPr>
          <w:color w:val="000000" w:themeColor="text1"/>
          <w:sz w:val="22"/>
          <w:szCs w:val="22"/>
        </w:rPr>
        <w:t xml:space="preserve">ee </w:t>
      </w:r>
      <w:r w:rsidR="5BE88E63" w:rsidRPr="3F29B626">
        <w:rPr>
          <w:sz w:val="22"/>
          <w:szCs w:val="22"/>
        </w:rPr>
        <w:t>Appendix B)</w:t>
      </w:r>
      <w:r w:rsidR="5BE88E63" w:rsidRPr="3F29B626">
        <w:rPr>
          <w:color w:val="000000" w:themeColor="text1"/>
          <w:sz w:val="22"/>
          <w:szCs w:val="22"/>
        </w:rPr>
        <w:t xml:space="preserve"> </w:t>
      </w:r>
      <w:r w:rsidRPr="3F29B626">
        <w:rPr>
          <w:color w:val="000000" w:themeColor="text1"/>
          <w:sz w:val="22"/>
          <w:szCs w:val="22"/>
        </w:rPr>
        <w:t>and regular reminders at staff briefings. Over 50 staff initially expressed interest; 53 ultimately took part in at least two components of the research, and five engaged with every element. This breadth produced a diverse but school‑specific dataset that captures voices from across the workforce while remaining grounded in a single organisational context.</w:t>
      </w:r>
    </w:p>
    <w:p w14:paraId="0CD32002" w14:textId="72160E30" w:rsidR="70B7F7BB" w:rsidRDefault="1A9FE99B" w:rsidP="5ECF1BC0">
      <w:pPr>
        <w:spacing w:after="0" w:line="360" w:lineRule="auto"/>
        <w:rPr>
          <w:rFonts w:ascii="Arial" w:eastAsia="Arial" w:hAnsi="Arial" w:cs="Arial"/>
          <w:color w:val="000000" w:themeColor="text1"/>
          <w:sz w:val="22"/>
          <w:szCs w:val="22"/>
        </w:rPr>
      </w:pPr>
      <w:r w:rsidRPr="5ECF1BC0">
        <w:rPr>
          <w:color w:val="000000" w:themeColor="text1"/>
          <w:sz w:val="22"/>
          <w:szCs w:val="22"/>
        </w:rPr>
        <w:t>The recruitment strategy almost certainly introduced self‑selection bias</w:t>
      </w:r>
      <w:r w:rsidR="44C670FA" w:rsidRPr="5ECF1BC0">
        <w:rPr>
          <w:color w:val="000000" w:themeColor="text1"/>
          <w:sz w:val="22"/>
          <w:szCs w:val="22"/>
        </w:rPr>
        <w:t xml:space="preserve"> </w:t>
      </w:r>
      <w:r w:rsidR="44C670FA" w:rsidRPr="5ECF1BC0">
        <w:rPr>
          <w:i/>
          <w:iCs/>
          <w:sz w:val="22"/>
          <w:szCs w:val="22"/>
        </w:rPr>
        <w:t>Cohen et al., 2018)</w:t>
      </w:r>
      <w:r w:rsidRPr="5ECF1BC0">
        <w:rPr>
          <w:color w:val="000000" w:themeColor="text1"/>
          <w:sz w:val="22"/>
          <w:szCs w:val="22"/>
        </w:rPr>
        <w:t xml:space="preserve">. Staff who are already interested in wellbeing or who had slightly more flexible time may have been more likely to opt in, while those under the most pressure, often with limited capacity to add “one more thing”, may be under‑represented. Importantly, non‑response within any dataset need not be treated as empty space: it can signal </w:t>
      </w:r>
      <w:r w:rsidRPr="5ECF1BC0">
        <w:rPr>
          <w:i/>
          <w:iCs/>
          <w:color w:val="000000" w:themeColor="text1"/>
          <w:sz w:val="22"/>
          <w:szCs w:val="22"/>
        </w:rPr>
        <w:t>something about pressure, timing, role or season</w:t>
      </w:r>
      <w:r w:rsidRPr="5ECF1BC0">
        <w:rPr>
          <w:color w:val="000000" w:themeColor="text1"/>
          <w:sz w:val="22"/>
          <w:szCs w:val="22"/>
        </w:rPr>
        <w:t>. F</w:t>
      </w:r>
      <w:r w:rsidRPr="5ECF1BC0">
        <w:rPr>
          <w:rFonts w:ascii="Arial" w:eastAsia="Arial" w:hAnsi="Arial" w:cs="Arial"/>
          <w:color w:val="000000" w:themeColor="text1"/>
          <w:sz w:val="22"/>
          <w:szCs w:val="22"/>
        </w:rPr>
        <w:t>or example, staff who skipped a post‑term questionnaire may have been carrying residual fatigue, while those who missed a mid‑week walk might have been catching up with admin, have another wellbeing event or caring responsibilities. These patterns are part of the wellbeing picture rather than artefacts to be ignored.</w:t>
      </w:r>
    </w:p>
    <w:p w14:paraId="01B698FB" w14:textId="4B599313" w:rsidR="70B7F7BB" w:rsidRDefault="1A9FE99B" w:rsidP="5ECF1BC0">
      <w:pPr>
        <w:spacing w:before="210" w:after="210" w:line="360" w:lineRule="auto"/>
        <w:rPr>
          <w:rFonts w:ascii="Arial" w:eastAsia="Arial" w:hAnsi="Arial" w:cs="Arial"/>
          <w:color w:val="000000" w:themeColor="text1"/>
          <w:sz w:val="22"/>
          <w:szCs w:val="22"/>
          <w:highlight w:val="yellow"/>
        </w:rPr>
      </w:pPr>
      <w:r w:rsidRPr="5ECF1BC0">
        <w:rPr>
          <w:rFonts w:ascii="Arial" w:eastAsia="Arial" w:hAnsi="Arial" w:cs="Arial"/>
          <w:color w:val="000000" w:themeColor="text1"/>
          <w:sz w:val="22"/>
          <w:szCs w:val="22"/>
        </w:rPr>
        <w:t>Many participants framed their involvement not as a discrete research task but as a small, values‑consistent action: an opportunity to reflect aloud, to try something gentle and outdoors, or to foreground an aspect of their professional identity that often comes last in the queue. That ethos — low‑barrier, relational, embedded — is central to how the findings should be read: the study did not import a complex intervention; it amplified simple practices already available in the school’s places and rhythms.</w:t>
      </w:r>
    </w:p>
    <w:p w14:paraId="2670F1A9" w14:textId="48F2A2B5" w:rsidR="70B7F7BB" w:rsidRDefault="1A9FE99B" w:rsidP="5ECF1BC0">
      <w:pPr>
        <w:pStyle w:val="Heading3"/>
        <w:spacing w:before="246" w:after="246" w:line="360" w:lineRule="auto"/>
        <w:rPr>
          <w:rFonts w:ascii="Arial" w:eastAsia="Arial" w:hAnsi="Arial" w:cs="Arial"/>
          <w:sz w:val="22"/>
          <w:szCs w:val="22"/>
        </w:rPr>
      </w:pPr>
      <w:r w:rsidRPr="5ECF1BC0">
        <w:rPr>
          <w:rFonts w:ascii="Arial" w:eastAsia="Arial" w:hAnsi="Arial" w:cs="Arial"/>
          <w:b/>
          <w:bCs/>
          <w:color w:val="auto"/>
          <w:sz w:val="22"/>
          <w:szCs w:val="22"/>
        </w:rPr>
        <w:t>Staff composition</w:t>
      </w:r>
    </w:p>
    <w:p w14:paraId="030BC173" w14:textId="19CCC22A"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The school workforce comprised:</w:t>
      </w:r>
    </w:p>
    <w:p w14:paraId="47F3AA33" w14:textId="7A805DC5" w:rsidR="70B7F7BB" w:rsidRDefault="1A9FE99B" w:rsidP="5ECF1BC0">
      <w:pPr>
        <w:pStyle w:val="ListParagraph"/>
        <w:numPr>
          <w:ilvl w:val="0"/>
          <w:numId w:val="15"/>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17 teachers</w:t>
      </w:r>
    </w:p>
    <w:p w14:paraId="7793E2FF" w14:textId="7C4EBD6E" w:rsidR="70B7F7BB" w:rsidRDefault="1A9FE99B" w:rsidP="5ECF1BC0">
      <w:pPr>
        <w:pStyle w:val="ListParagraph"/>
        <w:numPr>
          <w:ilvl w:val="0"/>
          <w:numId w:val="15"/>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4 senior leaders</w:t>
      </w:r>
    </w:p>
    <w:p w14:paraId="1FF5AD79" w14:textId="7DE17EC8" w:rsidR="70B7F7BB" w:rsidRDefault="1A9FE99B" w:rsidP="5ECF1BC0">
      <w:pPr>
        <w:pStyle w:val="ListParagraph"/>
        <w:numPr>
          <w:ilvl w:val="0"/>
          <w:numId w:val="15"/>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3 administrative staff</w:t>
      </w:r>
    </w:p>
    <w:p w14:paraId="397551E7" w14:textId="487E661B" w:rsidR="70B7F7BB" w:rsidRDefault="1A9FE99B" w:rsidP="5ECF1BC0">
      <w:pPr>
        <w:pStyle w:val="ListParagraph"/>
        <w:numPr>
          <w:ilvl w:val="0"/>
          <w:numId w:val="15"/>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1 caretaker</w:t>
      </w:r>
    </w:p>
    <w:p w14:paraId="20FA31D1" w14:textId="52CBC42D" w:rsidR="70B7F7BB" w:rsidRDefault="1A9FE99B" w:rsidP="5ECF1BC0">
      <w:pPr>
        <w:pStyle w:val="ListParagraph"/>
        <w:numPr>
          <w:ilvl w:val="0"/>
          <w:numId w:val="15"/>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~65 teaching assistants</w:t>
      </w:r>
    </w:p>
    <w:p w14:paraId="520C06F5" w14:textId="77898364"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lastRenderedPageBreak/>
        <w:t>The final analytic sample reflected this profile reasonably closely:</w:t>
      </w:r>
    </w:p>
    <w:p w14:paraId="271F3B05" w14:textId="4DA34AAA" w:rsidR="70B7F7BB" w:rsidRDefault="1A9FE99B" w:rsidP="5ECF1BC0">
      <w:pPr>
        <w:pStyle w:val="ListParagraph"/>
        <w:numPr>
          <w:ilvl w:val="0"/>
          <w:numId w:val="4"/>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11 teachers</w:t>
      </w:r>
    </w:p>
    <w:p w14:paraId="0407181C" w14:textId="47043B33" w:rsidR="70B7F7BB" w:rsidRDefault="1A9FE99B" w:rsidP="5ECF1BC0">
      <w:pPr>
        <w:pStyle w:val="ListParagraph"/>
        <w:numPr>
          <w:ilvl w:val="0"/>
          <w:numId w:val="4"/>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4 senior leaders</w:t>
      </w:r>
    </w:p>
    <w:p w14:paraId="6119A10F" w14:textId="2525499D" w:rsidR="70B7F7BB" w:rsidRDefault="1A9FE99B" w:rsidP="5ECF1BC0">
      <w:pPr>
        <w:pStyle w:val="ListParagraph"/>
        <w:numPr>
          <w:ilvl w:val="0"/>
          <w:numId w:val="4"/>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1 administrative colleague</w:t>
      </w:r>
    </w:p>
    <w:p w14:paraId="465F5F18" w14:textId="50A93C90" w:rsidR="70B7F7BB" w:rsidRDefault="1A9FE99B" w:rsidP="5ECF1BC0">
      <w:pPr>
        <w:pStyle w:val="ListParagraph"/>
        <w:numPr>
          <w:ilvl w:val="0"/>
          <w:numId w:val="4"/>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37 teaching assistants</w:t>
      </w:r>
    </w:p>
    <w:p w14:paraId="3A8B6461" w14:textId="1AF52818"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One participant retired during the study but continued to attend the wellbeing walks, illustrating how the walks functioned as a light‑touch community beyond contractual role.  Newer staff members, who joined the school part way through the study, also expressed interest in taking part in elements of the project suggesting that activities were accessible and appealing even to those without long-standing links to the school.  Because teaching assistants make up the largest staff group, their perspectives naturally carry weight in the dataset and influence the thematic balance.</w:t>
      </w:r>
    </w:p>
    <w:p w14:paraId="1E2D150F" w14:textId="0FC32E82"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Representativeness and role‑related tensions</w:t>
      </w:r>
    </w:p>
    <w:p w14:paraId="01158700" w14:textId="4836E857"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Uneven subgroup sizes, particularly the very small administrative and senior‑leadership samples, limit the generalisability of role‑specific patterns. That limitation is structural and realistic: most schools have many more TAs than SLT members, so any whole‑school enquiry will carry this asymmetry. Throughout the chapter, role differences recur. Teachers frequently describe heavier cumulative job demands (workload, behaviour, safeguarding, paperwork, accountability), which aligns with wider evidence on teacher stress (Nwoko et al., 2023) and with the JD‑R expectation that high demands, if not adequately buffered by resources, will increase strain (Bakker and Demerouti, 2017). Senior leaders, though few in number here, sometimes articulate clearer noticing of natural cues and firmer boundary‑setting; these may reflect both experience and role autonomy, but the numbers require caution.</w:t>
      </w:r>
    </w:p>
    <w:p w14:paraId="73857952" w14:textId="00913EBD"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It is also important to note the moral complexity of staff accounts. Participants across roles often hold together two truths: deep commitment to pupils and colleagues, and honest recognition that emotional labour accumulates. The data therefore resist simplistic binaries of “resilient” versus “stressed”. Instead, they portray staff who can be both: resilient in the sense of adaptive capacity and stressed when demands exceed the resources available that day or that term, precisely the interplay JD‑R anticipates (Bakker and Demerouti, 2017).</w:t>
      </w:r>
    </w:p>
    <w:p w14:paraId="2661075D" w14:textId="5922D23B"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lastRenderedPageBreak/>
        <w:t>Engagement across the six studies</w:t>
      </w:r>
    </w:p>
    <w:p w14:paraId="0516EBA4" w14:textId="4AC96A64"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Engagement fluctuated by design and season. Broad, lighter‑touch elements (e.g., the tailored wellbeing questionnaire) attracted the largest participation, while Wednesday Wellbeing Walks and post‑study reflections involved smaller but highly engaged groups. Weather, daylight, mobility, caring responsibilities and term‑time workload shaped who could join what, and when. Rather than being a methodological flaw, these fluctuations illuminate real constraints on access to recovery opportunities — a point that sharpens the interpretation of findings in the winter and walking datasets. In other</w:t>
      </w:r>
      <w:r w:rsidR="4F128E38" w:rsidRPr="5ECF1BC0">
        <w:rPr>
          <w:rFonts w:ascii="Arial" w:eastAsia="Arial" w:hAnsi="Arial" w:cs="Arial"/>
          <w:color w:val="000000" w:themeColor="text1"/>
          <w:sz w:val="22"/>
          <w:szCs w:val="22"/>
        </w:rPr>
        <w:t xml:space="preserve"> </w:t>
      </w:r>
      <w:r w:rsidRPr="5ECF1BC0">
        <w:rPr>
          <w:rFonts w:ascii="Arial" w:eastAsia="Arial" w:hAnsi="Arial" w:cs="Arial"/>
          <w:color w:val="000000" w:themeColor="text1"/>
          <w:sz w:val="22"/>
          <w:szCs w:val="22"/>
        </w:rPr>
        <w:t xml:space="preserve">words, </w:t>
      </w:r>
      <w:r w:rsidRPr="5ECF1BC0">
        <w:rPr>
          <w:rFonts w:ascii="Arial" w:eastAsia="Arial" w:hAnsi="Arial" w:cs="Arial"/>
          <w:i/>
          <w:iCs/>
          <w:color w:val="000000" w:themeColor="text1"/>
          <w:sz w:val="22"/>
          <w:szCs w:val="22"/>
        </w:rPr>
        <w:t>who</w:t>
      </w:r>
      <w:r w:rsidRPr="5ECF1BC0">
        <w:rPr>
          <w:rFonts w:ascii="Arial" w:eastAsia="Arial" w:hAnsi="Arial" w:cs="Arial"/>
          <w:color w:val="000000" w:themeColor="text1"/>
          <w:sz w:val="22"/>
          <w:szCs w:val="22"/>
        </w:rPr>
        <w:t xml:space="preserve"> participates and </w:t>
      </w:r>
      <w:r w:rsidRPr="5ECF1BC0">
        <w:rPr>
          <w:rFonts w:ascii="Arial" w:eastAsia="Arial" w:hAnsi="Arial" w:cs="Arial"/>
          <w:i/>
          <w:iCs/>
          <w:color w:val="000000" w:themeColor="text1"/>
          <w:sz w:val="22"/>
          <w:szCs w:val="22"/>
        </w:rPr>
        <w:t>when</w:t>
      </w:r>
      <w:r w:rsidRPr="5ECF1BC0">
        <w:rPr>
          <w:rFonts w:ascii="Arial" w:eastAsia="Arial" w:hAnsi="Arial" w:cs="Arial"/>
          <w:color w:val="000000" w:themeColor="text1"/>
          <w:sz w:val="22"/>
          <w:szCs w:val="22"/>
        </w:rPr>
        <w:t xml:space="preserve"> often maps onto </w:t>
      </w:r>
      <w:r w:rsidRPr="5ECF1BC0">
        <w:rPr>
          <w:rFonts w:ascii="Arial" w:eastAsia="Arial" w:hAnsi="Arial" w:cs="Arial"/>
          <w:i/>
          <w:iCs/>
          <w:color w:val="000000" w:themeColor="text1"/>
          <w:sz w:val="22"/>
          <w:szCs w:val="22"/>
        </w:rPr>
        <w:t>how difficult it is to activate coping</w:t>
      </w:r>
      <w:r w:rsidRPr="5ECF1BC0">
        <w:rPr>
          <w:rFonts w:ascii="Arial" w:eastAsia="Arial" w:hAnsi="Arial" w:cs="Arial"/>
          <w:color w:val="000000" w:themeColor="text1"/>
          <w:sz w:val="22"/>
          <w:szCs w:val="22"/>
        </w:rPr>
        <w:t xml:space="preserve"> during high‑demand periods.</w:t>
      </w:r>
    </w:p>
    <w:p w14:paraId="57085EEB" w14:textId="4DAA2CB6" w:rsidR="70B7F7BB" w:rsidRDefault="1A9FE99B" w:rsidP="5ECF1BC0">
      <w:pPr>
        <w:pStyle w:val="Heading3"/>
        <w:spacing w:before="246" w:after="246" w:line="360" w:lineRule="auto"/>
        <w:rPr>
          <w:rFonts w:eastAsiaTheme="minorEastAsia" w:cstheme="minorBidi"/>
          <w:b/>
          <w:bCs/>
          <w:color w:val="auto"/>
          <w:sz w:val="22"/>
          <w:szCs w:val="22"/>
        </w:rPr>
      </w:pPr>
      <w:r w:rsidRPr="5ECF1BC0">
        <w:rPr>
          <w:rFonts w:eastAsiaTheme="minorEastAsia" w:cstheme="minorBidi"/>
          <w:b/>
          <w:bCs/>
          <w:color w:val="auto"/>
          <w:sz w:val="22"/>
          <w:szCs w:val="22"/>
        </w:rPr>
        <w:t>Why multiple datasets matter here</w:t>
      </w:r>
    </w:p>
    <w:p w14:paraId="505C1737" w14:textId="60EB4AE0" w:rsidR="70B7F7BB" w:rsidRDefault="66F06DB7" w:rsidP="5ECF1BC0">
      <w:pPr>
        <w:spacing w:before="210" w:after="210" w:line="360" w:lineRule="auto"/>
        <w:rPr>
          <w:sz w:val="22"/>
          <w:szCs w:val="22"/>
        </w:rPr>
      </w:pPr>
      <w:r w:rsidRPr="5ECF1BC0">
        <w:rPr>
          <w:sz w:val="22"/>
          <w:szCs w:val="22"/>
        </w:rPr>
        <w:t>The six studies offer complementary perspectives on the same issue. Quantitative indicators map broad patterns—for example, showing that teachers, on average, report higher stress than other groups—while qualitative data provide insight into the lived experiences behind these patterns, including the sensory qualities of woodland walks, the ease of side‑by‑side conversation, and the restorative effects of brief coastal time. Together, these datasets support explanatory interpretation rather than simple description:</w:t>
      </w:r>
    </w:p>
    <w:p w14:paraId="23193350" w14:textId="6AC5EF2C" w:rsidR="70B7F7BB" w:rsidRDefault="66F06DB7" w:rsidP="5ECF1BC0">
      <w:pPr>
        <w:spacing w:before="210" w:after="210" w:line="360" w:lineRule="auto"/>
        <w:rPr>
          <w:sz w:val="22"/>
          <w:szCs w:val="22"/>
        </w:rPr>
      </w:pPr>
      <w:r w:rsidRPr="5ECF1BC0">
        <w:rPr>
          <w:sz w:val="22"/>
          <w:szCs w:val="22"/>
        </w:rPr>
        <w:t>• Surveys and simple scales indicate gradients (e.g., role‑based differences in stress, and the weak association between stress and resilience).</w:t>
      </w:r>
      <w:r w:rsidR="70B7F7BB">
        <w:br/>
      </w:r>
      <w:r w:rsidRPr="5ECF1BC0">
        <w:rPr>
          <w:sz w:val="22"/>
          <w:szCs w:val="22"/>
        </w:rPr>
        <w:t xml:space="preserve"> • Interviews explain why those gradients occur (emotional labour, safeguarding load, cognitive switching demands).</w:t>
      </w:r>
      <w:r w:rsidR="70B7F7BB">
        <w:br/>
      </w:r>
      <w:r w:rsidRPr="5ECF1BC0">
        <w:rPr>
          <w:sz w:val="22"/>
          <w:szCs w:val="22"/>
        </w:rPr>
        <w:t xml:space="preserve"> • Winter questionnaires show how seasonality and environmental conditions shape what staff can realistically do to recover.</w:t>
      </w:r>
      <w:r w:rsidR="70B7F7BB">
        <w:br/>
      </w:r>
      <w:r w:rsidRPr="5ECF1BC0">
        <w:rPr>
          <w:sz w:val="22"/>
          <w:szCs w:val="22"/>
        </w:rPr>
        <w:t xml:space="preserve"> • Weekly walks demonstrate what changes when a predictable, relational outdoor slot is built into the working week—not as therapy, but as ordinary, shared time in nature.</w:t>
      </w:r>
    </w:p>
    <w:p w14:paraId="47F5CFFC" w14:textId="07B14769"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Read together, the datasets avoid reductionism. They suggest that staff wellbeing in this special‑school context is shaped by role, relationships, place and season, and by the fit between job demands and accessible resources. They also show that small, local and culturally familiar practices, informal conversation while walking, brief sensory noticing, short time near water, can function as meaningful levers even when structural pressures remain. The remainder of the chapter sets out the evidence for these claims study‑by‑study, attending carefully to both convergence and contradiction, and returning to the JD‑R frame where helpful (Bakker and Demerouti, 2017; Nwoko et al., 2023).</w:t>
      </w:r>
    </w:p>
    <w:p w14:paraId="5E4F4D11" w14:textId="117BAC78" w:rsidR="70B7F7BB" w:rsidRDefault="06D8B9BB" w:rsidP="0BBEACF1">
      <w:pPr>
        <w:pStyle w:val="Heading2"/>
        <w:spacing w:before="261" w:after="261" w:line="360" w:lineRule="auto"/>
        <w:rPr>
          <w:rFonts w:ascii="Arial" w:eastAsia="Arial" w:hAnsi="Arial" w:cs="Arial"/>
          <w:color w:val="auto"/>
          <w:sz w:val="22"/>
          <w:szCs w:val="22"/>
        </w:rPr>
      </w:pPr>
      <w:r w:rsidRPr="0BBEACF1">
        <w:rPr>
          <w:rFonts w:ascii="Arial" w:eastAsia="Arial" w:hAnsi="Arial" w:cs="Arial"/>
          <w:b/>
          <w:bCs/>
          <w:color w:val="auto"/>
          <w:sz w:val="22"/>
          <w:szCs w:val="22"/>
        </w:rPr>
        <w:lastRenderedPageBreak/>
        <w:t>STUDY ONE – WELLBEING, STRESS AND RESILIENCE (NR‑6)</w:t>
      </w:r>
    </w:p>
    <w:p w14:paraId="641A7DA1" w14:textId="053920AA" w:rsidR="70B7F7BB" w:rsidRDefault="06D8B9BB" w:rsidP="0BBEACF1">
      <w:pPr>
        <w:pStyle w:val="Heading3"/>
        <w:spacing w:before="246" w:after="246" w:line="360" w:lineRule="auto"/>
        <w:rPr>
          <w:rFonts w:ascii="Arial" w:eastAsia="Arial" w:hAnsi="Arial" w:cs="Arial"/>
          <w:color w:val="auto"/>
          <w:sz w:val="22"/>
          <w:szCs w:val="22"/>
        </w:rPr>
      </w:pPr>
      <w:r w:rsidRPr="0BBEACF1">
        <w:rPr>
          <w:rFonts w:ascii="Arial" w:eastAsia="Arial" w:hAnsi="Arial" w:cs="Arial"/>
          <w:b/>
          <w:bCs/>
          <w:color w:val="auto"/>
          <w:sz w:val="22"/>
          <w:szCs w:val="22"/>
        </w:rPr>
        <w:t>Overview</w:t>
      </w:r>
    </w:p>
    <w:p w14:paraId="5E7074E8" w14:textId="44C13166" w:rsidR="70B7F7BB" w:rsidRPr="009030AE" w:rsidRDefault="1A9FE99B" w:rsidP="009030AE">
      <w:p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Study One provides a quantitative starting point for understanding staff wellbeing by examining stress and resilience scores from 52–53 staff who completed the Be Mindful Online stress assessment, which uses the validated Perceived Stress Scale and the NR</w:t>
      </w:r>
      <w:r w:rsidRPr="5ECF1BC0">
        <w:rPr>
          <w:rFonts w:ascii="Cambria Math" w:eastAsia="Arial" w:hAnsi="Cambria Math" w:cs="Cambria Math"/>
          <w:color w:val="000000" w:themeColor="text1"/>
          <w:sz w:val="22"/>
          <w:szCs w:val="22"/>
        </w:rPr>
        <w:t>‑</w:t>
      </w:r>
      <w:r w:rsidRPr="5ECF1BC0">
        <w:rPr>
          <w:rFonts w:ascii="Arial" w:eastAsia="Arial" w:hAnsi="Arial" w:cs="Arial"/>
          <w:color w:val="000000" w:themeColor="text1"/>
          <w:sz w:val="22"/>
          <w:szCs w:val="22"/>
        </w:rPr>
        <w:t>6 Nature Relatedness resilience scale. Although the measures offer brief indicators rather than diagnostic precision, their value lies in the patterns they reveal: variation in stress across roles, relative stability of resilience, and important insight into how job demands and coping capacity coexist in a special</w:t>
      </w:r>
      <w:r w:rsidRPr="5ECF1BC0">
        <w:rPr>
          <w:rFonts w:ascii="Cambria Math" w:eastAsia="Arial" w:hAnsi="Cambria Math" w:cs="Cambria Math"/>
          <w:color w:val="000000" w:themeColor="text1"/>
          <w:sz w:val="22"/>
          <w:szCs w:val="22"/>
        </w:rPr>
        <w:t>‑</w:t>
      </w:r>
      <w:r w:rsidRPr="5ECF1BC0">
        <w:rPr>
          <w:rFonts w:ascii="Arial" w:eastAsia="Arial" w:hAnsi="Arial" w:cs="Arial"/>
          <w:color w:val="000000" w:themeColor="text1"/>
          <w:sz w:val="22"/>
          <w:szCs w:val="22"/>
        </w:rPr>
        <w:t>school environment. The findings align with the Job Demands–Resources (JD</w:t>
      </w:r>
      <w:r w:rsidRPr="5ECF1BC0">
        <w:rPr>
          <w:rFonts w:ascii="Cambria Math" w:eastAsia="Arial" w:hAnsi="Cambria Math" w:cs="Cambria Math"/>
          <w:color w:val="000000" w:themeColor="text1"/>
          <w:sz w:val="22"/>
          <w:szCs w:val="22"/>
        </w:rPr>
        <w:t>‑</w:t>
      </w:r>
      <w:r w:rsidRPr="5ECF1BC0">
        <w:rPr>
          <w:rFonts w:ascii="Arial" w:eastAsia="Arial" w:hAnsi="Arial" w:cs="Arial"/>
          <w:color w:val="000000" w:themeColor="text1"/>
          <w:sz w:val="22"/>
          <w:szCs w:val="22"/>
        </w:rPr>
        <w:t>R) framework, which emphasises that stress arises not simply from challenging work, but from imbalances between job demands and the resources individuals or organisations can mobilise (Bakker and Demerouti, 2017).</w:t>
      </w:r>
    </w:p>
    <w:p w14:paraId="048F502F" w14:textId="30F6E0CC"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Overall Levels of Stress and Resilience</w:t>
      </w:r>
    </w:p>
    <w:p w14:paraId="514B1214" w14:textId="741D68FE"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Across the sample, stress scores showed significant variability. Some staff reported very low stress, some very high, and many in between. This distribution reflects a realistic picture of school life where stress is both situational and cumulative, influenced by pupil behaviour, staffing levels, term‑time pressures, and personal circumstances. In contrast, resilience scores clustered more tightly around the middle‑to‑upper range of the NR‑6 scale. Rather than indicating contradiction, this pattern reflects current wellbeing theory: stress and resilience are not opposites, but partially independent processes. Staff can experience high stress </w:t>
      </w:r>
      <w:r w:rsidRPr="5ECF1BC0">
        <w:rPr>
          <w:rFonts w:ascii="Arial" w:eastAsia="Arial" w:hAnsi="Arial" w:cs="Arial"/>
          <w:i/>
          <w:iCs/>
          <w:color w:val="000000" w:themeColor="text1"/>
          <w:sz w:val="22"/>
          <w:szCs w:val="22"/>
        </w:rPr>
        <w:t>and</w:t>
      </w:r>
      <w:r w:rsidRPr="5ECF1BC0">
        <w:rPr>
          <w:rFonts w:ascii="Arial" w:eastAsia="Arial" w:hAnsi="Arial" w:cs="Arial"/>
          <w:color w:val="000000" w:themeColor="text1"/>
          <w:sz w:val="22"/>
          <w:szCs w:val="22"/>
        </w:rPr>
        <w:t xml:space="preserve"> demonstrate strong adaptive capacities, a central tenet of contemporary resilience thinking (Ungar, 2019).</w:t>
      </w:r>
    </w:p>
    <w:p w14:paraId="5949BE28" w14:textId="7AC2E627"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For many participants, resilience appeared not as a fixed trait but as a dynamic process influenced by relationships, experience, and context. Staff frequently described coping approaches that relied on connection, micro‑breaks, nature, humour, and team support — resources that may buffer pressure even when demands are high.</w:t>
      </w:r>
    </w:p>
    <w:p w14:paraId="07413B10" w14:textId="73F8A0ED" w:rsidR="70B7F7BB" w:rsidRDefault="70B7F7BB" w:rsidP="5ECF1BC0">
      <w:pPr>
        <w:spacing w:after="0" w:line="360" w:lineRule="auto"/>
        <w:rPr>
          <w:rFonts w:ascii="Arial" w:eastAsia="Arial" w:hAnsi="Arial" w:cs="Arial"/>
          <w:sz w:val="22"/>
          <w:szCs w:val="22"/>
        </w:rPr>
      </w:pPr>
    </w:p>
    <w:p w14:paraId="53D73C47" w14:textId="232FEAC8"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Stress and Resilience by Role</w:t>
      </w:r>
    </w:p>
    <w:p w14:paraId="0549BB44" w14:textId="080D41E9"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The most striking gradient in Study One is the higher stress scores among teachers. This aligns robustly with large‑scale evidence identifying teaching as one of the most stressful professions due to workload, accountability, safeguarding responsibility, behaviour </w:t>
      </w:r>
      <w:r w:rsidRPr="5ECF1BC0">
        <w:rPr>
          <w:rFonts w:ascii="Arial" w:eastAsia="Arial" w:hAnsi="Arial" w:cs="Arial"/>
          <w:sz w:val="22"/>
          <w:szCs w:val="22"/>
        </w:rPr>
        <w:lastRenderedPageBreak/>
        <w:t>management and constant cognitive switching (Nwoko et al., 2023). Teachers in this study often hold responsibility for planning, assessment, communication with families, and managing unpredictable behaviour — all while coordinating teams of support staff. The elevated stress scores therefore map onto well‑documented structural conditions rather than individual vulnerability.</w:t>
      </w:r>
    </w:p>
    <w:p w14:paraId="3B81C0AF" w14:textId="70D4C99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Teaching assistants reported moderately high stress, though typically lower than teachers. Their stress narratives often centred on emotional labour, physical fatigue and the unpredictability of behaviour‑related incidents. Senior leaders reported the lowest stress, but with only four participants, these numbers require considerable caution. Their qualitative accounts, however, sometimes reveal a different pattern: clear boundary‑setting, a sense of broader situational oversight and intentional recovery strategies.</w:t>
      </w:r>
    </w:p>
    <w:p w14:paraId="77E8B8FF" w14:textId="3BDBF42A"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Across roles, resilience scores remained relatively stable. This is theoretically important: it reinforces that resilience is shaped by multi‑layered processes — relationships, meaning‑making, access to supportive environments — and is not simply depleted in lockstep with stress (Ungar, 2019). Staff across the school may therefore sustain strong coping practices despite high job demands.</w:t>
      </w:r>
    </w:p>
    <w:p w14:paraId="20278F89" w14:textId="7BECC3B3"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Association Between Stress and Resilience</w:t>
      </w:r>
    </w:p>
    <w:p w14:paraId="312C533A" w14:textId="526A1FD8"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correlation between stress and resilience was extremely small (r = .10), confirming that high stress does not necessarily imply low resilience, nor vice‑versa. This distinction matters methodologically and practically. It challenges deficit‑based interpretations that frame staff under pressure as lacking resilience, instead suggesting that contextual demands, not personal insufficiency, often drive strain. This reflects the JD‑R emphasis on structural conditions such as staffing stability, workload cycles, time pressure and behavioural intensity (Bakker and Demerouti, 2017).</w:t>
      </w:r>
    </w:p>
    <w:p w14:paraId="6DD547F9" w14:textId="017B19D2"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in later qualitative datasets described resilience as something cultivated through experience, relationships and small restorative practices, especially nature‑based ones, rather than something innate. The weak correlation supports this narrative: resilience is not the inverse of stress, but a resource that helps staff navigate it.</w:t>
      </w:r>
    </w:p>
    <w:p w14:paraId="125D77A3" w14:textId="4B7325C6"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Participation in Wellbeing Activities</w:t>
      </w:r>
    </w:p>
    <w:p w14:paraId="3B59BCF6" w14:textId="19B4F9D0"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The dataset also allowed comparison between those who engaged in the wellbeing walks, interviews or winter activities and those who did not. Participants in wellbeing walks tended to have </w:t>
      </w:r>
      <w:r w:rsidRPr="5ECF1BC0">
        <w:rPr>
          <w:rFonts w:ascii="Arial" w:eastAsia="Arial" w:hAnsi="Arial" w:cs="Arial"/>
          <w:i/>
          <w:iCs/>
          <w:sz w:val="22"/>
          <w:szCs w:val="22"/>
        </w:rPr>
        <w:t>slightly lower stress and higher resilience</w:t>
      </w:r>
      <w:r w:rsidRPr="5ECF1BC0">
        <w:rPr>
          <w:rFonts w:ascii="Arial" w:eastAsia="Arial" w:hAnsi="Arial" w:cs="Arial"/>
          <w:sz w:val="22"/>
          <w:szCs w:val="22"/>
        </w:rPr>
        <w:t xml:space="preserve">. Interview participants showed slightly </w:t>
      </w:r>
      <w:r w:rsidRPr="5ECF1BC0">
        <w:rPr>
          <w:rFonts w:ascii="Arial" w:eastAsia="Arial" w:hAnsi="Arial" w:cs="Arial"/>
          <w:sz w:val="22"/>
          <w:szCs w:val="22"/>
        </w:rPr>
        <w:lastRenderedPageBreak/>
        <w:t>elevated resilience and similar stress to non‑participants. Winter wellbeing participants showed a similar pattern.</w:t>
      </w:r>
    </w:p>
    <w:p w14:paraId="002C6AC2" w14:textId="72EA2DA0"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It is crucial not to interpret these as causal effects. More likely, they reflect self‑selection: staff already attuned to nature or reflective practice may be more inclined to participate. Yet, these patterns offer a useful insight: those who engage with reflective or nature‑based practices often have broader repertoires of coping, which may shape both how they experience stress and how they manage it.</w:t>
      </w:r>
    </w:p>
    <w:p w14:paraId="5802D58C" w14:textId="1F14E097"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Critical Reflections and Limitations</w:t>
      </w:r>
    </w:p>
    <w:p w14:paraId="705D44E3" w14:textId="3165D237"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Study One’s strengths lie in its breadth and cross‑role representation, offering a panoramic view of staff wellbeing. However, several limitations must be acknowledged:</w:t>
      </w:r>
    </w:p>
    <w:p w14:paraId="58793962" w14:textId="3DF8647E" w:rsidR="70B7F7BB" w:rsidRDefault="1A9FE99B" w:rsidP="5ECF1BC0">
      <w:pPr>
        <w:pStyle w:val="ListParagraph"/>
        <w:numPr>
          <w:ilvl w:val="0"/>
          <w:numId w:val="17"/>
        </w:numPr>
        <w:spacing w:after="0" w:line="360" w:lineRule="auto"/>
        <w:rPr>
          <w:rFonts w:ascii="Arial" w:eastAsia="Arial" w:hAnsi="Arial" w:cs="Arial"/>
          <w:sz w:val="22"/>
          <w:szCs w:val="22"/>
        </w:rPr>
      </w:pPr>
      <w:r w:rsidRPr="5ECF1BC0">
        <w:rPr>
          <w:rFonts w:ascii="Arial" w:eastAsia="Arial" w:hAnsi="Arial" w:cs="Arial"/>
          <w:sz w:val="22"/>
          <w:szCs w:val="22"/>
        </w:rPr>
        <w:t>Measures were simple and self‑reported, offering descriptive insights rather than diagnostic precision.</w:t>
      </w:r>
    </w:p>
    <w:p w14:paraId="0726F3E4" w14:textId="393775E8" w:rsidR="70B7F7BB" w:rsidRDefault="1A9FE99B" w:rsidP="5ECF1BC0">
      <w:pPr>
        <w:pStyle w:val="ListParagraph"/>
        <w:numPr>
          <w:ilvl w:val="0"/>
          <w:numId w:val="17"/>
        </w:numPr>
        <w:spacing w:after="0" w:line="360" w:lineRule="auto"/>
        <w:rPr>
          <w:rFonts w:ascii="Arial" w:eastAsia="Arial" w:hAnsi="Arial" w:cs="Arial"/>
          <w:sz w:val="22"/>
          <w:szCs w:val="22"/>
        </w:rPr>
      </w:pPr>
      <w:r w:rsidRPr="5ECF1BC0">
        <w:rPr>
          <w:rFonts w:ascii="Arial" w:eastAsia="Arial" w:hAnsi="Arial" w:cs="Arial"/>
          <w:sz w:val="22"/>
          <w:szCs w:val="22"/>
        </w:rPr>
        <w:t>The small subgroup numbers, particularly in SLT and administrative categories, limit role‑specific inferences.</w:t>
      </w:r>
    </w:p>
    <w:p w14:paraId="64BB8DBC" w14:textId="7BD895BB" w:rsidR="70B7F7BB" w:rsidRDefault="1A9FE99B" w:rsidP="5ECF1BC0">
      <w:pPr>
        <w:pStyle w:val="ListParagraph"/>
        <w:numPr>
          <w:ilvl w:val="0"/>
          <w:numId w:val="17"/>
        </w:numPr>
        <w:spacing w:after="0" w:line="360" w:lineRule="auto"/>
        <w:rPr>
          <w:rFonts w:ascii="Arial" w:eastAsia="Arial" w:hAnsi="Arial" w:cs="Arial"/>
          <w:sz w:val="22"/>
          <w:szCs w:val="22"/>
        </w:rPr>
      </w:pPr>
      <w:r w:rsidRPr="5ECF1BC0">
        <w:rPr>
          <w:rFonts w:ascii="Arial" w:eastAsia="Arial" w:hAnsi="Arial" w:cs="Arial"/>
          <w:sz w:val="22"/>
          <w:szCs w:val="22"/>
        </w:rPr>
        <w:t>Stress scores represent a single moment in time, sensitive to workload peaks or seasonal pressures.</w:t>
      </w:r>
    </w:p>
    <w:p w14:paraId="5AC9F6BC" w14:textId="57DA5E19" w:rsidR="70B7F7BB" w:rsidRDefault="1A9FE99B" w:rsidP="5ECF1BC0">
      <w:pPr>
        <w:pStyle w:val="ListParagraph"/>
        <w:numPr>
          <w:ilvl w:val="0"/>
          <w:numId w:val="17"/>
        </w:numPr>
        <w:spacing w:after="0" w:line="360" w:lineRule="auto"/>
        <w:rPr>
          <w:sz w:val="22"/>
          <w:szCs w:val="22"/>
        </w:rPr>
      </w:pPr>
      <w:r w:rsidRPr="5ECF1BC0">
        <w:rPr>
          <w:sz w:val="22"/>
          <w:szCs w:val="22"/>
        </w:rPr>
        <w:t>Self‑selection into wellbeing activities complicates assumptions about directionality.</w:t>
      </w:r>
    </w:p>
    <w:p w14:paraId="4D639E0E" w14:textId="0BCD96AA" w:rsidR="70B7F7BB" w:rsidRDefault="49EF8A90" w:rsidP="5ECF1BC0">
      <w:pPr>
        <w:pStyle w:val="ListParagraph"/>
        <w:numPr>
          <w:ilvl w:val="0"/>
          <w:numId w:val="17"/>
        </w:numPr>
        <w:spacing w:after="0" w:line="360" w:lineRule="auto"/>
        <w:rPr>
          <w:sz w:val="22"/>
          <w:szCs w:val="22"/>
        </w:rPr>
      </w:pPr>
      <w:r w:rsidRPr="5ECF1BC0">
        <w:rPr>
          <w:sz w:val="22"/>
          <w:szCs w:val="22"/>
        </w:rPr>
        <w:t>As the NR-6 was not re-administered post-intervention (see Methodology), only baseline data are reported.</w:t>
      </w:r>
    </w:p>
    <w:p w14:paraId="6A0A96F5" w14:textId="40A335E1" w:rsidR="70B7F7BB" w:rsidRDefault="1A9FE99B" w:rsidP="009030AE">
      <w:pPr>
        <w:spacing w:before="210" w:after="210" w:line="360" w:lineRule="auto"/>
        <w:rPr>
          <w:rFonts w:ascii="Arial" w:eastAsia="Arial" w:hAnsi="Arial" w:cs="Arial"/>
          <w:sz w:val="22"/>
          <w:szCs w:val="22"/>
        </w:rPr>
      </w:pPr>
      <w:r w:rsidRPr="5ECF1BC0">
        <w:rPr>
          <w:sz w:val="22"/>
          <w:szCs w:val="22"/>
        </w:rPr>
        <w:t>Despite these limitations, Study One lays importan</w:t>
      </w:r>
      <w:r w:rsidRPr="5ECF1BC0">
        <w:rPr>
          <w:rFonts w:ascii="Arial" w:eastAsia="Arial" w:hAnsi="Arial" w:cs="Arial"/>
          <w:sz w:val="22"/>
          <w:szCs w:val="22"/>
        </w:rPr>
        <w:t>t groundwork. Its broad patterns, especially the role‑based differences in stress and the independence of stress and resilience, are deepened and explained through qualitative analysis in later studies.</w:t>
      </w:r>
    </w:p>
    <w:p w14:paraId="6B99DA74" w14:textId="5D754C72"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Mini‑Summary: Study One</w:t>
      </w:r>
    </w:p>
    <w:p w14:paraId="5C631A7A" w14:textId="4CF75C9D"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Study One reveals that staff experience moderate but variable stress, with teachers showing notably higher levels consistent with national and international findings. Resilience remains relatively stable across roles, meaning coping capacity is more consistent than stress exposure. The weak association between stress and resilience supports the idea that these constructs function through different pathways. Participation in wellbeing activities aligns with slightly stronger resilience patterns, although likely through self‑selection. Study One therefore maps the landscape of wellbeing concerns which later qualitative datasets explain in detail.</w:t>
      </w:r>
    </w:p>
    <w:p w14:paraId="4506B77B" w14:textId="659D9DCC" w:rsidR="70B7F7BB" w:rsidRDefault="70B7F7BB" w:rsidP="5ECF1BC0">
      <w:pPr>
        <w:spacing w:after="0" w:line="360" w:lineRule="auto"/>
        <w:rPr>
          <w:rFonts w:ascii="Arial" w:eastAsia="Arial" w:hAnsi="Arial" w:cs="Arial"/>
          <w:color w:val="000000" w:themeColor="text1"/>
          <w:sz w:val="22"/>
          <w:szCs w:val="22"/>
        </w:rPr>
      </w:pPr>
    </w:p>
    <w:p w14:paraId="2641E9E1" w14:textId="1DCEBEEC" w:rsidR="70B7F7BB" w:rsidRDefault="06D8B9BB" w:rsidP="0BBEACF1">
      <w:pPr>
        <w:pStyle w:val="Heading1"/>
        <w:spacing w:before="281" w:after="281" w:line="360" w:lineRule="auto"/>
        <w:rPr>
          <w:rFonts w:ascii="Arial" w:eastAsia="Arial" w:hAnsi="Arial" w:cs="Arial"/>
          <w:color w:val="auto"/>
          <w:sz w:val="22"/>
          <w:szCs w:val="22"/>
        </w:rPr>
      </w:pPr>
      <w:r w:rsidRPr="0BBEACF1">
        <w:rPr>
          <w:rFonts w:ascii="Arial" w:eastAsia="Arial" w:hAnsi="Arial" w:cs="Arial"/>
          <w:b/>
          <w:bCs/>
          <w:color w:val="auto"/>
          <w:sz w:val="22"/>
          <w:szCs w:val="22"/>
        </w:rPr>
        <w:t>STUDY TWO – SPECIAL SCHOOL STAFF WELLBEING QUESTIONNAIRE</w:t>
      </w:r>
    </w:p>
    <w:p w14:paraId="5EE9F21B" w14:textId="42E029FE"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Overview</w:t>
      </w:r>
    </w:p>
    <w:p w14:paraId="78113562" w14:textId="020B0972" w:rsidR="70B7F7BB" w:rsidRDefault="60059935" w:rsidP="5ECF1BC0">
      <w:pPr>
        <w:spacing w:before="210" w:after="210" w:line="360" w:lineRule="auto"/>
        <w:rPr>
          <w:rFonts w:ascii="Arial" w:eastAsia="Arial" w:hAnsi="Arial" w:cs="Arial"/>
          <w:color w:val="000000" w:themeColor="text1"/>
          <w:sz w:val="22"/>
          <w:szCs w:val="22"/>
        </w:rPr>
      </w:pPr>
      <w:r w:rsidRPr="3F29B626">
        <w:rPr>
          <w:rFonts w:ascii="Arial" w:eastAsia="Arial" w:hAnsi="Arial" w:cs="Arial"/>
          <w:color w:val="000000" w:themeColor="text1"/>
          <w:sz w:val="22"/>
          <w:szCs w:val="22"/>
        </w:rPr>
        <w:t>Study Two extends the quantitative foundation by examining the experiences of 37 staff who completed the bespoke Special School Staff Wellbeing Questionnaire</w:t>
      </w:r>
      <w:r w:rsidR="087E9633" w:rsidRPr="3F29B626">
        <w:rPr>
          <w:rFonts w:ascii="Arial" w:eastAsia="Arial" w:hAnsi="Arial" w:cs="Arial"/>
          <w:color w:val="000000" w:themeColor="text1"/>
          <w:sz w:val="22"/>
          <w:szCs w:val="22"/>
        </w:rPr>
        <w:t xml:space="preserve"> (</w:t>
      </w:r>
      <w:r w:rsidR="3222790C" w:rsidRPr="3F29B626">
        <w:rPr>
          <w:rFonts w:ascii="Arial" w:eastAsia="Arial" w:hAnsi="Arial" w:cs="Arial"/>
          <w:color w:val="000000" w:themeColor="text1"/>
          <w:sz w:val="22"/>
          <w:szCs w:val="22"/>
        </w:rPr>
        <w:t>s</w:t>
      </w:r>
      <w:r w:rsidR="087E9633" w:rsidRPr="3F29B626">
        <w:rPr>
          <w:rFonts w:ascii="Arial" w:eastAsia="Arial" w:hAnsi="Arial" w:cs="Arial"/>
          <w:color w:val="000000" w:themeColor="text1"/>
          <w:sz w:val="22"/>
          <w:szCs w:val="22"/>
        </w:rPr>
        <w:t>ee Appendix D)</w:t>
      </w:r>
      <w:r w:rsidRPr="3F29B626">
        <w:rPr>
          <w:rFonts w:ascii="Arial" w:eastAsia="Arial" w:hAnsi="Arial" w:cs="Arial"/>
          <w:color w:val="000000" w:themeColor="text1"/>
          <w:sz w:val="22"/>
          <w:szCs w:val="22"/>
        </w:rPr>
        <w:t xml:space="preserve">. The tool explored stress in role, spillover into home life, coping strategies, nature‑based wellbeing, workplace pressures and the supportiveness of different resources. Importantly, this dataset reflects staff experiences </w:t>
      </w:r>
      <w:r w:rsidRPr="3F29B626">
        <w:rPr>
          <w:rFonts w:ascii="Arial" w:eastAsia="Arial" w:hAnsi="Arial" w:cs="Arial"/>
          <w:i/>
          <w:iCs/>
          <w:color w:val="000000" w:themeColor="text1"/>
          <w:sz w:val="22"/>
          <w:szCs w:val="22"/>
        </w:rPr>
        <w:t>in their own words</w:t>
      </w:r>
      <w:r w:rsidRPr="3F29B626">
        <w:rPr>
          <w:rFonts w:ascii="Arial" w:eastAsia="Arial" w:hAnsi="Arial" w:cs="Arial"/>
          <w:color w:val="000000" w:themeColor="text1"/>
          <w:sz w:val="22"/>
          <w:szCs w:val="22"/>
        </w:rPr>
        <w:t>, bridging the gap between numerical indicators and lived reality. The patterns identified closely mirror those found in broader educational wellbeing literature but grounded in the distinctive emotional landscape of a special‑school environment.</w:t>
      </w:r>
    </w:p>
    <w:p w14:paraId="6C0A0A20" w14:textId="48C36885"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 xml:space="preserve">1. </w:t>
      </w:r>
      <w:r w:rsidRPr="5ECF1BC0">
        <w:rPr>
          <w:rFonts w:ascii="Arial" w:eastAsia="Arial" w:hAnsi="Arial" w:cs="Arial"/>
          <w:b/>
          <w:bCs/>
          <w:color w:val="auto"/>
          <w:sz w:val="22"/>
          <w:szCs w:val="22"/>
        </w:rPr>
        <w:t>Stress in Role</w:t>
      </w:r>
    </w:p>
    <w:p w14:paraId="098964CF" w14:textId="5621374D"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Participants reported a wide range of stress levels, often emphasising the variability of special‑school work. “</w:t>
      </w:r>
      <w:r w:rsidRPr="5ECF1BC0">
        <w:rPr>
          <w:rFonts w:ascii="Arial" w:eastAsia="Arial" w:hAnsi="Arial" w:cs="Arial"/>
          <w:i/>
          <w:iCs/>
          <w:color w:val="000000" w:themeColor="text1"/>
          <w:sz w:val="22"/>
          <w:szCs w:val="22"/>
        </w:rPr>
        <w:t>Some weeks I can cope fine, but others feel overwhelming depending on behaviours and staffing</w:t>
      </w:r>
      <w:r w:rsidRPr="5ECF1BC0">
        <w:rPr>
          <w:rFonts w:ascii="Arial" w:eastAsia="Arial" w:hAnsi="Arial" w:cs="Arial"/>
          <w:color w:val="000000" w:themeColor="text1"/>
          <w:sz w:val="22"/>
          <w:szCs w:val="22"/>
        </w:rPr>
        <w:t>,” one teacher wrote. This variability aligns with evidence that special‑school contexts amplify emotional labour, particularly where behavioural complexity, sensory regulation needs and safeguarding concerns intersect.</w:t>
      </w:r>
    </w:p>
    <w:p w14:paraId="3329E961" w14:textId="7E257B0B"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The finding that stress “varies” is analytically significant: it reflects how wellbeing is marked by fluctuations, shaped by staffing levels, pupil dynamics, term‑time pressures and the emotional </w:t>
      </w:r>
      <w:r w:rsidR="50790B02" w:rsidRPr="5ECF1BC0">
        <w:rPr>
          <w:rFonts w:ascii="Arial" w:eastAsia="Arial" w:hAnsi="Arial" w:cs="Arial"/>
          <w:color w:val="000000" w:themeColor="text1"/>
          <w:sz w:val="22"/>
          <w:szCs w:val="22"/>
        </w:rPr>
        <w:t>climate</w:t>
      </w:r>
      <w:r w:rsidRPr="5ECF1BC0">
        <w:rPr>
          <w:rFonts w:ascii="Arial" w:eastAsia="Arial" w:hAnsi="Arial" w:cs="Arial"/>
          <w:color w:val="000000" w:themeColor="text1"/>
          <w:sz w:val="22"/>
          <w:szCs w:val="22"/>
        </w:rPr>
        <w:t xml:space="preserve"> of particular days. Rather than depicting stress as constant or static, participants highlight its rhythmic quality.</w:t>
      </w:r>
    </w:p>
    <w:p w14:paraId="30DE0EDA" w14:textId="6A8BFDE8"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2.</w:t>
      </w:r>
      <w:r w:rsidRPr="5ECF1BC0">
        <w:rPr>
          <w:rFonts w:ascii="Arial" w:eastAsia="Arial" w:hAnsi="Arial" w:cs="Arial"/>
          <w:b/>
          <w:bCs/>
          <w:color w:val="auto"/>
          <w:sz w:val="22"/>
          <w:szCs w:val="22"/>
        </w:rPr>
        <w:t xml:space="preserve"> Impact of School Stress on Personal Wellbeing</w:t>
      </w:r>
    </w:p>
    <w:p w14:paraId="4E3A172F" w14:textId="0B74FCBB"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Most staff reported that school‑related stress spilled over into home life. This aligns with Work–Family Border Theory (Clark, 2000), which explains how emotionally charged or high‑demand work erodes boundaries. Participants described carrying the emotional residue of challenging days into the evening:</w:t>
      </w:r>
    </w:p>
    <w:p w14:paraId="6BCCA0EB" w14:textId="5A9CA4B5" w:rsidR="70B7F7BB" w:rsidRDefault="1A9FE99B" w:rsidP="5ECF1BC0">
      <w:pPr>
        <w:pStyle w:val="ListParagraph"/>
        <w:numPr>
          <w:ilvl w:val="0"/>
          <w:numId w:val="12"/>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w:t>
      </w:r>
      <w:r w:rsidRPr="5ECF1BC0">
        <w:rPr>
          <w:rFonts w:ascii="Arial" w:eastAsia="Arial" w:hAnsi="Arial" w:cs="Arial"/>
          <w:i/>
          <w:iCs/>
          <w:color w:val="000000" w:themeColor="text1"/>
          <w:sz w:val="22"/>
          <w:szCs w:val="22"/>
        </w:rPr>
        <w:t>If it’s been a tough day, I carry it home with me — I can feel it in my mood.</w:t>
      </w:r>
      <w:r w:rsidRPr="5ECF1BC0">
        <w:rPr>
          <w:rFonts w:ascii="Arial" w:eastAsia="Arial" w:hAnsi="Arial" w:cs="Arial"/>
          <w:color w:val="000000" w:themeColor="text1"/>
          <w:sz w:val="22"/>
          <w:szCs w:val="22"/>
        </w:rPr>
        <w:t>”</w:t>
      </w:r>
    </w:p>
    <w:p w14:paraId="37D4F7E4" w14:textId="07AB461C" w:rsidR="70B7F7BB" w:rsidRDefault="1A9FE99B" w:rsidP="5ECF1BC0">
      <w:pPr>
        <w:pStyle w:val="ListParagraph"/>
        <w:numPr>
          <w:ilvl w:val="0"/>
          <w:numId w:val="12"/>
        </w:numPr>
        <w:spacing w:after="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w:t>
      </w:r>
      <w:r w:rsidRPr="5ECF1BC0">
        <w:rPr>
          <w:rFonts w:ascii="Arial" w:eastAsia="Arial" w:hAnsi="Arial" w:cs="Arial"/>
          <w:i/>
          <w:iCs/>
          <w:color w:val="000000" w:themeColor="text1"/>
          <w:sz w:val="22"/>
          <w:szCs w:val="22"/>
        </w:rPr>
        <w:t>I try really hard to switch off, but safeguarding worries don’t just vanish at 3:30.</w:t>
      </w:r>
      <w:r w:rsidRPr="5ECF1BC0">
        <w:rPr>
          <w:rFonts w:ascii="Arial" w:eastAsia="Arial" w:hAnsi="Arial" w:cs="Arial"/>
          <w:color w:val="000000" w:themeColor="text1"/>
          <w:sz w:val="22"/>
          <w:szCs w:val="22"/>
        </w:rPr>
        <w:t>”</w:t>
      </w:r>
    </w:p>
    <w:p w14:paraId="26962E56" w14:textId="5915B910" w:rsidR="70B7F7BB" w:rsidRDefault="1A9FE99B" w:rsidP="009030AE">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lastRenderedPageBreak/>
        <w:t>These accounts reflect the moral weight of special‑school roles. Staff support some of the most vulnerable pupils, and this responsibility often lingers emotionally, especially when behaviour incidents, distress or safeguarding concerns remain unresolved.</w:t>
      </w:r>
    </w:p>
    <w:p w14:paraId="307D9D64" w14:textId="6690E8DF"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 xml:space="preserve">3. </w:t>
      </w:r>
      <w:r w:rsidRPr="5ECF1BC0">
        <w:rPr>
          <w:rFonts w:ascii="Arial" w:eastAsia="Arial" w:hAnsi="Arial" w:cs="Arial"/>
          <w:b/>
          <w:bCs/>
          <w:color w:val="auto"/>
          <w:sz w:val="22"/>
          <w:szCs w:val="22"/>
        </w:rPr>
        <w:t>Ability to Separate Work and Home</w:t>
      </w:r>
    </w:p>
    <w:p w14:paraId="6F7B6CB4" w14:textId="103AC9EB" w:rsidR="70B7F7BB" w:rsidRDefault="1A9FE99B" w:rsidP="5ECF1BC0">
      <w:pPr>
        <w:spacing w:before="210" w:after="21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Despite the spillover described above, many participants reported they could “often” or “always” separate work and home — but only under certain conditions. This points to the conscious application of boundary management. As one participant explained, “</w:t>
      </w:r>
      <w:r w:rsidRPr="5ECF1BC0">
        <w:rPr>
          <w:rFonts w:ascii="Arial" w:eastAsia="Arial" w:hAnsi="Arial" w:cs="Arial"/>
          <w:i/>
          <w:iCs/>
          <w:color w:val="000000" w:themeColor="text1"/>
          <w:sz w:val="22"/>
          <w:szCs w:val="22"/>
        </w:rPr>
        <w:t>I can switch off most days, unless something big has happened.</w:t>
      </w:r>
      <w:r w:rsidRPr="5ECF1BC0">
        <w:rPr>
          <w:rFonts w:ascii="Arial" w:eastAsia="Arial" w:hAnsi="Arial" w:cs="Arial"/>
          <w:color w:val="000000" w:themeColor="text1"/>
          <w:sz w:val="22"/>
          <w:szCs w:val="22"/>
        </w:rPr>
        <w:t>” Those who struggled often referenced staffing shortages, behaviour‑related incidents, or paperwork that intruded into personal time.</w:t>
      </w:r>
    </w:p>
    <w:p w14:paraId="226CED1B" w14:textId="1B04DE70"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color w:val="000000" w:themeColor="text1"/>
          <w:sz w:val="22"/>
          <w:szCs w:val="22"/>
        </w:rPr>
        <w:t>This highlights the central JD‑R dynamic: staff with more resources (supportive colleagues, experience, recovery time) can maintain boundaries more easily, while those with higher de</w:t>
      </w:r>
      <w:r w:rsidRPr="5ECF1BC0">
        <w:rPr>
          <w:rFonts w:ascii="Arial" w:eastAsia="Arial" w:hAnsi="Arial" w:cs="Arial"/>
          <w:sz w:val="22"/>
          <w:szCs w:val="22"/>
        </w:rPr>
        <w:t>mands may struggle even with strong personal coping strategies.</w:t>
      </w:r>
    </w:p>
    <w:p w14:paraId="2E4F10AD" w14:textId="3FABE679"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4.</w:t>
      </w:r>
      <w:r w:rsidRPr="5ECF1BC0">
        <w:rPr>
          <w:rFonts w:ascii="Arial" w:eastAsia="Arial" w:hAnsi="Arial" w:cs="Arial"/>
          <w:b/>
          <w:bCs/>
          <w:color w:val="auto"/>
          <w:sz w:val="22"/>
          <w:szCs w:val="22"/>
        </w:rPr>
        <w:t xml:space="preserve"> Personal‑Life Stress</w:t>
      </w:r>
    </w:p>
    <w:p w14:paraId="7C22D1A1" w14:textId="24998AC5"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generally reported lower personal‑life stress compared with work stress. Many described home as “manageable” or “less stressful than work,” indicating that school‑based pressures were the primary contributor to cumulative strain. This mirrors research showing that the emotional and organisational demands of teaching, particularly in specialist settings, are unusually high.</w:t>
      </w:r>
    </w:p>
    <w:p w14:paraId="5204A3A7" w14:textId="0A5915F9"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 xml:space="preserve">5. </w:t>
      </w:r>
      <w:r w:rsidRPr="5ECF1BC0">
        <w:rPr>
          <w:rFonts w:ascii="Arial" w:eastAsia="Arial" w:hAnsi="Arial" w:cs="Arial"/>
          <w:b/>
          <w:bCs/>
          <w:color w:val="auto"/>
          <w:sz w:val="22"/>
          <w:szCs w:val="22"/>
        </w:rPr>
        <w:t>Coping Resources Available</w:t>
      </w:r>
    </w:p>
    <w:p w14:paraId="6EE4C343" w14:textId="2719E52E"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Most staff said they had access to coping strategies, but many admitted they “forget to use them when stressed.” This gap between knowledge and action is widely documented in workplace stress research, where high cognitive load under high demand makes it harder to activate coping resources (Bakker &amp; Demerouti, 2017).</w:t>
      </w:r>
    </w:p>
    <w:p w14:paraId="6142B552" w14:textId="753ABFA8"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described using strategies such as walking, time outdoors, breathing techniques, or talking to others — but emphasised the challenge of remembering or prioritising them when needed most. This finding recurs across later datasets, especially in the winter and walking studies.</w:t>
      </w:r>
    </w:p>
    <w:p w14:paraId="705BCA73" w14:textId="61C9A155"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lastRenderedPageBreak/>
        <w:t xml:space="preserve">6. </w:t>
      </w:r>
      <w:r w:rsidRPr="5ECF1BC0">
        <w:rPr>
          <w:rFonts w:ascii="Arial" w:eastAsia="Arial" w:hAnsi="Arial" w:cs="Arial"/>
          <w:b/>
          <w:bCs/>
          <w:color w:val="auto"/>
          <w:sz w:val="22"/>
          <w:szCs w:val="22"/>
        </w:rPr>
        <w:t>Quality of Strategies Used</w:t>
      </w:r>
    </w:p>
    <w:p w14:paraId="1E15CF4D" w14:textId="56F60974"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Most participants reported primarily adaptive coping practices (exercise, nature‑based activity, social connection, creative hobbies). A minority referenced maladaptive strategies, including avoidance or emotional eating. These patterns fit broader findings that chronic workplace stress can push individuals toward less helpful strategies when demands exceed capacity.</w:t>
      </w:r>
    </w:p>
    <w:p w14:paraId="048164EC" w14:textId="69584B2A"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 xml:space="preserve">7. </w:t>
      </w:r>
      <w:r w:rsidRPr="5ECF1BC0">
        <w:rPr>
          <w:rFonts w:ascii="Arial" w:eastAsia="Arial" w:hAnsi="Arial" w:cs="Arial"/>
          <w:b/>
          <w:bCs/>
          <w:color w:val="auto"/>
          <w:sz w:val="22"/>
          <w:szCs w:val="22"/>
        </w:rPr>
        <w:t>Awareness That Nature Supports Wellbeing</w:t>
      </w:r>
    </w:p>
    <w:p w14:paraId="3B064602" w14:textId="533B2D79"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Nearly all staff reported awareness that nature benefits their wellbeing. Comments such as “</w:t>
      </w:r>
      <w:r w:rsidRPr="5ECF1BC0">
        <w:rPr>
          <w:rFonts w:ascii="Arial" w:eastAsia="Arial" w:hAnsi="Arial" w:cs="Arial"/>
          <w:i/>
          <w:iCs/>
          <w:sz w:val="22"/>
          <w:szCs w:val="22"/>
        </w:rPr>
        <w:t>Being outside resets me — even five minutes helps</w:t>
      </w:r>
      <w:r w:rsidRPr="5ECF1BC0">
        <w:rPr>
          <w:rFonts w:ascii="Arial" w:eastAsia="Arial" w:hAnsi="Arial" w:cs="Arial"/>
          <w:sz w:val="22"/>
          <w:szCs w:val="22"/>
        </w:rPr>
        <w:t>” resonate strongly with themes later explored in Studies Three, Four and Five. This suggests a preference for nature‑based wellbeing practices, even among those who may struggle to implement them during busy periods.</w:t>
      </w:r>
    </w:p>
    <w:p w14:paraId="78B4829B" w14:textId="70081A2F"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 xml:space="preserve">8. </w:t>
      </w:r>
      <w:r w:rsidRPr="5ECF1BC0">
        <w:rPr>
          <w:rFonts w:ascii="Arial" w:eastAsia="Arial" w:hAnsi="Arial" w:cs="Arial"/>
          <w:b/>
          <w:bCs/>
          <w:color w:val="auto"/>
          <w:sz w:val="22"/>
          <w:szCs w:val="22"/>
        </w:rPr>
        <w:t>Interest in Exploring Healthier Options</w:t>
      </w:r>
    </w:p>
    <w:p w14:paraId="132D7132" w14:textId="68CE4669"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vast majority of participants expressed an interest or openness to trying new wellbeing approaches. This highlights a workforce that is not resistant to wellbeing initiatives but often constrained by time, energy and structural pressures. Low‑barrier, relational and embedded approaches, such as outdoor micro‑breaks or predictable weekly walks ar</w:t>
      </w:r>
      <w:r w:rsidR="12B7BC2D" w:rsidRPr="5ECF1BC0">
        <w:rPr>
          <w:rFonts w:ascii="Arial" w:eastAsia="Arial" w:hAnsi="Arial" w:cs="Arial"/>
          <w:sz w:val="22"/>
          <w:szCs w:val="22"/>
        </w:rPr>
        <w:t>e</w:t>
      </w:r>
      <w:r w:rsidRPr="5ECF1BC0">
        <w:rPr>
          <w:rFonts w:ascii="Arial" w:eastAsia="Arial" w:hAnsi="Arial" w:cs="Arial"/>
          <w:sz w:val="22"/>
          <w:szCs w:val="22"/>
        </w:rPr>
        <w:t xml:space="preserve"> therefore especially promising.</w:t>
      </w:r>
    </w:p>
    <w:p w14:paraId="6D5AC7B6" w14:textId="0A96FDD3"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 xml:space="preserve">9. </w:t>
      </w:r>
      <w:r w:rsidRPr="5ECF1BC0">
        <w:rPr>
          <w:rFonts w:ascii="Arial" w:eastAsia="Arial" w:hAnsi="Arial" w:cs="Arial"/>
          <w:b/>
          <w:bCs/>
          <w:color w:val="auto"/>
          <w:sz w:val="22"/>
          <w:szCs w:val="22"/>
        </w:rPr>
        <w:t>Helpfulness of Support Sources</w:t>
      </w:r>
    </w:p>
    <w:p w14:paraId="2FF91237" w14:textId="26810D1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Informal support (family, friends, trusted colleagues) was rated more helpful than formal services. As one participant wrote, “</w:t>
      </w:r>
      <w:r w:rsidRPr="5ECF1BC0">
        <w:rPr>
          <w:rFonts w:ascii="Arial" w:eastAsia="Arial" w:hAnsi="Arial" w:cs="Arial"/>
          <w:i/>
          <w:iCs/>
          <w:sz w:val="22"/>
          <w:szCs w:val="22"/>
        </w:rPr>
        <w:t>Talking to colleagues who understand the day helps more than anything.</w:t>
      </w:r>
      <w:r w:rsidRPr="5ECF1BC0">
        <w:rPr>
          <w:rFonts w:ascii="Arial" w:eastAsia="Arial" w:hAnsi="Arial" w:cs="Arial"/>
          <w:sz w:val="22"/>
          <w:szCs w:val="22"/>
        </w:rPr>
        <w:t>” Staff described Occupational Health or GP services as slower, less personal or reactive. This points to the importance of peer relationships and everyday collegiality in buffering strain.  With staff cover and high financial implications associated with support services such as Occupational Health sessions, it is of particular interest that these are less helpful that the relational aspects of support.</w:t>
      </w:r>
    </w:p>
    <w:p w14:paraId="5DAC3626" w14:textId="3C99D091"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10.</w:t>
      </w:r>
      <w:r w:rsidRPr="5ECF1BC0">
        <w:rPr>
          <w:rFonts w:ascii="Arial" w:eastAsia="Arial" w:hAnsi="Arial" w:cs="Arial"/>
          <w:b/>
          <w:bCs/>
          <w:color w:val="auto"/>
          <w:sz w:val="22"/>
          <w:szCs w:val="22"/>
        </w:rPr>
        <w:t xml:space="preserve"> Helpfulness of Activities</w:t>
      </w:r>
    </w:p>
    <w:p w14:paraId="48FB90F0" w14:textId="6860A72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Participants valued activities involving movement, nature, creativity and relational connection. Structured or clinical activities (yoga, counselling, mentoring) were helpful for some but felt too effortful or formal for others. This mirrors evidence that wellbeing supports </w:t>
      </w:r>
      <w:r w:rsidRPr="5ECF1BC0">
        <w:rPr>
          <w:rFonts w:ascii="Arial" w:eastAsia="Arial" w:hAnsi="Arial" w:cs="Arial"/>
          <w:sz w:val="22"/>
          <w:szCs w:val="22"/>
        </w:rPr>
        <w:lastRenderedPageBreak/>
        <w:t>are most effective when aligned with staff culture, accessible in time and energy, and easily integrated into everyday life.</w:t>
      </w:r>
    </w:p>
    <w:p w14:paraId="6EF6C525" w14:textId="79FB81BC"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color w:val="auto"/>
          <w:sz w:val="22"/>
          <w:szCs w:val="22"/>
        </w:rPr>
        <w:t>11.</w:t>
      </w:r>
      <w:r w:rsidRPr="5ECF1BC0">
        <w:rPr>
          <w:rFonts w:ascii="Arial" w:eastAsia="Arial" w:hAnsi="Arial" w:cs="Arial"/>
          <w:b/>
          <w:bCs/>
          <w:color w:val="auto"/>
          <w:sz w:val="22"/>
          <w:szCs w:val="22"/>
        </w:rPr>
        <w:t xml:space="preserve"> Workplace Stressors</w:t>
      </w:r>
    </w:p>
    <w:p w14:paraId="6C23AD6C" w14:textId="58CB3D2F"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most frequently cited workplace stressor was inconsistent staffing, followed by workload and pupil behaviour. Staff also highlighted the emotional weight of supporting pupils with complex needs. One participant wrote, “</w:t>
      </w:r>
      <w:r w:rsidRPr="5ECF1BC0">
        <w:rPr>
          <w:rFonts w:ascii="Arial" w:eastAsia="Arial" w:hAnsi="Arial" w:cs="Arial"/>
          <w:i/>
          <w:iCs/>
          <w:sz w:val="22"/>
          <w:szCs w:val="22"/>
        </w:rPr>
        <w:t>Some days you hold so much for the children, and it stays with you afterwards.</w:t>
      </w:r>
      <w:r w:rsidRPr="5ECF1BC0">
        <w:rPr>
          <w:rFonts w:ascii="Arial" w:eastAsia="Arial" w:hAnsi="Arial" w:cs="Arial"/>
          <w:sz w:val="22"/>
          <w:szCs w:val="22"/>
        </w:rPr>
        <w:t>” This captures the deep relational commitment that characterises special‑school work — and the powerful emotional demands it generates.</w:t>
      </w:r>
    </w:p>
    <w:p w14:paraId="513211C4" w14:textId="65F35242"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Mini‑Summary: Study Two</w:t>
      </w:r>
    </w:p>
    <w:p w14:paraId="0D7B1EFE" w14:textId="3F74C0D4"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Study Two paints a multi‑layered picture of staff wellbeing: stress is significant and variable; emotional spillover into home life is common; boundary management is active and effortful; and informal support is crucial. Staff show strong awareness of nature’s benefits and willingness to explore new strategies but face structural and emotional barriers to activating them consistently. The themes here are: emotional load, episodic strain, nature as resource and relational buffering, which echo and deepen across subsequent datasets.</w:t>
      </w:r>
    </w:p>
    <w:p w14:paraId="30CA4D78" w14:textId="42BC8A13" w:rsidR="70B7F7BB" w:rsidRDefault="70B7F7BB" w:rsidP="5ECF1BC0">
      <w:pPr>
        <w:spacing w:before="210" w:after="210" w:line="360" w:lineRule="auto"/>
        <w:rPr>
          <w:rFonts w:ascii="Arial" w:eastAsia="Arial" w:hAnsi="Arial" w:cs="Arial"/>
          <w:sz w:val="22"/>
          <w:szCs w:val="22"/>
        </w:rPr>
      </w:pPr>
    </w:p>
    <w:p w14:paraId="6E1265AD" w14:textId="7E67A78E" w:rsidR="70B7F7BB" w:rsidRDefault="06D8B9BB" w:rsidP="0BBEACF1">
      <w:pPr>
        <w:pStyle w:val="Heading2"/>
        <w:spacing w:before="261" w:after="261" w:line="360" w:lineRule="auto"/>
        <w:rPr>
          <w:rFonts w:ascii="Arial" w:eastAsia="Arial" w:hAnsi="Arial" w:cs="Arial"/>
          <w:color w:val="auto"/>
          <w:sz w:val="22"/>
          <w:szCs w:val="22"/>
        </w:rPr>
      </w:pPr>
      <w:r w:rsidRPr="0BBEACF1">
        <w:rPr>
          <w:rFonts w:ascii="Arial" w:eastAsia="Arial" w:hAnsi="Arial" w:cs="Arial"/>
          <w:b/>
          <w:bCs/>
          <w:color w:val="auto"/>
          <w:sz w:val="22"/>
          <w:szCs w:val="22"/>
        </w:rPr>
        <w:t>STUDY THREE – SEMI‑STRUCTURED INTERVIEWS</w:t>
      </w:r>
    </w:p>
    <w:p w14:paraId="1F761DEF" w14:textId="2B407E55"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Overview</w:t>
      </w:r>
    </w:p>
    <w:p w14:paraId="5EEB9545" w14:textId="29654525" w:rsidR="70B7F7BB" w:rsidRDefault="1A9FE99B" w:rsidP="00F01C37">
      <w:pPr>
        <w:spacing w:before="210" w:after="210" w:line="360" w:lineRule="auto"/>
        <w:rPr>
          <w:rFonts w:ascii="Arial" w:eastAsia="Arial" w:hAnsi="Arial" w:cs="Arial"/>
          <w:sz w:val="22"/>
          <w:szCs w:val="22"/>
        </w:rPr>
      </w:pPr>
      <w:r w:rsidRPr="5ECF1BC0">
        <w:rPr>
          <w:rFonts w:ascii="Arial" w:eastAsia="Arial" w:hAnsi="Arial" w:cs="Arial"/>
          <w:sz w:val="22"/>
          <w:szCs w:val="22"/>
        </w:rPr>
        <w:t>Study Three provides a rich qualitative depth in the dataset, drawing on semi‑structured group interviews with 26 staff across teachers, teaching assistants, senior leaders, and administrative colleagues. Semi‑structured interviews enable both consistent thematic anchoring and the emergence of unanticipated insights, offering a balance between structure and openness. This aligns with established principles of qualitative credibility, where multiple perspectives strengthen thematic robustness (Magdali &amp; Berler, 2020). The interviews revealed emotionally honest accounts of how staff navigate stress, connection, role expectations, and restorative practices within and beyond the school environment.</w:t>
      </w:r>
    </w:p>
    <w:p w14:paraId="2B262728" w14:textId="3240F58B"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1. Nature in Wellbeing</w:t>
      </w:r>
    </w:p>
    <w:p w14:paraId="37094556" w14:textId="0C0FEE9F"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Across all groups, nature emerged as a central wellbeing resource. Participants described woodland paths, riversides, beaches, and open skies as spaces that offered calm, grounding, and emotional regulation. One member of staff described this vividly: </w:t>
      </w:r>
      <w:r w:rsidRPr="5ECF1BC0">
        <w:rPr>
          <w:rFonts w:ascii="Arial" w:eastAsia="Arial" w:hAnsi="Arial" w:cs="Arial"/>
          <w:i/>
          <w:iCs/>
          <w:sz w:val="22"/>
          <w:szCs w:val="22"/>
        </w:rPr>
        <w:t xml:space="preserve">“When I </w:t>
      </w:r>
      <w:r w:rsidRPr="5ECF1BC0">
        <w:rPr>
          <w:rFonts w:ascii="Arial" w:eastAsia="Arial" w:hAnsi="Arial" w:cs="Arial"/>
          <w:i/>
          <w:iCs/>
          <w:sz w:val="22"/>
          <w:szCs w:val="22"/>
        </w:rPr>
        <w:lastRenderedPageBreak/>
        <w:t>walk by the river, I can feel my whole body settling.”</w:t>
      </w:r>
      <w:r w:rsidRPr="5ECF1BC0">
        <w:rPr>
          <w:rFonts w:ascii="Arial" w:eastAsia="Arial" w:hAnsi="Arial" w:cs="Arial"/>
          <w:sz w:val="22"/>
          <w:szCs w:val="22"/>
        </w:rPr>
        <w:t xml:space="preserve"> Another noted, </w:t>
      </w:r>
      <w:r w:rsidRPr="5ECF1BC0">
        <w:rPr>
          <w:rFonts w:ascii="Arial" w:eastAsia="Arial" w:hAnsi="Arial" w:cs="Arial"/>
          <w:i/>
          <w:iCs/>
          <w:sz w:val="22"/>
          <w:szCs w:val="22"/>
        </w:rPr>
        <w:t>“The woods slow my mind down.  It’s the only place I don’t feel overstimulated.”</w:t>
      </w:r>
    </w:p>
    <w:p w14:paraId="2D76920C" w14:textId="6DD47095"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These accounts illustrate nature not as a passive background but as an active co‑regulator—something that helps settle the body and mind after highly stimulating school days. Participants often described their connection to nature in sensory terms: the sound of leaves, the rhythm of waves, the quality of light, the feeling of fresh air. These sensory cues created what many called “space to breathe,” an important theme throughout the dataset.</w:t>
      </w:r>
    </w:p>
    <w:p w14:paraId="61318233" w14:textId="2AE15A74" w:rsidR="70B7F7BB" w:rsidRDefault="1A9FE99B" w:rsidP="00F01C37">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Blue spaces drew particularly strong emotional responses. Several participants described the sea or rivers as having immediate calming effects: </w:t>
      </w:r>
      <w:r w:rsidRPr="5ECF1BC0">
        <w:rPr>
          <w:rFonts w:ascii="Arial" w:eastAsia="Arial" w:hAnsi="Arial" w:cs="Arial"/>
          <w:i/>
          <w:iCs/>
          <w:sz w:val="22"/>
          <w:szCs w:val="22"/>
        </w:rPr>
        <w:t>“Water resets me instantly.”</w:t>
      </w:r>
      <w:r w:rsidRPr="5ECF1BC0">
        <w:rPr>
          <w:rFonts w:ascii="Arial" w:eastAsia="Arial" w:hAnsi="Arial" w:cs="Arial"/>
          <w:sz w:val="22"/>
          <w:szCs w:val="22"/>
        </w:rPr>
        <w:t xml:space="preserve"> These descriptions reflect how the movement, sound, and expansiveness of water provide a kind of psychological “clearing,” giving staff perspective after difficult days.</w:t>
      </w:r>
    </w:p>
    <w:p w14:paraId="267D40FA" w14:textId="2F361547"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2. Childhood Outdoor Experiences</w:t>
      </w:r>
    </w:p>
    <w:p w14:paraId="6FC8BC4C" w14:textId="29BD37A6"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A particularly interesting cross‑cutting theme was the deep, often emotional, connection between outdoor childhood experiences and adult coping practices. Staff recalled climbing trees, playing in fields, swimming in rivers, and building dens with family or friends. These memories carried warmth, nostalgia, and a sense of freedom, and brought smiles and signs of joy to the faces of the participants as they recalled their childhood experiences.  </w:t>
      </w:r>
    </w:p>
    <w:p w14:paraId="5DECD823" w14:textId="5C076908"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One teaching assistant reflected, </w:t>
      </w:r>
      <w:r w:rsidRPr="5ECF1BC0">
        <w:rPr>
          <w:rFonts w:ascii="Arial" w:eastAsia="Arial" w:hAnsi="Arial" w:cs="Arial"/>
          <w:i/>
          <w:iCs/>
          <w:sz w:val="22"/>
          <w:szCs w:val="22"/>
        </w:rPr>
        <w:t>“My happiest memories are being outside all summer… I think that’s why I go straight to nature when I’m stressed now.”</w:t>
      </w:r>
      <w:r w:rsidRPr="5ECF1BC0">
        <w:rPr>
          <w:rFonts w:ascii="Arial" w:eastAsia="Arial" w:hAnsi="Arial" w:cs="Arial"/>
          <w:sz w:val="22"/>
          <w:szCs w:val="22"/>
        </w:rPr>
        <w:t xml:space="preserve"> The ease with which participants connected their current wellbeing habits to these formative experiences suggests an embodied continuity: that their early sensory, relational, and emotional experiences appeared to shape current approaches to how they seek restoration and calm.</w:t>
      </w:r>
    </w:p>
    <w:p w14:paraId="050F4B97" w14:textId="47698737"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This pattern aligns with the broader principle that qualitative insights gain depth when multiple data sources converge on the same idea: here, memories, emotions, bodily experiences, and present‑day practices collectively reinforce the meaning of nature in adult coping. </w:t>
      </w:r>
    </w:p>
    <w:p w14:paraId="6BA124F1" w14:textId="5D15E2C5"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3. Self‑Regulation Through Nature</w:t>
      </w:r>
    </w:p>
    <w:p w14:paraId="7354D5A1" w14:textId="52CF5788"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described nature as an active self‑regulation strategy that helped them recover from emotional labour and cognitive overload. Staff spoke about walking, cycling, or simply standing outside to “reset,” “clear the mind,” or “let go of the day.”</w:t>
      </w:r>
    </w:p>
    <w:p w14:paraId="5BF0B8F9" w14:textId="08F11142"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lastRenderedPageBreak/>
        <w:t xml:space="preserve">One teacher shared, </w:t>
      </w:r>
      <w:r w:rsidRPr="5ECF1BC0">
        <w:rPr>
          <w:rFonts w:ascii="Arial" w:eastAsia="Arial" w:hAnsi="Arial" w:cs="Arial"/>
          <w:i/>
          <w:iCs/>
          <w:sz w:val="22"/>
          <w:szCs w:val="22"/>
        </w:rPr>
        <w:t>“If I’ve had a difficult shift, I head straight to the coast — the waves are like a release valve.”</w:t>
      </w:r>
    </w:p>
    <w:p w14:paraId="04218ED3" w14:textId="26179DD5"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Several participants emphasised that nature‑based regulation was multi‑modal:</w:t>
      </w:r>
    </w:p>
    <w:p w14:paraId="3EB77A58" w14:textId="2E2178CB" w:rsidR="70B7F7BB" w:rsidRDefault="1A9FE99B" w:rsidP="5ECF1BC0">
      <w:pPr>
        <w:pStyle w:val="ListParagraph"/>
        <w:numPr>
          <w:ilvl w:val="0"/>
          <w:numId w:val="5"/>
        </w:numPr>
        <w:spacing w:after="0" w:line="360" w:lineRule="auto"/>
        <w:rPr>
          <w:rFonts w:ascii="Arial" w:eastAsia="Arial" w:hAnsi="Arial" w:cs="Arial"/>
          <w:sz w:val="22"/>
          <w:szCs w:val="22"/>
        </w:rPr>
      </w:pPr>
      <w:r w:rsidRPr="5ECF1BC0">
        <w:rPr>
          <w:rFonts w:ascii="Arial" w:eastAsia="Arial" w:hAnsi="Arial" w:cs="Arial"/>
          <w:sz w:val="22"/>
          <w:szCs w:val="22"/>
        </w:rPr>
        <w:t>physical movement</w:t>
      </w:r>
    </w:p>
    <w:p w14:paraId="567D5EB0" w14:textId="4071E9AB" w:rsidR="70B7F7BB" w:rsidRDefault="1A9FE99B" w:rsidP="5ECF1BC0">
      <w:pPr>
        <w:pStyle w:val="ListParagraph"/>
        <w:numPr>
          <w:ilvl w:val="0"/>
          <w:numId w:val="5"/>
        </w:numPr>
        <w:spacing w:after="0" w:line="360" w:lineRule="auto"/>
        <w:rPr>
          <w:rFonts w:ascii="Arial" w:eastAsia="Arial" w:hAnsi="Arial" w:cs="Arial"/>
          <w:sz w:val="22"/>
          <w:szCs w:val="22"/>
        </w:rPr>
      </w:pPr>
      <w:r w:rsidRPr="5ECF1BC0">
        <w:rPr>
          <w:rFonts w:ascii="Arial" w:eastAsia="Arial" w:hAnsi="Arial" w:cs="Arial"/>
          <w:sz w:val="22"/>
          <w:szCs w:val="22"/>
        </w:rPr>
        <w:t>sensory grounding</w:t>
      </w:r>
    </w:p>
    <w:p w14:paraId="1EF9FFC3" w14:textId="7C14BD39" w:rsidR="70B7F7BB" w:rsidRDefault="1A9FE99B" w:rsidP="5ECF1BC0">
      <w:pPr>
        <w:pStyle w:val="ListParagraph"/>
        <w:numPr>
          <w:ilvl w:val="0"/>
          <w:numId w:val="5"/>
        </w:numPr>
        <w:spacing w:after="0" w:line="360" w:lineRule="auto"/>
        <w:rPr>
          <w:rFonts w:ascii="Arial" w:eastAsia="Arial" w:hAnsi="Arial" w:cs="Arial"/>
          <w:sz w:val="22"/>
          <w:szCs w:val="22"/>
        </w:rPr>
      </w:pPr>
      <w:r w:rsidRPr="5ECF1BC0">
        <w:rPr>
          <w:rFonts w:ascii="Arial" w:eastAsia="Arial" w:hAnsi="Arial" w:cs="Arial"/>
          <w:sz w:val="22"/>
          <w:szCs w:val="22"/>
        </w:rPr>
        <w:t>quiet or spaciousness</w:t>
      </w:r>
    </w:p>
    <w:p w14:paraId="278B152A" w14:textId="4345C964" w:rsidR="70B7F7BB" w:rsidRDefault="1A9FE99B" w:rsidP="5ECF1BC0">
      <w:pPr>
        <w:pStyle w:val="ListParagraph"/>
        <w:numPr>
          <w:ilvl w:val="0"/>
          <w:numId w:val="5"/>
        </w:numPr>
        <w:spacing w:after="0" w:line="360" w:lineRule="auto"/>
        <w:rPr>
          <w:rFonts w:ascii="Arial" w:eastAsia="Arial" w:hAnsi="Arial" w:cs="Arial"/>
          <w:sz w:val="22"/>
          <w:szCs w:val="22"/>
        </w:rPr>
      </w:pPr>
      <w:r w:rsidRPr="5ECF1BC0">
        <w:rPr>
          <w:rFonts w:ascii="Arial" w:eastAsia="Arial" w:hAnsi="Arial" w:cs="Arial"/>
          <w:sz w:val="22"/>
          <w:szCs w:val="22"/>
        </w:rPr>
        <w:t>opportunities for solitude</w:t>
      </w:r>
    </w:p>
    <w:p w14:paraId="2CAC9479" w14:textId="691AE715" w:rsidR="70B7F7BB" w:rsidRDefault="1A9FE99B" w:rsidP="5ECF1BC0">
      <w:pPr>
        <w:pStyle w:val="ListParagraph"/>
        <w:numPr>
          <w:ilvl w:val="0"/>
          <w:numId w:val="5"/>
        </w:numPr>
        <w:spacing w:after="0" w:line="360" w:lineRule="auto"/>
        <w:rPr>
          <w:rFonts w:ascii="Arial" w:eastAsia="Arial" w:hAnsi="Arial" w:cs="Arial"/>
          <w:sz w:val="22"/>
          <w:szCs w:val="22"/>
        </w:rPr>
      </w:pPr>
      <w:r w:rsidRPr="5ECF1BC0">
        <w:rPr>
          <w:rFonts w:ascii="Arial" w:eastAsia="Arial" w:hAnsi="Arial" w:cs="Arial"/>
          <w:sz w:val="22"/>
          <w:szCs w:val="22"/>
        </w:rPr>
        <w:t>the embodied rhythm of walking</w:t>
      </w:r>
    </w:p>
    <w:p w14:paraId="1210B982" w14:textId="58B0F622"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These practices helped staff transition from “school mode”, often described as fast‑paced, reactive, and emotionally charged, into a calmer, more centred state.</w:t>
      </w:r>
    </w:p>
    <w:p w14:paraId="362BE3BB" w14:textId="78022B72"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Self‑regulation here is not represented as a luxury but a necessity, something that helps staff maintain emotional safety for themselves and others. This kind of emotional restoration is especially important in high‑demand environments where role expectations require attentiveness, empathy, and rapid decision‑making.</w:t>
      </w:r>
    </w:p>
    <w:p w14:paraId="26716925" w14:textId="2D092117"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4. Relational Safety and Social Wellbeing</w:t>
      </w:r>
    </w:p>
    <w:p w14:paraId="5CCCB78F" w14:textId="3D5D2AAA"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A powerful theme was relational safety—the sense of being with people who understand, accept, and support you. Staff repeatedly described wellbeing as a relational rather than purely individual process. Nature served as a backdrop that softened interactions and made reflective or personal conversations feel easier.</w:t>
      </w:r>
    </w:p>
    <w:p w14:paraId="14456A1F" w14:textId="6304E59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One participant shared, </w:t>
      </w:r>
      <w:r w:rsidRPr="5ECF1BC0">
        <w:rPr>
          <w:rFonts w:ascii="Arial" w:eastAsia="Arial" w:hAnsi="Arial" w:cs="Arial"/>
          <w:i/>
          <w:iCs/>
          <w:sz w:val="22"/>
          <w:szCs w:val="22"/>
        </w:rPr>
        <w:t>“I open up more when we’re walking.  It feels easier to talk.”</w:t>
      </w:r>
    </w:p>
    <w:p w14:paraId="2CDF7EF3" w14:textId="2B4A383A"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Walking side‑by‑side, rather than face‑to‑face, reduced social intensity, allowing deeper disclosures or lighter conversations as needed. Staff described woodland or coastal settings as “level”, “neutral”, and “non‑judgemental” spaces where hierarchy faded and collegiality strengthened.</w:t>
      </w:r>
    </w:p>
    <w:p w14:paraId="036204AE" w14:textId="75F2425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This resonates with a key feature of triangulated qualitative research: when interviews, observations, and participant reflections independently point to the same relational phenomena, their credibility increases. </w:t>
      </w:r>
    </w:p>
    <w:p w14:paraId="47819962" w14:textId="0EEFB18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Many staff also expressed that conversations outdoors felt “more real,” “less pressured,” or “more human” compared with classroom or staff‑room interactions governed by time constraints, noise, or professional demands.</w:t>
      </w:r>
    </w:p>
    <w:p w14:paraId="3C801EC2" w14:textId="00153A9C"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lastRenderedPageBreak/>
        <w:t>5. Emotional Demands and Role Differences</w:t>
      </w:r>
    </w:p>
    <w:p w14:paraId="67C117AC" w14:textId="72F3BFC4"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Interviews revealed notable differences in emotional load across roles. Teachers described carrying responsibility for planning, safeguarding, behaviour management, and communication with families. They often spoke of emotional experiences “sticking” to them long after the school day ended. One teacher reflected, </w:t>
      </w:r>
      <w:r w:rsidRPr="5ECF1BC0">
        <w:rPr>
          <w:rFonts w:ascii="Arial" w:eastAsia="Arial" w:hAnsi="Arial" w:cs="Arial"/>
          <w:i/>
          <w:iCs/>
          <w:sz w:val="22"/>
          <w:szCs w:val="22"/>
        </w:rPr>
        <w:t>“I hold so much for the kids.  It follows me home, even when I don’t want it to.”</w:t>
      </w:r>
    </w:p>
    <w:p w14:paraId="37C46C62" w14:textId="0ACF9FCF"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Teaching assistants described strong relational fulfilment but also the emotional intensity of supporting pupils with complex needs. Some noted that although they were not responsible for</w:t>
      </w:r>
      <w:r w:rsidR="4CA7F3B0" w:rsidRPr="5ECF1BC0">
        <w:rPr>
          <w:rFonts w:ascii="Arial" w:eastAsia="Arial" w:hAnsi="Arial" w:cs="Arial"/>
          <w:sz w:val="22"/>
          <w:szCs w:val="22"/>
        </w:rPr>
        <w:t xml:space="preserve"> the same quantity of</w:t>
      </w:r>
      <w:r w:rsidRPr="5ECF1BC0">
        <w:rPr>
          <w:rFonts w:ascii="Arial" w:eastAsia="Arial" w:hAnsi="Arial" w:cs="Arial"/>
          <w:sz w:val="22"/>
          <w:szCs w:val="22"/>
        </w:rPr>
        <w:t xml:space="preserve"> paperwork or high‑level decisions, the daily emotional proximity to distressed or dysregulated children was exhausting.</w:t>
      </w:r>
    </w:p>
    <w:p w14:paraId="59AA111C" w14:textId="7AE2C90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Senior leaders, while describing clear stressors related to accountability and decision‑making, often articulated more deliberate boundary‑setting — though the very small sample requires caution.</w:t>
      </w:r>
    </w:p>
    <w:p w14:paraId="18E431BE" w14:textId="404F12E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Across roles, nature emerged as a resource that helped staff redistribute emotional weight. Teachers especially framed nature‑based coping as “essential,” “non‑negotiable,” or “the only thing that stops the day coming home with me.”</w:t>
      </w:r>
    </w:p>
    <w:p w14:paraId="7FC75558" w14:textId="2CABBCAB"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6. Methodological Reflexivity</w:t>
      </w:r>
    </w:p>
    <w:p w14:paraId="4A387321" w14:textId="629E9020"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semi‑structured interviews were particularly vital for raising these emotional and sensory themes. Their open format allowed participants to move fluidly between present experiences, childhood memories, workplace pressures, and embodied practices. This depth exemplifies the value of qualitative triangulation, which integrates multiple perspectives to build a more holistic interpretation of complex phenomena.</w:t>
      </w:r>
    </w:p>
    <w:p w14:paraId="78975549" w14:textId="555871B5" w:rsidR="70B7F7BB" w:rsidRDefault="1A9FE99B" w:rsidP="00F01C37">
      <w:pPr>
        <w:spacing w:before="210" w:after="210" w:line="360" w:lineRule="auto"/>
        <w:rPr>
          <w:rFonts w:ascii="Arial" w:eastAsia="Arial" w:hAnsi="Arial" w:cs="Arial"/>
          <w:sz w:val="22"/>
          <w:szCs w:val="22"/>
        </w:rPr>
      </w:pPr>
      <w:r w:rsidRPr="5ECF1BC0">
        <w:rPr>
          <w:rFonts w:ascii="Arial" w:eastAsia="Arial" w:hAnsi="Arial" w:cs="Arial"/>
          <w:sz w:val="22"/>
          <w:szCs w:val="22"/>
        </w:rPr>
        <w:t>Themes such as sensory noticing, blue‑space affinity, relational safety, and nature‑based coping were not fully anticipated at the outset; they emerged because the interview method allowed participants to guide the direction of meaning-making.</w:t>
      </w:r>
    </w:p>
    <w:p w14:paraId="39A9DFDD" w14:textId="3DB9BA3C"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Mini‑Summary of Study Three</w:t>
      </w:r>
    </w:p>
    <w:p w14:paraId="3F9F4DF8" w14:textId="391133C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Study Three demonstrates that nature, especially water and woodland environments, plays a vital role in staff wellbeing by supporting emotional regulation, sensory restoration, and reflective transition. Childhood experiences shape adult coping preferences, and relational safety enhances wellbeing in outdoor spaces. Role differences in emotional load are evident, </w:t>
      </w:r>
      <w:r w:rsidRPr="5ECF1BC0">
        <w:rPr>
          <w:rFonts w:ascii="Arial" w:eastAsia="Arial" w:hAnsi="Arial" w:cs="Arial"/>
          <w:sz w:val="22"/>
          <w:szCs w:val="22"/>
        </w:rPr>
        <w:lastRenderedPageBreak/>
        <w:t>with teachers carrying significant cumulative responsibility. Semi‑structured interviews were crucial in revealing these nuanced and emotionally rich insights.</w:t>
      </w:r>
    </w:p>
    <w:p w14:paraId="59811693" w14:textId="101DBBC1" w:rsidR="70B7F7BB" w:rsidRDefault="70B7F7BB" w:rsidP="5ECF1BC0">
      <w:pPr>
        <w:spacing w:after="0" w:line="360" w:lineRule="auto"/>
        <w:rPr>
          <w:rFonts w:ascii="Arial" w:eastAsia="Arial" w:hAnsi="Arial" w:cs="Arial"/>
          <w:sz w:val="22"/>
          <w:szCs w:val="22"/>
        </w:rPr>
      </w:pPr>
    </w:p>
    <w:p w14:paraId="011AE29F" w14:textId="6BAB0FA5" w:rsidR="70B7F7BB" w:rsidRDefault="06D8B9BB" w:rsidP="0BBEACF1">
      <w:pPr>
        <w:pStyle w:val="Heading1"/>
        <w:spacing w:before="281" w:after="281" w:line="360" w:lineRule="auto"/>
        <w:rPr>
          <w:rFonts w:ascii="Arial" w:eastAsia="Arial" w:hAnsi="Arial" w:cs="Arial"/>
          <w:color w:val="auto"/>
          <w:sz w:val="22"/>
          <w:szCs w:val="22"/>
        </w:rPr>
      </w:pPr>
      <w:r w:rsidRPr="0BBEACF1">
        <w:rPr>
          <w:rFonts w:ascii="Arial" w:eastAsia="Arial" w:hAnsi="Arial" w:cs="Arial"/>
          <w:b/>
          <w:bCs/>
          <w:color w:val="auto"/>
          <w:sz w:val="22"/>
          <w:szCs w:val="22"/>
        </w:rPr>
        <w:t>STUDY FOUR – WINTER WELLBEING</w:t>
      </w:r>
    </w:p>
    <w:p w14:paraId="04895096" w14:textId="05318D7A"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Overview</w:t>
      </w:r>
    </w:p>
    <w:p w14:paraId="1C8EFD0B" w14:textId="6B2AFE0E" w:rsidR="70B7F7BB" w:rsidRPr="00F01C37" w:rsidRDefault="60059935" w:rsidP="00F01C37">
      <w:pPr>
        <w:spacing w:before="210" w:after="210" w:line="360" w:lineRule="auto"/>
        <w:rPr>
          <w:rFonts w:ascii="Arial" w:eastAsia="Arial" w:hAnsi="Arial" w:cs="Arial"/>
          <w:color w:val="000000" w:themeColor="text1"/>
          <w:sz w:val="22"/>
          <w:szCs w:val="22"/>
        </w:rPr>
      </w:pPr>
      <w:r w:rsidRPr="3F29B626">
        <w:rPr>
          <w:rFonts w:ascii="Arial" w:eastAsia="Arial" w:hAnsi="Arial" w:cs="Arial"/>
          <w:color w:val="000000" w:themeColor="text1"/>
          <w:sz w:val="22"/>
          <w:szCs w:val="22"/>
        </w:rPr>
        <w:t>Study Four examines staff engagement with nature during the winter break, following a distributed two‑week “Winter Wellbeing Activity Calendar”. Forty staff completed the follow‑up questionnaire</w:t>
      </w:r>
      <w:r w:rsidR="010FCA4E" w:rsidRPr="3F29B626">
        <w:rPr>
          <w:rFonts w:ascii="Arial" w:eastAsia="Arial" w:hAnsi="Arial" w:cs="Arial"/>
          <w:color w:val="000000" w:themeColor="text1"/>
          <w:sz w:val="22"/>
          <w:szCs w:val="22"/>
        </w:rPr>
        <w:t xml:space="preserve"> (see Appendix E)</w:t>
      </w:r>
      <w:r w:rsidRPr="3F29B626">
        <w:rPr>
          <w:rFonts w:ascii="Arial" w:eastAsia="Arial" w:hAnsi="Arial" w:cs="Arial"/>
          <w:color w:val="000000" w:themeColor="text1"/>
          <w:sz w:val="22"/>
          <w:szCs w:val="22"/>
        </w:rPr>
        <w:t>, offering insight into how seasonal environments shape wellbeing practices. Winter allows for</w:t>
      </w:r>
      <w:r w:rsidR="1A7D9780" w:rsidRPr="3F29B626">
        <w:rPr>
          <w:rFonts w:ascii="Arial" w:eastAsia="Arial" w:hAnsi="Arial" w:cs="Arial"/>
          <w:color w:val="000000" w:themeColor="text1"/>
          <w:sz w:val="22"/>
          <w:szCs w:val="22"/>
        </w:rPr>
        <w:t xml:space="preserve"> both</w:t>
      </w:r>
      <w:r w:rsidRPr="3F29B626">
        <w:rPr>
          <w:rFonts w:ascii="Arial" w:eastAsia="Arial" w:hAnsi="Arial" w:cs="Arial"/>
          <w:color w:val="000000" w:themeColor="text1"/>
          <w:sz w:val="22"/>
          <w:szCs w:val="22"/>
        </w:rPr>
        <w:t xml:space="preserve"> opportunities</w:t>
      </w:r>
      <w:r w:rsidR="0EA7A78C" w:rsidRPr="3F29B626">
        <w:rPr>
          <w:rFonts w:ascii="Arial" w:eastAsia="Arial" w:hAnsi="Arial" w:cs="Arial"/>
          <w:color w:val="000000" w:themeColor="text1"/>
          <w:sz w:val="22"/>
          <w:szCs w:val="22"/>
        </w:rPr>
        <w:t xml:space="preserve"> (</w:t>
      </w:r>
      <w:r w:rsidRPr="3F29B626">
        <w:rPr>
          <w:rFonts w:ascii="Arial" w:eastAsia="Arial" w:hAnsi="Arial" w:cs="Arial"/>
          <w:color w:val="000000" w:themeColor="text1"/>
          <w:sz w:val="22"/>
          <w:szCs w:val="22"/>
        </w:rPr>
        <w:t>quiet, crisp sensory landscapes</w:t>
      </w:r>
      <w:r w:rsidR="361C4B02" w:rsidRPr="3F29B626">
        <w:rPr>
          <w:rFonts w:ascii="Arial" w:eastAsia="Arial" w:hAnsi="Arial" w:cs="Arial"/>
          <w:color w:val="000000" w:themeColor="text1"/>
          <w:sz w:val="22"/>
          <w:szCs w:val="22"/>
        </w:rPr>
        <w:t>)</w:t>
      </w:r>
      <w:r w:rsidRPr="3F29B626">
        <w:rPr>
          <w:rFonts w:ascii="Arial" w:eastAsia="Arial" w:hAnsi="Arial" w:cs="Arial"/>
          <w:color w:val="000000" w:themeColor="text1"/>
          <w:sz w:val="22"/>
          <w:szCs w:val="22"/>
        </w:rPr>
        <w:t xml:space="preserve">, and obstacles </w:t>
      </w:r>
      <w:r w:rsidR="731859F7" w:rsidRPr="3F29B626">
        <w:rPr>
          <w:rFonts w:ascii="Arial" w:eastAsia="Arial" w:hAnsi="Arial" w:cs="Arial"/>
          <w:color w:val="000000" w:themeColor="text1"/>
          <w:sz w:val="22"/>
          <w:szCs w:val="22"/>
        </w:rPr>
        <w:t>(</w:t>
      </w:r>
      <w:r w:rsidRPr="3F29B626">
        <w:rPr>
          <w:rFonts w:ascii="Arial" w:eastAsia="Arial" w:hAnsi="Arial" w:cs="Arial"/>
          <w:color w:val="000000" w:themeColor="text1"/>
          <w:sz w:val="22"/>
          <w:szCs w:val="22"/>
        </w:rPr>
        <w:t>weather, daylight, safety concerns</w:t>
      </w:r>
      <w:r w:rsidR="54426F4C" w:rsidRPr="3F29B626">
        <w:rPr>
          <w:rFonts w:ascii="Arial" w:eastAsia="Arial" w:hAnsi="Arial" w:cs="Arial"/>
          <w:color w:val="000000" w:themeColor="text1"/>
          <w:sz w:val="22"/>
          <w:szCs w:val="22"/>
        </w:rPr>
        <w:t>)</w:t>
      </w:r>
      <w:r w:rsidRPr="3F29B626">
        <w:rPr>
          <w:rFonts w:ascii="Arial" w:eastAsia="Arial" w:hAnsi="Arial" w:cs="Arial"/>
          <w:color w:val="000000" w:themeColor="text1"/>
          <w:sz w:val="22"/>
          <w:szCs w:val="22"/>
        </w:rPr>
        <w:t xml:space="preserve">. Understanding these patterns helps contextualise when and how staff can realistically activate nature‑based recovery or implement proactive nature-based approaches to wellbeing. </w:t>
      </w:r>
    </w:p>
    <w:p w14:paraId="2442C561" w14:textId="75B608CC"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1. Engagement Patterns</w:t>
      </w:r>
    </w:p>
    <w:p w14:paraId="56D38731" w14:textId="2E306AA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Engagement in natural environments during the winter break varied across roles and personal circumstances. Teaching assistants tended to engage most consistently; teachers and senior leaders showed more polarisation, with some engaging daily and others not at all due to workload carryover, family commitments, or mobility and weather concerns.</w:t>
      </w:r>
    </w:p>
    <w:p w14:paraId="7D53AEDA" w14:textId="18DBE249"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One SLT member explained, </w:t>
      </w:r>
      <w:r w:rsidRPr="5ECF1BC0">
        <w:rPr>
          <w:rFonts w:ascii="Arial" w:eastAsia="Arial" w:hAnsi="Arial" w:cs="Arial"/>
          <w:i/>
          <w:iCs/>
          <w:sz w:val="22"/>
          <w:szCs w:val="22"/>
        </w:rPr>
        <w:t>“I love walking, but icy paths make me nervous — so I did less this year.”</w:t>
      </w:r>
    </w:p>
    <w:p w14:paraId="6B684EB8" w14:textId="6EB7E962"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Winter conditions shaped not only whether staff chose to go outdoors, but also which environments they felt confident accessing.  These seasonal shifts illustrated how environmental factors influence everyday wellbeing choices and why it is helpful to look at behaviours across different contexts, and how external factors and changing conditions can affect people’s decisions.</w:t>
      </w:r>
    </w:p>
    <w:p w14:paraId="317FE4BE" w14:textId="61082B75"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2. Sensory Noticing and Presence</w:t>
      </w:r>
    </w:p>
    <w:p w14:paraId="24D15FCA" w14:textId="0F44ADA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A dominant theme was sensory noticing - the colours, sounds, textures, and air quality of winter landscapes. Staff described noticing:</w:t>
      </w:r>
    </w:p>
    <w:p w14:paraId="1F320077" w14:textId="640F4BAB" w:rsidR="70B7F7BB" w:rsidRDefault="1A9FE99B" w:rsidP="5ECF1BC0">
      <w:pPr>
        <w:pStyle w:val="ListParagraph"/>
        <w:numPr>
          <w:ilvl w:val="0"/>
          <w:numId w:val="6"/>
        </w:numPr>
        <w:spacing w:after="0" w:line="360" w:lineRule="auto"/>
        <w:rPr>
          <w:rFonts w:ascii="Arial" w:eastAsia="Arial" w:hAnsi="Arial" w:cs="Arial"/>
          <w:sz w:val="22"/>
          <w:szCs w:val="22"/>
        </w:rPr>
      </w:pPr>
      <w:r w:rsidRPr="5ECF1BC0">
        <w:rPr>
          <w:rFonts w:ascii="Arial" w:eastAsia="Arial" w:hAnsi="Arial" w:cs="Arial"/>
          <w:sz w:val="22"/>
          <w:szCs w:val="22"/>
        </w:rPr>
        <w:t>“the crisp air and frost making everything feel fresh”</w:t>
      </w:r>
    </w:p>
    <w:p w14:paraId="777F8B1C" w14:textId="072F22F1" w:rsidR="70B7F7BB" w:rsidRDefault="1A9FE99B" w:rsidP="5ECF1BC0">
      <w:pPr>
        <w:pStyle w:val="ListParagraph"/>
        <w:numPr>
          <w:ilvl w:val="0"/>
          <w:numId w:val="6"/>
        </w:numPr>
        <w:spacing w:after="0" w:line="360" w:lineRule="auto"/>
        <w:rPr>
          <w:rFonts w:ascii="Arial" w:eastAsia="Arial" w:hAnsi="Arial" w:cs="Arial"/>
          <w:sz w:val="22"/>
          <w:szCs w:val="22"/>
        </w:rPr>
      </w:pPr>
      <w:r w:rsidRPr="5ECF1BC0">
        <w:rPr>
          <w:rFonts w:ascii="Arial" w:eastAsia="Arial" w:hAnsi="Arial" w:cs="Arial"/>
          <w:sz w:val="22"/>
          <w:szCs w:val="22"/>
        </w:rPr>
        <w:t>“the quiet of winter birds”</w:t>
      </w:r>
    </w:p>
    <w:p w14:paraId="14EA0549" w14:textId="1938D31E" w:rsidR="70B7F7BB" w:rsidRDefault="1A9FE99B" w:rsidP="5ECF1BC0">
      <w:pPr>
        <w:pStyle w:val="ListParagraph"/>
        <w:numPr>
          <w:ilvl w:val="0"/>
          <w:numId w:val="6"/>
        </w:numPr>
        <w:spacing w:after="0" w:line="360" w:lineRule="auto"/>
        <w:rPr>
          <w:rFonts w:ascii="Arial" w:eastAsia="Arial" w:hAnsi="Arial" w:cs="Arial"/>
          <w:sz w:val="22"/>
          <w:szCs w:val="22"/>
        </w:rPr>
      </w:pPr>
      <w:r w:rsidRPr="5ECF1BC0">
        <w:rPr>
          <w:rFonts w:ascii="Arial" w:eastAsia="Arial" w:hAnsi="Arial" w:cs="Arial"/>
          <w:sz w:val="22"/>
          <w:szCs w:val="22"/>
        </w:rPr>
        <w:lastRenderedPageBreak/>
        <w:t>“the sharpness of morning light”</w:t>
      </w:r>
    </w:p>
    <w:p w14:paraId="43DB594F" w14:textId="6DAC39ED"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who reported greater sensory awareness also described stronger emotional benefits. Winter environments appeared to heighten clarity and support attention away from mental clutter and rumination.</w:t>
      </w:r>
    </w:p>
    <w:p w14:paraId="38B62FF8" w14:textId="4B0D07C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Sensory noticing acted as a grounding practice, helping staff inhabit the present moment and distance themselves from accumulated term‑time stress.</w:t>
      </w:r>
    </w:p>
    <w:p w14:paraId="249A9768" w14:textId="58BCA6AF"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3. Emotional Outcomes</w:t>
      </w:r>
    </w:p>
    <w:p w14:paraId="02041581" w14:textId="091704B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Across all levels of engagement, whether it be daily, frequent, or occasional, staff reported emotional uplift, feelings of calm, clearer thinking, and psychological reset. One teacher wrote, </w:t>
      </w:r>
      <w:r w:rsidRPr="5ECF1BC0">
        <w:rPr>
          <w:rFonts w:ascii="Arial" w:eastAsia="Arial" w:hAnsi="Arial" w:cs="Arial"/>
          <w:i/>
          <w:iCs/>
          <w:sz w:val="22"/>
          <w:szCs w:val="22"/>
        </w:rPr>
        <w:t>“Being outdoors helped me draw a line under the term.  I could breathe again.”</w:t>
      </w:r>
    </w:p>
    <w:p w14:paraId="0C9D752D" w14:textId="427C41D7"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These accounts demonstrate that even brief or infrequent winter nature engagement can support psychological recovery. Staff described shifts from “tightness” to “release,” from “noise” to “quiet,” from “cluttered thoughts” to “space.”</w:t>
      </w:r>
    </w:p>
    <w:p w14:paraId="28AFF710" w14:textId="512D6B53" w:rsidR="70B7F7BB" w:rsidRDefault="1A9FE99B" w:rsidP="00F01C37">
      <w:pPr>
        <w:spacing w:before="210" w:after="210" w:line="360" w:lineRule="auto"/>
        <w:rPr>
          <w:rFonts w:ascii="Arial" w:eastAsia="Arial" w:hAnsi="Arial" w:cs="Arial"/>
          <w:sz w:val="22"/>
          <w:szCs w:val="22"/>
        </w:rPr>
      </w:pPr>
      <w:r w:rsidRPr="5ECF1BC0">
        <w:rPr>
          <w:rFonts w:ascii="Arial" w:eastAsia="Arial" w:hAnsi="Arial" w:cs="Arial"/>
          <w:sz w:val="22"/>
          <w:szCs w:val="22"/>
        </w:rPr>
        <w:t>Several staff also described winter blue‑space experiences, noting that the sound of waves or flowing rivers felt particularly regulating during this season.</w:t>
      </w:r>
    </w:p>
    <w:p w14:paraId="6AB165E1" w14:textId="14E87407"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4. Blue Space Experiences</w:t>
      </w:r>
    </w:p>
    <w:p w14:paraId="180A4D2A" w14:textId="1959ACE6"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Although the questionnaire did not explicitly prompt blue‑space discussion, several participants described visiting beaches, rivers, or lakes. Comments such as </w:t>
      </w:r>
      <w:r w:rsidRPr="5ECF1BC0">
        <w:rPr>
          <w:rFonts w:ascii="Arial" w:eastAsia="Arial" w:hAnsi="Arial" w:cs="Arial"/>
          <w:i/>
          <w:iCs/>
          <w:sz w:val="22"/>
          <w:szCs w:val="22"/>
        </w:rPr>
        <w:t>“The waves clear my head instantly”</w:t>
      </w:r>
      <w:r w:rsidRPr="5ECF1BC0">
        <w:rPr>
          <w:rFonts w:ascii="Arial" w:eastAsia="Arial" w:hAnsi="Arial" w:cs="Arial"/>
          <w:sz w:val="22"/>
          <w:szCs w:val="22"/>
        </w:rPr>
        <w:t xml:space="preserve"> highlight the strong restorative effect of water, even in colder months.</w:t>
      </w:r>
    </w:p>
    <w:p w14:paraId="66D7B8D0" w14:textId="62A9D201"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For some, winter blue spaces were preferred because they were quieter, emptier, and felt “cleaner” or “more spacious.” These reflections align with broader patterns in Studies Three and Five: water carries symbolic clarity and provides strong sensory cues that support emotional release.</w:t>
      </w:r>
    </w:p>
    <w:p w14:paraId="271F4763" w14:textId="3B4767ED"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5. Social Context and Interpersonal Wellbeing</w:t>
      </w:r>
    </w:p>
    <w:p w14:paraId="3A1E607E" w14:textId="206E987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described enhanced wellbeing when engaging in winter walks with colleagues, family, or pets. Social connection appeared to amplify the emotional benefits of natural environments, helping staff feel more grounded, less isolated, and more positive.</w:t>
      </w:r>
    </w:p>
    <w:p w14:paraId="3C6A0955" w14:textId="0E4519A2"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lastRenderedPageBreak/>
        <w:t xml:space="preserve">One TA shared, </w:t>
      </w:r>
      <w:r w:rsidRPr="5ECF1BC0">
        <w:rPr>
          <w:rFonts w:ascii="Arial" w:eastAsia="Arial" w:hAnsi="Arial" w:cs="Arial"/>
          <w:i/>
          <w:iCs/>
          <w:sz w:val="22"/>
          <w:szCs w:val="22"/>
        </w:rPr>
        <w:t>“Walking with colleagues felt different to seeing them in school.  Everyone’s more relaxed outside.”</w:t>
      </w:r>
    </w:p>
    <w:p w14:paraId="727AD90B" w14:textId="2EDEE81C" w:rsidR="70B7F7BB" w:rsidRDefault="1A9FE99B" w:rsidP="00F01C37">
      <w:pPr>
        <w:spacing w:before="210" w:after="210" w:line="360" w:lineRule="auto"/>
        <w:rPr>
          <w:rFonts w:ascii="Arial" w:eastAsia="Arial" w:hAnsi="Arial" w:cs="Arial"/>
          <w:sz w:val="22"/>
          <w:szCs w:val="22"/>
        </w:rPr>
      </w:pPr>
      <w:r w:rsidRPr="5ECF1BC0">
        <w:rPr>
          <w:rFonts w:ascii="Arial" w:eastAsia="Arial" w:hAnsi="Arial" w:cs="Arial"/>
          <w:sz w:val="22"/>
          <w:szCs w:val="22"/>
        </w:rPr>
        <w:t>Outdoor environments offered low‑pressure opportunities for connection compared with busy indoor settings. The relational dimension was especially important for staff who reported loneliness, exhaustion, or emotional carryover at the end of term.</w:t>
      </w:r>
    </w:p>
    <w:p w14:paraId="43E40260" w14:textId="5504D1F8"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6. Physical and Sensory Restoration</w:t>
      </w:r>
    </w:p>
    <w:p w14:paraId="4B83940F" w14:textId="4B98FC8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Many staff described physical restoration, including improved sleep, reduced tension, increased energy, and a sense of bodily “lightness.” Sensory elements, such as cool air, winter light, atmospheric quiet, were repeatedly linked to these restorative effects.</w:t>
      </w:r>
    </w:p>
    <w:p w14:paraId="41151554" w14:textId="69584265" w:rsidR="70B7F7BB" w:rsidRDefault="1A9FE99B" w:rsidP="00F01C37">
      <w:pPr>
        <w:spacing w:before="210" w:after="210" w:line="360" w:lineRule="auto"/>
        <w:rPr>
          <w:rFonts w:ascii="Arial" w:eastAsia="Arial" w:hAnsi="Arial" w:cs="Arial"/>
          <w:sz w:val="22"/>
          <w:szCs w:val="22"/>
        </w:rPr>
      </w:pPr>
      <w:r w:rsidRPr="5ECF1BC0">
        <w:rPr>
          <w:rFonts w:ascii="Arial" w:eastAsia="Arial" w:hAnsi="Arial" w:cs="Arial"/>
          <w:sz w:val="22"/>
          <w:szCs w:val="22"/>
        </w:rPr>
        <w:t>Engagement with winter nature appeared to support embodied recovery, not only emotional or cognitive reset. Participants described their bodies relaxing, breathing deepening, and tension dissipating during or after time outdoors.</w:t>
      </w:r>
    </w:p>
    <w:p w14:paraId="5D66DF4C" w14:textId="2BC19D4E"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7. Barriers to Engagement</w:t>
      </w:r>
    </w:p>
    <w:p w14:paraId="7184DEB5" w14:textId="7FC33BC8"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Despite the benefits, staff identified several barriers:</w:t>
      </w:r>
    </w:p>
    <w:p w14:paraId="1C3F8300" w14:textId="75B09D07" w:rsidR="70B7F7BB" w:rsidRDefault="1A9FE99B" w:rsidP="5ECF1BC0">
      <w:pPr>
        <w:pStyle w:val="ListParagraph"/>
        <w:numPr>
          <w:ilvl w:val="0"/>
          <w:numId w:val="2"/>
        </w:numPr>
        <w:spacing w:after="0" w:line="360" w:lineRule="auto"/>
        <w:rPr>
          <w:rFonts w:ascii="Arial" w:eastAsia="Arial" w:hAnsi="Arial" w:cs="Arial"/>
          <w:sz w:val="22"/>
          <w:szCs w:val="22"/>
        </w:rPr>
      </w:pPr>
      <w:r w:rsidRPr="5ECF1BC0">
        <w:rPr>
          <w:rFonts w:ascii="Arial" w:eastAsia="Arial" w:hAnsi="Arial" w:cs="Arial"/>
          <w:sz w:val="22"/>
          <w:szCs w:val="22"/>
        </w:rPr>
        <w:t>weather and icy paths</w:t>
      </w:r>
    </w:p>
    <w:p w14:paraId="419E6B28" w14:textId="130DABB4" w:rsidR="70B7F7BB" w:rsidRDefault="1A9FE99B" w:rsidP="5ECF1BC0">
      <w:pPr>
        <w:pStyle w:val="ListParagraph"/>
        <w:numPr>
          <w:ilvl w:val="0"/>
          <w:numId w:val="2"/>
        </w:numPr>
        <w:spacing w:after="0" w:line="360" w:lineRule="auto"/>
        <w:rPr>
          <w:rFonts w:ascii="Arial" w:eastAsia="Arial" w:hAnsi="Arial" w:cs="Arial"/>
          <w:sz w:val="22"/>
          <w:szCs w:val="22"/>
        </w:rPr>
      </w:pPr>
      <w:r w:rsidRPr="5ECF1BC0">
        <w:rPr>
          <w:rFonts w:ascii="Arial" w:eastAsia="Arial" w:hAnsi="Arial" w:cs="Arial"/>
          <w:sz w:val="22"/>
          <w:szCs w:val="22"/>
        </w:rPr>
        <w:t>reduced daylight hours</w:t>
      </w:r>
    </w:p>
    <w:p w14:paraId="2B044C25" w14:textId="2A392A63" w:rsidR="70B7F7BB" w:rsidRDefault="1A9FE99B" w:rsidP="5ECF1BC0">
      <w:pPr>
        <w:pStyle w:val="ListParagraph"/>
        <w:numPr>
          <w:ilvl w:val="0"/>
          <w:numId w:val="2"/>
        </w:numPr>
        <w:spacing w:after="0" w:line="360" w:lineRule="auto"/>
        <w:rPr>
          <w:rFonts w:ascii="Arial" w:eastAsia="Arial" w:hAnsi="Arial" w:cs="Arial"/>
          <w:sz w:val="22"/>
          <w:szCs w:val="22"/>
        </w:rPr>
      </w:pPr>
      <w:r w:rsidRPr="5ECF1BC0">
        <w:rPr>
          <w:rFonts w:ascii="Arial" w:eastAsia="Arial" w:hAnsi="Arial" w:cs="Arial"/>
          <w:sz w:val="22"/>
          <w:szCs w:val="22"/>
        </w:rPr>
        <w:t>time constraints</w:t>
      </w:r>
    </w:p>
    <w:p w14:paraId="57FA3400" w14:textId="62A1DE8A" w:rsidR="70B7F7BB" w:rsidRDefault="1A9FE99B" w:rsidP="5ECF1BC0">
      <w:pPr>
        <w:pStyle w:val="ListParagraph"/>
        <w:numPr>
          <w:ilvl w:val="0"/>
          <w:numId w:val="2"/>
        </w:numPr>
        <w:spacing w:after="0" w:line="360" w:lineRule="auto"/>
        <w:rPr>
          <w:rFonts w:ascii="Arial" w:eastAsia="Arial" w:hAnsi="Arial" w:cs="Arial"/>
          <w:sz w:val="22"/>
          <w:szCs w:val="22"/>
        </w:rPr>
      </w:pPr>
      <w:r w:rsidRPr="5ECF1BC0">
        <w:rPr>
          <w:rFonts w:ascii="Arial" w:eastAsia="Arial" w:hAnsi="Arial" w:cs="Arial"/>
          <w:sz w:val="22"/>
          <w:szCs w:val="22"/>
        </w:rPr>
        <w:t>caring responsibilities</w:t>
      </w:r>
    </w:p>
    <w:p w14:paraId="7D9FF1E8" w14:textId="4D904048" w:rsidR="70B7F7BB" w:rsidRDefault="1A9FE99B" w:rsidP="5ECF1BC0">
      <w:pPr>
        <w:pStyle w:val="ListParagraph"/>
        <w:numPr>
          <w:ilvl w:val="0"/>
          <w:numId w:val="2"/>
        </w:numPr>
        <w:spacing w:after="0" w:line="360" w:lineRule="auto"/>
        <w:rPr>
          <w:rFonts w:ascii="Arial" w:eastAsia="Arial" w:hAnsi="Arial" w:cs="Arial"/>
          <w:sz w:val="22"/>
          <w:szCs w:val="22"/>
        </w:rPr>
      </w:pPr>
      <w:r w:rsidRPr="5ECF1BC0">
        <w:rPr>
          <w:rFonts w:ascii="Arial" w:eastAsia="Arial" w:hAnsi="Arial" w:cs="Arial"/>
          <w:sz w:val="22"/>
          <w:szCs w:val="22"/>
        </w:rPr>
        <w:t>mobility challenges</w:t>
      </w:r>
    </w:p>
    <w:p w14:paraId="2875EAF9" w14:textId="0ACC36F5" w:rsidR="70B7F7BB" w:rsidRDefault="1A9FE99B" w:rsidP="5ECF1BC0">
      <w:pPr>
        <w:pStyle w:val="ListParagraph"/>
        <w:numPr>
          <w:ilvl w:val="0"/>
          <w:numId w:val="2"/>
        </w:numPr>
        <w:spacing w:after="0" w:line="360" w:lineRule="auto"/>
        <w:rPr>
          <w:rFonts w:ascii="Arial" w:eastAsia="Arial" w:hAnsi="Arial" w:cs="Arial"/>
          <w:sz w:val="22"/>
          <w:szCs w:val="22"/>
        </w:rPr>
      </w:pPr>
      <w:r w:rsidRPr="5ECF1BC0">
        <w:rPr>
          <w:rFonts w:ascii="Arial" w:eastAsia="Arial" w:hAnsi="Arial" w:cs="Arial"/>
          <w:sz w:val="22"/>
          <w:szCs w:val="22"/>
        </w:rPr>
        <w:t>emotional exhaustion after term</w:t>
      </w:r>
    </w:p>
    <w:p w14:paraId="6CDB11BE" w14:textId="6FC01A5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Sadly, one participant said, </w:t>
      </w:r>
      <w:r w:rsidRPr="5ECF1BC0">
        <w:rPr>
          <w:rFonts w:ascii="Arial" w:eastAsia="Arial" w:hAnsi="Arial" w:cs="Arial"/>
          <w:i/>
          <w:iCs/>
          <w:sz w:val="22"/>
          <w:szCs w:val="22"/>
        </w:rPr>
        <w:t>“I wanted to go out more, but I felt too drained after the term.”</w:t>
      </w:r>
    </w:p>
    <w:p w14:paraId="29E6D77D" w14:textId="47D0300E"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These barriers point to structural and seasonal limitations, reinforcing that wellbeing activities must be accessible, low‑demand, and adaptable to individual situations.</w:t>
      </w:r>
    </w:p>
    <w:p w14:paraId="508F2DC4" w14:textId="0B9A72D9"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Mini‑Summary of Study Four</w:t>
      </w:r>
    </w:p>
    <w:p w14:paraId="3E2C0BAF" w14:textId="2505283A"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Study Four shows that winter nature engagement, however brief, supports emotional, sensory, and physical restoration. Staff valued quietness, crisp air, blue‑space experiences, and opportunities for connection. Seasonal barriers remind us that wellbeing opportunities must be flexible and realistic, especially in demanding school periods.</w:t>
      </w:r>
    </w:p>
    <w:p w14:paraId="254A424A" w14:textId="198AC55B" w:rsidR="70B7F7BB" w:rsidRDefault="28D0E01C" w:rsidP="3F29B626">
      <w:pPr>
        <w:pStyle w:val="Heading1"/>
        <w:spacing w:before="261" w:after="261" w:line="360" w:lineRule="auto"/>
        <w:rPr>
          <w:rFonts w:ascii="Arial" w:eastAsia="Arial" w:hAnsi="Arial" w:cs="Arial"/>
          <w:color w:val="auto"/>
          <w:sz w:val="22"/>
          <w:szCs w:val="22"/>
        </w:rPr>
      </w:pPr>
      <w:r w:rsidRPr="3F29B626">
        <w:rPr>
          <w:rFonts w:ascii="Arial" w:eastAsia="Arial" w:hAnsi="Arial" w:cs="Arial"/>
          <w:b/>
          <w:bCs/>
          <w:color w:val="auto"/>
          <w:sz w:val="22"/>
          <w:szCs w:val="22"/>
        </w:rPr>
        <w:lastRenderedPageBreak/>
        <w:t xml:space="preserve">STUDY FIVE AND STUDY SIX </w:t>
      </w:r>
      <w:r w:rsidRPr="3F29B626">
        <w:rPr>
          <w:rFonts w:asciiTheme="minorHAnsi" w:eastAsiaTheme="minorEastAsia" w:hAnsiTheme="minorHAnsi" w:cstheme="minorBidi"/>
          <w:b/>
          <w:bCs/>
          <w:color w:val="auto"/>
          <w:sz w:val="22"/>
          <w:szCs w:val="22"/>
        </w:rPr>
        <w:t>–</w:t>
      </w:r>
      <w:r w:rsidR="3BCE48C8" w:rsidRPr="3F29B626">
        <w:rPr>
          <w:rFonts w:asciiTheme="minorHAnsi" w:eastAsiaTheme="minorEastAsia" w:hAnsiTheme="minorHAnsi" w:cstheme="minorBidi"/>
          <w:b/>
          <w:bCs/>
          <w:color w:val="auto"/>
          <w:sz w:val="22"/>
          <w:szCs w:val="22"/>
        </w:rPr>
        <w:t xml:space="preserve"> </w:t>
      </w:r>
      <w:r w:rsidR="6B55C71B" w:rsidRPr="3F29B626">
        <w:rPr>
          <w:rFonts w:asciiTheme="minorHAnsi" w:eastAsiaTheme="minorEastAsia" w:hAnsiTheme="minorHAnsi" w:cstheme="minorBidi"/>
          <w:b/>
          <w:bCs/>
          <w:color w:val="000000" w:themeColor="text1"/>
          <w:sz w:val="22"/>
          <w:szCs w:val="22"/>
        </w:rPr>
        <w:t>WEEKLY WELLBEING WALKS AND POST STUDY QUESTIONNAIRES</w:t>
      </w:r>
      <w:r w:rsidR="6B55C71B" w:rsidRPr="3F29B626">
        <w:rPr>
          <w:rFonts w:asciiTheme="minorHAnsi" w:eastAsiaTheme="minorEastAsia" w:hAnsiTheme="minorHAnsi" w:cstheme="minorBidi"/>
          <w:b/>
          <w:bCs/>
          <w:color w:val="auto"/>
          <w:sz w:val="22"/>
          <w:szCs w:val="22"/>
        </w:rPr>
        <w:t xml:space="preserve"> - </w:t>
      </w:r>
      <w:r w:rsidRPr="3F29B626">
        <w:rPr>
          <w:rFonts w:ascii="Arial" w:eastAsia="Arial" w:hAnsi="Arial" w:cs="Arial"/>
          <w:b/>
          <w:bCs/>
          <w:color w:val="auto"/>
          <w:sz w:val="22"/>
          <w:szCs w:val="22"/>
        </w:rPr>
        <w:t>AN INTEGRATED NARRATIVE</w:t>
      </w:r>
    </w:p>
    <w:p w14:paraId="06CEB1BB" w14:textId="062A11B6" w:rsidR="70B7F7BB" w:rsidRDefault="60059935" w:rsidP="3F29B626">
      <w:pPr>
        <w:spacing w:after="0" w:line="360" w:lineRule="auto"/>
        <w:rPr>
          <w:rFonts w:ascii="Arial" w:eastAsia="Arial" w:hAnsi="Arial" w:cs="Arial"/>
          <w:sz w:val="22"/>
          <w:szCs w:val="22"/>
        </w:rPr>
      </w:pPr>
      <w:r w:rsidRPr="3F29B626">
        <w:rPr>
          <w:rFonts w:ascii="Arial" w:eastAsia="Arial" w:hAnsi="Arial" w:cs="Arial"/>
          <w:sz w:val="22"/>
          <w:szCs w:val="22"/>
        </w:rPr>
        <w:t>While Studies One to Four mapped the broader landscape of stress, resilience, nature engagement and seasonal rhythms across the school year, an integrative synthesis of Studies Five and Six</w:t>
      </w:r>
      <w:r w:rsidR="4D52EFF1" w:rsidRPr="3F29B626">
        <w:rPr>
          <w:rFonts w:ascii="Arial" w:eastAsia="Arial" w:hAnsi="Arial" w:cs="Arial"/>
          <w:sz w:val="22"/>
          <w:szCs w:val="22"/>
        </w:rPr>
        <w:t xml:space="preserve"> </w:t>
      </w:r>
      <w:r w:rsidR="4D52EFF1" w:rsidRPr="3F29B626">
        <w:rPr>
          <w:rFonts w:ascii="Segoe UI" w:eastAsia="Segoe UI" w:hAnsi="Segoe UI" w:cs="Segoe UI"/>
          <w:sz w:val="21"/>
          <w:szCs w:val="21"/>
        </w:rPr>
        <w:t xml:space="preserve">draws on </w:t>
      </w:r>
      <w:r w:rsidR="4D52EFF1" w:rsidRPr="3F29B626">
        <w:rPr>
          <w:sz w:val="22"/>
          <w:szCs w:val="22"/>
        </w:rPr>
        <w:t xml:space="preserve">post‑study questionnaires </w:t>
      </w:r>
      <w:r w:rsidR="5035F67E" w:rsidRPr="3F29B626">
        <w:rPr>
          <w:sz w:val="22"/>
          <w:szCs w:val="22"/>
        </w:rPr>
        <w:t xml:space="preserve">(see Appendices F,G and H) </w:t>
      </w:r>
      <w:r w:rsidR="4D52EFF1" w:rsidRPr="3F29B626">
        <w:rPr>
          <w:sz w:val="22"/>
          <w:szCs w:val="22"/>
        </w:rPr>
        <w:t>and reflective responses to</w:t>
      </w:r>
      <w:r w:rsidRPr="3F29B626">
        <w:rPr>
          <w:sz w:val="22"/>
          <w:szCs w:val="22"/>
        </w:rPr>
        <w:t xml:space="preserve"> illuminate what happens when staff step into spaces in</w:t>
      </w:r>
      <w:r w:rsidRPr="3F29B626">
        <w:rPr>
          <w:rFonts w:ascii="Arial" w:eastAsia="Arial" w:hAnsi="Arial" w:cs="Arial"/>
          <w:sz w:val="22"/>
          <w:szCs w:val="22"/>
        </w:rPr>
        <w:t>tentionally created for wellbeing: weekly nature‑based walks, reflective dialogue, or the combination of both. These studies reveal not only the benefits of these practices but also the emotional differences, social dynamics and personal shifts they supported. In doing so, they bring the Findings chapter full circle, from broad patterns to lived experience, and finally to integrated meaning-making.</w:t>
      </w:r>
    </w:p>
    <w:p w14:paraId="3ECB76F4" w14:textId="0D91912F"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b/>
          <w:bCs/>
          <w:sz w:val="22"/>
          <w:szCs w:val="22"/>
        </w:rPr>
        <w:t xml:space="preserve">1. The Walks as Lived Experience Rather Than </w:t>
      </w:r>
      <w:r w:rsidR="00E43187">
        <w:rPr>
          <w:rFonts w:ascii="Arial" w:eastAsia="Arial" w:hAnsi="Arial" w:cs="Arial"/>
          <w:b/>
          <w:bCs/>
          <w:sz w:val="22"/>
          <w:szCs w:val="22"/>
        </w:rPr>
        <w:t xml:space="preserve">an </w:t>
      </w:r>
      <w:r w:rsidRPr="5ECF1BC0">
        <w:rPr>
          <w:rFonts w:ascii="Arial" w:eastAsia="Arial" w:hAnsi="Arial" w:cs="Arial"/>
          <w:b/>
          <w:bCs/>
          <w:sz w:val="22"/>
          <w:szCs w:val="22"/>
        </w:rPr>
        <w:t>Intervention</w:t>
      </w:r>
    </w:p>
    <w:p w14:paraId="258319A0" w14:textId="1DA2FC5D"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Across both datasets, the wellbeing walks were not experienced as a programme or a health activity, but as a small pocket of humanity carved into the school week. Participants repeatedly described the walks as a threshold space: a crossing point between the compressed emotional demands of the school day and the quieter, more spacious rhythm of the outdoors. What made these walks distinctive was not their structure but their informality, the ease with which colleagues slipped into conversation, the way nature softened the edges of difficult days, and the sense of being temporarily </w:t>
      </w:r>
      <w:r w:rsidR="5945367B" w:rsidRPr="5ECF1BC0">
        <w:rPr>
          <w:rFonts w:ascii="Arial" w:eastAsia="Arial" w:hAnsi="Arial" w:cs="Arial"/>
          <w:sz w:val="22"/>
          <w:szCs w:val="22"/>
        </w:rPr>
        <w:t xml:space="preserve">relieved </w:t>
      </w:r>
      <w:r w:rsidRPr="5ECF1BC0">
        <w:rPr>
          <w:rFonts w:ascii="Arial" w:eastAsia="Arial" w:hAnsi="Arial" w:cs="Arial"/>
          <w:sz w:val="22"/>
          <w:szCs w:val="22"/>
        </w:rPr>
        <w:t>from responsibility.</w:t>
      </w:r>
    </w:p>
    <w:p w14:paraId="5372BFFE" w14:textId="6FD3EC21"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For many, the walks disrupted the automatic carry‑over of stress into the evening. Staff described how sound, movement and sensory noticing created a “letting go” effect that was less about solving problems and more about releasing them. This embodied transition was often described in micro‑shifts: breath deepening, shoulders lowering, thoughts slowing, mood lightening. These accounts reflect the lived experience of physiological decompression rather than intellectual reflection - a shift felt before it was thought about.</w:t>
      </w:r>
    </w:p>
    <w:p w14:paraId="1E8D0750" w14:textId="4CD629F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physical environment mattered: woods after rain, shifting winter light, the smell of soil or coastline, the muted rustle of trees.  Staff drew on these sensory anchors to describe the experience of “coming back to myself.” These descriptions framed nature as an active participant in their wellbeing rather than a passive backdrop.</w:t>
      </w:r>
    </w:p>
    <w:p w14:paraId="55976BAE" w14:textId="64714AB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What is particularly striking is the ordinariness of the walks. Participants did not describe transformative epiphanies; instead, they emphasised relief, steadiness, companionable silence, and the emotional permission to arrive exactly as they were. These everyday qualities appeared to make the walks sustainable and emotionally safe.</w:t>
      </w:r>
    </w:p>
    <w:p w14:paraId="392A1AF5" w14:textId="7C4B9136"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lastRenderedPageBreak/>
        <w:t>2. Social Connection as a Gentle, Emergent Process</w:t>
      </w:r>
    </w:p>
    <w:p w14:paraId="5E00ADB0" w14:textId="0FE1CDCF"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Both studies highlight the subtle social dynamics of the walks. The shifting of social positions, no desks, no hierarchy, no time‑pressured agendas, allowed participants to meet as people rather than roles. Side‑by‑side walking facilitated conversations that were easier, lighter and more honest. Staff who rarely spoke during the busy school day found themselves learning about one another’s families, childhoods, humour and interests.</w:t>
      </w:r>
    </w:p>
    <w:p w14:paraId="2E472EBD" w14:textId="122B383B"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Participants repeatedly described the relief of social interaction without performance: connection without needing to be ‘on,’ humour without forced positivity, companionship without emotional labour. Conversations had a natural rhythm, drifting between playful, mundane, reflective and supportive. </w:t>
      </w:r>
    </w:p>
    <w:p w14:paraId="7B6800D0" w14:textId="39165CA1" w:rsidR="70B7F7BB" w:rsidRDefault="1A9FE99B" w:rsidP="00E43187">
      <w:pPr>
        <w:spacing w:before="210" w:after="210" w:line="360" w:lineRule="auto"/>
        <w:rPr>
          <w:rFonts w:ascii="Arial" w:eastAsia="Arial" w:hAnsi="Arial" w:cs="Arial"/>
          <w:sz w:val="22"/>
          <w:szCs w:val="22"/>
        </w:rPr>
      </w:pPr>
      <w:r w:rsidRPr="5ECF1BC0">
        <w:rPr>
          <w:rFonts w:ascii="Arial" w:eastAsia="Arial" w:hAnsi="Arial" w:cs="Arial"/>
          <w:sz w:val="22"/>
          <w:szCs w:val="22"/>
        </w:rPr>
        <w:t>One notable pattern was the blending of work talk and non‑work talk. Staff often avoided heavy school‑related topics, but when they did arise, they were held differently, with more perspective, more spaciousness, and less emotional charge. The setting enabled thinking‑through rather than worrying‑through. This testament to the interplay of environment and cognition shows how the natural world shaped not only emotion but also the tone and texture of professional reflection.</w:t>
      </w:r>
    </w:p>
    <w:p w14:paraId="6FE05328" w14:textId="54B331B8"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3. Reflective Dialogue as a Parallel Wellbeing Mechanism</w:t>
      </w:r>
    </w:p>
    <w:p w14:paraId="06967063" w14:textId="447E7C46"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interview‑only participants in Study Six revealed that reflective dialogue itself offered emotional clarity, validation and a sense of being seen and heard. Talking about stress, nature and coping in a protected space prompted new awareness: recognising patterns, naming pressures, noticing where boundaries had eroded, or realising that nature already played a key role in their regulation.</w:t>
      </w:r>
    </w:p>
    <w:p w14:paraId="14CB5A64" w14:textId="5B1212B4"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Many staff described these moments as unexpectedly important. The act of articulating experience allowed them to see their own wellbeing with fresh eyes. For some, this led to small but meaningful shifts: going outdoors more intentionally, paying attention to sensory cues, or giving themselves permission to prioritise rest. These changes were not dramatic; they were gentle recalibrations arising from feeling heard.</w:t>
      </w:r>
    </w:p>
    <w:p w14:paraId="005FBBF6" w14:textId="5CF0F6E0" w:rsidR="70B7F7BB" w:rsidRDefault="1A9FE99B" w:rsidP="00E43187">
      <w:pPr>
        <w:spacing w:before="210" w:after="210" w:line="360" w:lineRule="auto"/>
        <w:rPr>
          <w:rFonts w:ascii="Arial" w:eastAsia="Arial" w:hAnsi="Arial" w:cs="Arial"/>
          <w:sz w:val="22"/>
          <w:szCs w:val="22"/>
        </w:rPr>
      </w:pPr>
      <w:r w:rsidRPr="5ECF1BC0">
        <w:rPr>
          <w:rFonts w:ascii="Arial" w:eastAsia="Arial" w:hAnsi="Arial" w:cs="Arial"/>
          <w:sz w:val="22"/>
          <w:szCs w:val="22"/>
        </w:rPr>
        <w:t>Reflective dialogue provided a rare moment of pause in the school day: a space where staff could place their experiences under soft but deliberate attention. The emotional tone of these reflections echoed the tone of the walks: steady, honest, unhurried.</w:t>
      </w:r>
    </w:p>
    <w:p w14:paraId="35AF39DE" w14:textId="5C5A423C"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lastRenderedPageBreak/>
        <w:t>4. The Combined Pathway: When Reflection Meets Embodied Practice</w:t>
      </w:r>
    </w:p>
    <w:p w14:paraId="6E91F8A0" w14:textId="282DA301"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The most compelling patterns emerged among those who participated in both the interviews and the walks. For these staff, reflection did not remain abstract, it became something they could act on, feel, test, and recalibrate through embodied experience in nature.</w:t>
      </w:r>
    </w:p>
    <w:p w14:paraId="4798CBDE" w14:textId="0163E85F"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This created an additive effect across three domains:</w:t>
      </w:r>
    </w:p>
    <w:p w14:paraId="18E762DA" w14:textId="16178D0E"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A. Cognitive Insight + Embodied Reset</w:t>
      </w:r>
    </w:p>
    <w:p w14:paraId="240EFD3B" w14:textId="16F9B144"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Participants described a sequencing pattern: reflection helped them notice what they needed, and the walk allowed the body to catch up with the mind. Insights gained in the interview became more grounded and more lived through walking.</w:t>
      </w:r>
    </w:p>
    <w:p w14:paraId="75B3684B" w14:textId="6BE560C0"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B. Heightened Nature Awareness</w:t>
      </w:r>
    </w:p>
    <w:p w14:paraId="593CE552" w14:textId="27E70837"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After reflecting in interviews, participants found themselves noticing nature more richly: textures, shifts in light, small details. This heightened noticing appeared to amplify the restorative effects of the walks.</w:t>
      </w:r>
    </w:p>
    <w:p w14:paraId="3149BF55" w14:textId="5A81FC88" w:rsidR="70B7F7BB" w:rsidRDefault="1A9FE99B" w:rsidP="5ECF1BC0">
      <w:pPr>
        <w:pStyle w:val="Heading3"/>
        <w:spacing w:before="246" w:after="246" w:line="360" w:lineRule="auto"/>
        <w:rPr>
          <w:rFonts w:ascii="Arial" w:eastAsia="Arial" w:hAnsi="Arial" w:cs="Arial"/>
          <w:color w:val="auto"/>
          <w:sz w:val="22"/>
          <w:szCs w:val="22"/>
        </w:rPr>
      </w:pPr>
      <w:r w:rsidRPr="5ECF1BC0">
        <w:rPr>
          <w:rFonts w:ascii="Arial" w:eastAsia="Arial" w:hAnsi="Arial" w:cs="Arial"/>
          <w:b/>
          <w:bCs/>
          <w:color w:val="auto"/>
          <w:sz w:val="22"/>
          <w:szCs w:val="22"/>
        </w:rPr>
        <w:t>C. Deepened Social Belonging</w:t>
      </w:r>
    </w:p>
    <w:p w14:paraId="639D9080" w14:textId="26EB1F9C"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Reflection brought clarity; walking brought connection. Together, they helped staff feel more embedded in their teams, more understood, and less isolated in their private experiences of stress.</w:t>
      </w:r>
    </w:p>
    <w:p w14:paraId="06DBCD89" w14:textId="3E716D54" w:rsidR="70B7F7BB" w:rsidRDefault="1A9FE99B" w:rsidP="00E43187">
      <w:pPr>
        <w:spacing w:before="210" w:after="210" w:line="360" w:lineRule="auto"/>
        <w:rPr>
          <w:rFonts w:ascii="Arial" w:eastAsia="Arial" w:hAnsi="Arial" w:cs="Arial"/>
          <w:sz w:val="22"/>
          <w:szCs w:val="22"/>
        </w:rPr>
      </w:pPr>
      <w:r w:rsidRPr="5ECF1BC0">
        <w:rPr>
          <w:rFonts w:ascii="Arial" w:eastAsia="Arial" w:hAnsi="Arial" w:cs="Arial"/>
          <w:sz w:val="22"/>
          <w:szCs w:val="22"/>
        </w:rPr>
        <w:t>This combined pathway appeared to support the most sustained shifts in mood, awareness and relational confidence.</w:t>
      </w:r>
    </w:p>
    <w:p w14:paraId="57FB0ACF" w14:textId="4EA8AB63"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5. Barriers and Inequities of Access</w:t>
      </w:r>
    </w:p>
    <w:p w14:paraId="456567F2" w14:textId="1CD78315"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Across Studies Five and Six, barriers also formed a consistent theme: workload, fatigue, weather, staffing shortages, mobility issues, emotional depletion and competing commitments. These barriers were not incidental; they were structural. Staff who might have benefitted most</w:t>
      </w:r>
      <w:r w:rsidR="70C66F1E" w:rsidRPr="5ECF1BC0">
        <w:rPr>
          <w:rFonts w:ascii="Arial" w:eastAsia="Arial" w:hAnsi="Arial" w:cs="Arial"/>
          <w:sz w:val="22"/>
          <w:szCs w:val="22"/>
        </w:rPr>
        <w:t xml:space="preserve"> may have been </w:t>
      </w:r>
      <w:r w:rsidRPr="5ECF1BC0">
        <w:rPr>
          <w:rFonts w:ascii="Arial" w:eastAsia="Arial" w:hAnsi="Arial" w:cs="Arial"/>
          <w:sz w:val="22"/>
          <w:szCs w:val="22"/>
        </w:rPr>
        <w:t>the least able to attend. This highlights a recurring tension across the Findings chapter: wellbeing opportunities are valuable, but access to them can be uneven: shaped by time, pressure, health, energy, external and family pressures and role expectations.</w:t>
      </w:r>
    </w:p>
    <w:p w14:paraId="14503547" w14:textId="2D4E0D06"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Participants were aware of this inequity. Several expressed disappointments that they could not “make it work,” while others described feeling torn between self‑care and professional </w:t>
      </w:r>
      <w:r w:rsidRPr="5ECF1BC0">
        <w:rPr>
          <w:rFonts w:ascii="Arial" w:eastAsia="Arial" w:hAnsi="Arial" w:cs="Arial"/>
          <w:sz w:val="22"/>
          <w:szCs w:val="22"/>
        </w:rPr>
        <w:lastRenderedPageBreak/>
        <w:t>responsibility. These patterns underscore the need for systemic support rather than relying solely on individual capacity.</w:t>
      </w:r>
    </w:p>
    <w:p w14:paraId="2211003B" w14:textId="41E88B50" w:rsidR="70B7F7BB" w:rsidRDefault="1A9FE99B" w:rsidP="5ECF1BC0">
      <w:pPr>
        <w:pStyle w:val="Heading2"/>
        <w:spacing w:before="261" w:after="261" w:line="360" w:lineRule="auto"/>
        <w:rPr>
          <w:rFonts w:ascii="Arial" w:eastAsia="Arial" w:hAnsi="Arial" w:cs="Arial"/>
          <w:color w:val="auto"/>
          <w:sz w:val="22"/>
          <w:szCs w:val="22"/>
        </w:rPr>
      </w:pPr>
      <w:r w:rsidRPr="5ECF1BC0">
        <w:rPr>
          <w:rFonts w:ascii="Arial" w:eastAsia="Arial" w:hAnsi="Arial" w:cs="Arial"/>
          <w:b/>
          <w:bCs/>
          <w:color w:val="auto"/>
          <w:sz w:val="22"/>
          <w:szCs w:val="22"/>
        </w:rPr>
        <w:t>6. Integrative Interpretation Across Both Studies</w:t>
      </w:r>
    </w:p>
    <w:p w14:paraId="17D7CF8D" w14:textId="3BB43356"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Together, Studies Five and Six reveal that:</w:t>
      </w:r>
    </w:p>
    <w:p w14:paraId="3360603B" w14:textId="7666CF27" w:rsidR="70B7F7BB" w:rsidRDefault="1A9FE99B" w:rsidP="5ECF1BC0">
      <w:pPr>
        <w:pStyle w:val="ListParagraph"/>
        <w:numPr>
          <w:ilvl w:val="0"/>
          <w:numId w:val="16"/>
        </w:numPr>
        <w:spacing w:after="0" w:line="360" w:lineRule="auto"/>
        <w:rPr>
          <w:rFonts w:ascii="Arial" w:eastAsia="Arial" w:hAnsi="Arial" w:cs="Arial"/>
          <w:sz w:val="22"/>
          <w:szCs w:val="22"/>
        </w:rPr>
      </w:pPr>
      <w:r w:rsidRPr="5ECF1BC0">
        <w:rPr>
          <w:rFonts w:ascii="Arial" w:eastAsia="Arial" w:hAnsi="Arial" w:cs="Arial"/>
          <w:sz w:val="22"/>
          <w:szCs w:val="22"/>
        </w:rPr>
        <w:t>Nature supports emotional release, clarity and physiological settling.</w:t>
      </w:r>
    </w:p>
    <w:p w14:paraId="443CB818" w14:textId="26B09D3F" w:rsidR="70B7F7BB" w:rsidRDefault="1A9FE99B" w:rsidP="5ECF1BC0">
      <w:pPr>
        <w:pStyle w:val="ListParagraph"/>
        <w:numPr>
          <w:ilvl w:val="0"/>
          <w:numId w:val="16"/>
        </w:numPr>
        <w:spacing w:after="0" w:line="360" w:lineRule="auto"/>
        <w:rPr>
          <w:rFonts w:ascii="Arial" w:eastAsia="Arial" w:hAnsi="Arial" w:cs="Arial"/>
          <w:sz w:val="22"/>
          <w:szCs w:val="22"/>
        </w:rPr>
      </w:pPr>
      <w:r w:rsidRPr="5ECF1BC0">
        <w:rPr>
          <w:rFonts w:ascii="Arial" w:eastAsia="Arial" w:hAnsi="Arial" w:cs="Arial"/>
          <w:sz w:val="22"/>
          <w:szCs w:val="22"/>
        </w:rPr>
        <w:t>Social connection becomes easier and more genuine in low‑pressure outdoor contexts.</w:t>
      </w:r>
    </w:p>
    <w:p w14:paraId="3B4A92FA" w14:textId="768F413D" w:rsidR="70B7F7BB" w:rsidRDefault="1A9FE99B" w:rsidP="5ECF1BC0">
      <w:pPr>
        <w:pStyle w:val="ListParagraph"/>
        <w:numPr>
          <w:ilvl w:val="0"/>
          <w:numId w:val="16"/>
        </w:numPr>
        <w:spacing w:after="0" w:line="360" w:lineRule="auto"/>
        <w:rPr>
          <w:rFonts w:ascii="Arial" w:eastAsia="Arial" w:hAnsi="Arial" w:cs="Arial"/>
          <w:sz w:val="22"/>
          <w:szCs w:val="22"/>
        </w:rPr>
      </w:pPr>
      <w:r w:rsidRPr="5ECF1BC0">
        <w:rPr>
          <w:rFonts w:ascii="Arial" w:eastAsia="Arial" w:hAnsi="Arial" w:cs="Arial"/>
          <w:sz w:val="22"/>
          <w:szCs w:val="22"/>
        </w:rPr>
        <w:t>Reflection enhances self‑awareness and intentionality.</w:t>
      </w:r>
    </w:p>
    <w:p w14:paraId="6E7BF682" w14:textId="1ACF7731" w:rsidR="70B7F7BB" w:rsidRDefault="1A9FE99B" w:rsidP="5ECF1BC0">
      <w:pPr>
        <w:pStyle w:val="ListParagraph"/>
        <w:numPr>
          <w:ilvl w:val="0"/>
          <w:numId w:val="16"/>
        </w:numPr>
        <w:spacing w:after="0" w:line="360" w:lineRule="auto"/>
        <w:rPr>
          <w:rFonts w:ascii="Arial" w:eastAsia="Arial" w:hAnsi="Arial" w:cs="Arial"/>
          <w:sz w:val="22"/>
          <w:szCs w:val="22"/>
        </w:rPr>
      </w:pPr>
      <w:r w:rsidRPr="5ECF1BC0">
        <w:rPr>
          <w:rFonts w:ascii="Arial" w:eastAsia="Arial" w:hAnsi="Arial" w:cs="Arial"/>
          <w:sz w:val="22"/>
          <w:szCs w:val="22"/>
        </w:rPr>
        <w:t>When reflection and nature combine, wellbeing benefits deepen and become more embodied.</w:t>
      </w:r>
    </w:p>
    <w:p w14:paraId="4564C807" w14:textId="044129A1" w:rsidR="70B7F7BB" w:rsidRDefault="1A9FE99B" w:rsidP="5ECF1BC0">
      <w:pPr>
        <w:pStyle w:val="ListParagraph"/>
        <w:numPr>
          <w:ilvl w:val="0"/>
          <w:numId w:val="16"/>
        </w:numPr>
        <w:spacing w:after="0" w:line="360" w:lineRule="auto"/>
        <w:rPr>
          <w:rFonts w:ascii="Arial" w:eastAsia="Arial" w:hAnsi="Arial" w:cs="Arial"/>
          <w:sz w:val="22"/>
          <w:szCs w:val="22"/>
        </w:rPr>
      </w:pPr>
      <w:r w:rsidRPr="5ECF1BC0">
        <w:rPr>
          <w:rFonts w:ascii="Arial" w:eastAsia="Arial" w:hAnsi="Arial" w:cs="Arial"/>
          <w:sz w:val="22"/>
          <w:szCs w:val="22"/>
        </w:rPr>
        <w:t>Access is uneven, shaped by workload, energy, and structural constraints.</w:t>
      </w:r>
    </w:p>
    <w:p w14:paraId="0DF846CB" w14:textId="098A3BE3" w:rsidR="70B7F7BB" w:rsidRDefault="1A9FE99B" w:rsidP="5ECF1BC0">
      <w:pPr>
        <w:spacing w:before="210" w:after="210" w:line="360" w:lineRule="auto"/>
        <w:rPr>
          <w:rFonts w:ascii="Arial" w:eastAsia="Arial" w:hAnsi="Arial" w:cs="Arial"/>
          <w:sz w:val="22"/>
          <w:szCs w:val="22"/>
        </w:rPr>
      </w:pPr>
      <w:r w:rsidRPr="5ECF1BC0">
        <w:rPr>
          <w:rFonts w:ascii="Arial" w:eastAsia="Arial" w:hAnsi="Arial" w:cs="Arial"/>
          <w:sz w:val="22"/>
          <w:szCs w:val="22"/>
        </w:rPr>
        <w:t xml:space="preserve">Across the entire Findings chapter, these final datasets offer a grounded, relational conclusion: that wellbeing in this school is not simply about reducing stress, but about creating spaces </w:t>
      </w:r>
      <w:r w:rsidR="3CEA7EC0" w:rsidRPr="5ECF1BC0">
        <w:rPr>
          <w:rFonts w:ascii="Arial" w:eastAsia="Arial" w:hAnsi="Arial" w:cs="Arial"/>
          <w:sz w:val="22"/>
          <w:szCs w:val="22"/>
        </w:rPr>
        <w:t>(</w:t>
      </w:r>
      <w:r w:rsidRPr="5ECF1BC0">
        <w:rPr>
          <w:rFonts w:ascii="Arial" w:eastAsia="Arial" w:hAnsi="Arial" w:cs="Arial"/>
          <w:sz w:val="22"/>
          <w:szCs w:val="22"/>
        </w:rPr>
        <w:t>physical, emotional, relational and cognitive</w:t>
      </w:r>
      <w:r w:rsidR="18002501" w:rsidRPr="5ECF1BC0">
        <w:rPr>
          <w:rFonts w:ascii="Arial" w:eastAsia="Arial" w:hAnsi="Arial" w:cs="Arial"/>
          <w:sz w:val="22"/>
          <w:szCs w:val="22"/>
        </w:rPr>
        <w:t>)</w:t>
      </w:r>
      <w:r w:rsidRPr="5ECF1BC0">
        <w:rPr>
          <w:rFonts w:ascii="Arial" w:eastAsia="Arial" w:hAnsi="Arial" w:cs="Arial"/>
          <w:sz w:val="22"/>
          <w:szCs w:val="22"/>
        </w:rPr>
        <w:t>, where staff can breathe, connect, and notice themselves anew.</w:t>
      </w:r>
    </w:p>
    <w:p w14:paraId="55F346FD" w14:textId="0851A745" w:rsidR="70B7F7BB" w:rsidRDefault="70B7F7BB" w:rsidP="5ECF1BC0">
      <w:pPr>
        <w:spacing w:after="0" w:line="360" w:lineRule="auto"/>
        <w:rPr>
          <w:rFonts w:ascii="Arial" w:eastAsia="Arial" w:hAnsi="Arial" w:cs="Arial"/>
          <w:sz w:val="22"/>
          <w:szCs w:val="22"/>
        </w:rPr>
      </w:pPr>
    </w:p>
    <w:p w14:paraId="6794F763" w14:textId="6C21DA41" w:rsidR="70B7F7BB" w:rsidRDefault="70B7F7BB" w:rsidP="5ECF1BC0">
      <w:pPr>
        <w:spacing w:line="360" w:lineRule="auto"/>
        <w:rPr>
          <w:sz w:val="22"/>
          <w:szCs w:val="22"/>
        </w:rPr>
      </w:pPr>
    </w:p>
    <w:p w14:paraId="163CB995" w14:textId="1535A7A3" w:rsidR="70B7F7BB" w:rsidRDefault="70B7F7BB" w:rsidP="5ECF1BC0">
      <w:pPr>
        <w:spacing w:line="360" w:lineRule="auto"/>
        <w:rPr>
          <w:sz w:val="22"/>
          <w:szCs w:val="22"/>
        </w:rPr>
      </w:pPr>
    </w:p>
    <w:p w14:paraId="422A390B" w14:textId="0EE79BAF" w:rsidR="70B7F7BB" w:rsidRDefault="70B7F7BB" w:rsidP="5ECF1BC0">
      <w:pPr>
        <w:spacing w:line="360" w:lineRule="auto"/>
        <w:rPr>
          <w:sz w:val="22"/>
          <w:szCs w:val="22"/>
        </w:rPr>
      </w:pPr>
    </w:p>
    <w:p w14:paraId="565E2B2B" w14:textId="6705F877" w:rsidR="70B7F7BB" w:rsidRDefault="70B7F7BB" w:rsidP="5ECF1BC0">
      <w:pPr>
        <w:spacing w:line="360" w:lineRule="auto"/>
        <w:rPr>
          <w:sz w:val="22"/>
          <w:szCs w:val="22"/>
        </w:rPr>
      </w:pPr>
    </w:p>
    <w:p w14:paraId="3F269546" w14:textId="58B4DB58" w:rsidR="70B7F7BB" w:rsidRDefault="70B7F7BB" w:rsidP="5ECF1BC0">
      <w:pPr>
        <w:spacing w:line="360" w:lineRule="auto"/>
        <w:rPr>
          <w:sz w:val="22"/>
          <w:szCs w:val="22"/>
        </w:rPr>
      </w:pPr>
    </w:p>
    <w:p w14:paraId="15BD0314" w14:textId="2F64C8ED" w:rsidR="70B7F7BB" w:rsidRDefault="70B7F7BB" w:rsidP="5ECF1BC0">
      <w:pPr>
        <w:spacing w:line="360" w:lineRule="auto"/>
        <w:rPr>
          <w:sz w:val="22"/>
          <w:szCs w:val="22"/>
        </w:rPr>
      </w:pPr>
    </w:p>
    <w:p w14:paraId="0CB0D8BF" w14:textId="6CEA9713" w:rsidR="70B7F7BB" w:rsidRDefault="70B7F7BB" w:rsidP="5ECF1BC0">
      <w:pPr>
        <w:spacing w:line="360" w:lineRule="auto"/>
        <w:rPr>
          <w:sz w:val="22"/>
          <w:szCs w:val="22"/>
        </w:rPr>
      </w:pPr>
    </w:p>
    <w:p w14:paraId="351218D6" w14:textId="30C5C16C" w:rsidR="70B7F7BB" w:rsidRDefault="70B7F7BB" w:rsidP="5ECF1BC0">
      <w:pPr>
        <w:spacing w:line="360" w:lineRule="auto"/>
        <w:rPr>
          <w:sz w:val="22"/>
          <w:szCs w:val="22"/>
        </w:rPr>
      </w:pPr>
    </w:p>
    <w:p w14:paraId="1BF943AA" w14:textId="394F4EC9" w:rsidR="70B7F7BB" w:rsidRDefault="70B7F7BB" w:rsidP="5ECF1BC0">
      <w:pPr>
        <w:spacing w:line="360" w:lineRule="auto"/>
        <w:rPr>
          <w:sz w:val="22"/>
          <w:szCs w:val="22"/>
        </w:rPr>
      </w:pPr>
    </w:p>
    <w:p w14:paraId="246990AB" w14:textId="3D2C711F" w:rsidR="202A121C" w:rsidRDefault="202A121C" w:rsidP="202A121C">
      <w:pPr>
        <w:spacing w:line="360" w:lineRule="auto"/>
        <w:rPr>
          <w:sz w:val="22"/>
          <w:szCs w:val="22"/>
        </w:rPr>
      </w:pPr>
    </w:p>
    <w:p w14:paraId="68F72CE3" w14:textId="0DF41DBA" w:rsidR="70B7F7BB" w:rsidRDefault="70B7F7BB" w:rsidP="5ECF1BC0">
      <w:pPr>
        <w:spacing w:line="360" w:lineRule="auto"/>
        <w:rPr>
          <w:sz w:val="22"/>
          <w:szCs w:val="22"/>
        </w:rPr>
      </w:pPr>
    </w:p>
    <w:p w14:paraId="27531295" w14:textId="711BC594" w:rsidR="0BBEACF1" w:rsidRDefault="0BBEACF1" w:rsidP="0BBEACF1">
      <w:pPr>
        <w:spacing w:line="360" w:lineRule="auto"/>
        <w:rPr>
          <w:sz w:val="22"/>
          <w:szCs w:val="22"/>
        </w:rPr>
      </w:pPr>
    </w:p>
    <w:p w14:paraId="7F03407F" w14:textId="74B10F34" w:rsidR="70B7F7BB" w:rsidRDefault="0F20AD3C" w:rsidP="0BBEACF1">
      <w:pPr>
        <w:spacing w:before="240" w:after="240" w:line="360" w:lineRule="auto"/>
        <w:rPr>
          <w:rFonts w:ascii="Arial" w:eastAsia="Arial" w:hAnsi="Arial" w:cs="Arial"/>
          <w:sz w:val="22"/>
          <w:szCs w:val="22"/>
        </w:rPr>
      </w:pPr>
      <w:r w:rsidRPr="0BBEACF1">
        <w:rPr>
          <w:rFonts w:ascii="Arial" w:eastAsia="Arial" w:hAnsi="Arial" w:cs="Arial"/>
          <w:b/>
          <w:bCs/>
          <w:sz w:val="22"/>
          <w:szCs w:val="22"/>
          <w:u w:val="single"/>
        </w:rPr>
        <w:lastRenderedPageBreak/>
        <w:t>CONCLUSION</w:t>
      </w:r>
    </w:p>
    <w:p w14:paraId="6F07CC0F" w14:textId="249FAB5B"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sz w:val="22"/>
          <w:szCs w:val="22"/>
        </w:rPr>
        <w:t>This study set out to explore how nature‑connected and relational practices support staff wellbeing within the distinctive context of a special school. The findings indicate that informal, low‑intensity outdoor experiences—such as brief wellbeing walks, reflective conversations, and everyday engagement with blue and</w:t>
      </w:r>
      <w:r w:rsidRPr="5ECF1BC0">
        <w:rPr>
          <w:rFonts w:ascii="Arial" w:eastAsia="Arial" w:hAnsi="Arial" w:cs="Arial"/>
          <w:color w:val="000000" w:themeColor="text1"/>
          <w:sz w:val="22"/>
          <w:szCs w:val="22"/>
        </w:rPr>
        <w:t xml:space="preserve"> green spaces—may offer meaningful emotional regulation, relational connection, and restorative relief for staff working in high‑pressure environments. Across datasets, staff consistently valued accessible, autonomy‑driven approaches that aligned with their personal coping preferences and relational needs.</w:t>
      </w:r>
    </w:p>
    <w:p w14:paraId="42722833" w14:textId="3E8F5EC5"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Quantitative patterns from the NR</w:t>
      </w:r>
      <w:r w:rsidR="6DC7F341" w:rsidRPr="5ECF1BC0">
        <w:rPr>
          <w:rFonts w:ascii="Arial" w:eastAsia="Arial" w:hAnsi="Arial" w:cs="Arial"/>
          <w:color w:val="000000" w:themeColor="text1"/>
          <w:sz w:val="22"/>
          <w:szCs w:val="22"/>
        </w:rPr>
        <w:t>-</w:t>
      </w:r>
      <w:r w:rsidRPr="5ECF1BC0">
        <w:rPr>
          <w:rFonts w:ascii="Arial" w:eastAsia="Arial" w:hAnsi="Arial" w:cs="Arial"/>
          <w:color w:val="000000" w:themeColor="text1"/>
          <w:sz w:val="22"/>
          <w:szCs w:val="22"/>
        </w:rPr>
        <w:t>6 wellbeing study showed that teachers reported the highest stress levels, reflecting wider sector evidence of significant workload‑related strain. Resilience remained relatively stable across roles, and the weak association between stress and resilience supports the view that these constructs operate as distinct dimensions rather than opposites. Participation in wellbeing activities, including nature‑based components, correlated with higher resilience and slightly lower stress, although these associations could reflect self‑selection rather than any causal effect. These patterns nonetheless raise the possibility that regular engagement in supportive, meaningful activities may help staff maintain emotional balance.</w:t>
      </w:r>
    </w:p>
    <w:p w14:paraId="374A5C29" w14:textId="2A43D058"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Qualitative findings enriched this picture by illustrating how nature—particularly blue and green spaces—functioned as a consistent source of calm, clarity, and emotional grounding. Staff frequently linked these experiences to early‑life outdoor memories, suggesting that nature may serve both as an immediate regulator and as a long‑standing coping template. Outdoor environments also facilitated relational connection: they provided a calmer context for reflective dialogue, strengthened interpersonal trust, and enabled staff to decompress after demanding school days. Weekly wellbeing walks were especially valued for their combination of movement, connection, and shared discovery.</w:t>
      </w:r>
    </w:p>
    <w:p w14:paraId="17F39BBD" w14:textId="1B4B4BA9"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Differences between SLT and teachers were notable. SLT members described more habitual, proactive engagement with nature as a strategy for maintaining perspective and regulating stress. While causal conclusions cannot be drawn, these patterns could indicate that sustained, self‑directed nature engagement may support leaders’ emotional capacity and reflective functioning.</w:t>
      </w:r>
    </w:p>
    <w:p w14:paraId="6082C662" w14:textId="149FBA74"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Findings from the Winter Wellbeing Questionnaire reinforced nature’s restorative value. Across roles, staff reported improved clarity, mood, calmness, and relaxation after even </w:t>
      </w:r>
      <w:r w:rsidRPr="5ECF1BC0">
        <w:rPr>
          <w:rFonts w:ascii="Arial" w:eastAsia="Arial" w:hAnsi="Arial" w:cs="Arial"/>
          <w:color w:val="000000" w:themeColor="text1"/>
          <w:sz w:val="22"/>
          <w:szCs w:val="22"/>
        </w:rPr>
        <w:lastRenderedPageBreak/>
        <w:t>short periods outdoors. Social context amplified these effects, particularly when time outside was shared with pets, colleagues, or family.</w:t>
      </w:r>
    </w:p>
    <w:p w14:paraId="4D12BF32" w14:textId="398EE21E"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This study makes thr</w:t>
      </w:r>
      <w:r w:rsidR="1E11D38C" w:rsidRPr="5ECF1BC0">
        <w:rPr>
          <w:rFonts w:ascii="Arial" w:eastAsia="Arial" w:hAnsi="Arial" w:cs="Arial"/>
          <w:color w:val="000000" w:themeColor="text1"/>
          <w:sz w:val="22"/>
          <w:szCs w:val="22"/>
        </w:rPr>
        <w:t>ee</w:t>
      </w:r>
      <w:r w:rsidRPr="5ECF1BC0">
        <w:rPr>
          <w:rFonts w:ascii="Arial" w:eastAsia="Arial" w:hAnsi="Arial" w:cs="Arial"/>
          <w:color w:val="000000" w:themeColor="text1"/>
          <w:sz w:val="22"/>
          <w:szCs w:val="22"/>
        </w:rPr>
        <w:t xml:space="preserve"> key contributions to existing knowledge. First, it brings forward the often‑overlooked wellbeing experiences of special‑school staff, showing how relational and nature‑connected practices operate within a uniquely complex educational environment. Second, it offers new empirical insight into the value of low‑intensity, everyday outdoor experiences as accessible forms of emotional regulation and relational connection, extending current wellbeing literature that tends to focus on more formal or clinical interventions. Third, the study raises the possibility that sustained, self‑directed nature engagement may support aspects of emotional capacity—particularly for school leaders—while highlighting the central role of psychologically safe, relational cultures in shaping staff wellbeing. Together, these contributions nuance existing understandings by emphasising autonomy, relationality, and context‑specific pressures within special‑school settings.</w:t>
      </w:r>
    </w:p>
    <w:p w14:paraId="191A9E45" w14:textId="7C129E7B"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Taken together, the datasets suggest a multidimensional model of staff wellbeing in which nature, relationships, role demands, and personal coping practices interact dynamically. Staff consistently valued informal, relational, and accessible supports involving creativity, movement, connection, and outdoor time. More formal routes such as Occupational Health and GP services were rated less positively. A small group using limited or unhealthy coping strategies highlights the need for practical, targeted interventions that do not rely solely on clinical pathways.</w:t>
      </w:r>
    </w:p>
    <w:p w14:paraId="79023EE5" w14:textId="1CC18CC9"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At an organisational level, systemic pressures such as workload, staffing stability, and timetable intensity require continued attention. Teachers may benefit from role‑specific adjustments such as clearer workload expectations, equitable cover, increased planning time, and dedicated decompression spaces. Ensuring flexibility and autonomy is crucial: mandatory wellbeing risks becoming burdensome, whereas diverse, adaptive options accommodate varied needs and responsibilities.</w:t>
      </w:r>
    </w:p>
    <w:p w14:paraId="65051351" w14:textId="3C85C6BB"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Interpretation of these findings is constrained by the small, self‑selecting sample, reliance on self‑report measures, and the seasonal timing of data collection, which may have shaped participants’ experiences of outdoor environments. The exploratory design limits generalisability, and the study cannot determine causal pathways between nature engagement, stress, and resilience.</w:t>
      </w:r>
    </w:p>
    <w:p w14:paraId="1A5FDF0E" w14:textId="1859C9CF"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 xml:space="preserve">Future research would benefit from longitudinal or quasi‑experimental designs to examine potential causal mechanisms, including how nature‑connected practices influence emotional </w:t>
      </w:r>
      <w:r w:rsidRPr="5ECF1BC0">
        <w:rPr>
          <w:rFonts w:ascii="Arial" w:eastAsia="Arial" w:hAnsi="Arial" w:cs="Arial"/>
          <w:color w:val="000000" w:themeColor="text1"/>
          <w:sz w:val="22"/>
          <w:szCs w:val="22"/>
        </w:rPr>
        <w:lastRenderedPageBreak/>
        <w:t>regulation over time. Comparative studies across different special‑school types, mainstream settings, and early‑career teachers could illuminate role‑specific pressures and coping patterns. Further exploration of variables such as leadership identity, organisational culture, and the mechanisms linking early‑life nature memories to adult coping would deepen understanding of the relational and developmental dimensions identified here.</w:t>
      </w:r>
    </w:p>
    <w:p w14:paraId="5EB26F0C" w14:textId="1ACA0F24" w:rsidR="70B7F7BB" w:rsidRDefault="41DF34DE" w:rsidP="5ECF1BC0">
      <w:pPr>
        <w:spacing w:before="240" w:after="240" w:line="360" w:lineRule="auto"/>
        <w:rPr>
          <w:rFonts w:ascii="Arial" w:eastAsia="Arial" w:hAnsi="Arial" w:cs="Arial"/>
          <w:color w:val="000000" w:themeColor="text1"/>
          <w:sz w:val="22"/>
          <w:szCs w:val="22"/>
        </w:rPr>
      </w:pPr>
      <w:r w:rsidRPr="5ECF1BC0">
        <w:rPr>
          <w:rFonts w:ascii="Arial" w:eastAsia="Arial" w:hAnsi="Arial" w:cs="Arial"/>
          <w:color w:val="000000" w:themeColor="text1"/>
          <w:sz w:val="22"/>
          <w:szCs w:val="22"/>
        </w:rPr>
        <w:t>In closing, the study returns to where it began: with the quiet, relational, and nature‑connected moments that help staff breathe, connect, and endure—and which may yet guide the development of more restorative special‑school environments.</w:t>
      </w:r>
    </w:p>
    <w:p w14:paraId="02EEC69E" w14:textId="1A81F799" w:rsidR="70B7F7BB" w:rsidRDefault="70B7F7BB" w:rsidP="5ECF1BC0">
      <w:pPr>
        <w:spacing w:line="360" w:lineRule="auto"/>
        <w:rPr>
          <w:sz w:val="22"/>
          <w:szCs w:val="22"/>
        </w:rPr>
      </w:pPr>
    </w:p>
    <w:p w14:paraId="045BF1AF" w14:textId="4D6DC5A6" w:rsidR="70B7F7BB" w:rsidRDefault="70B7F7BB" w:rsidP="5ECF1BC0">
      <w:pPr>
        <w:spacing w:line="360" w:lineRule="auto"/>
        <w:rPr>
          <w:sz w:val="22"/>
          <w:szCs w:val="22"/>
        </w:rPr>
      </w:pPr>
    </w:p>
    <w:p w14:paraId="182F3360" w14:textId="0C88F473" w:rsidR="70B7F7BB" w:rsidRDefault="70B7F7BB" w:rsidP="5ECF1BC0">
      <w:pPr>
        <w:spacing w:line="360" w:lineRule="auto"/>
        <w:rPr>
          <w:sz w:val="22"/>
          <w:szCs w:val="22"/>
        </w:rPr>
      </w:pPr>
    </w:p>
    <w:p w14:paraId="2C2DCBF6" w14:textId="71D7A24C" w:rsidR="70B7F7BB" w:rsidRDefault="70B7F7BB" w:rsidP="5ECF1BC0">
      <w:pPr>
        <w:spacing w:line="360" w:lineRule="auto"/>
        <w:rPr>
          <w:sz w:val="22"/>
          <w:szCs w:val="22"/>
        </w:rPr>
      </w:pPr>
    </w:p>
    <w:p w14:paraId="50288C06" w14:textId="70EF73AB" w:rsidR="70B7F7BB" w:rsidRDefault="70B7F7BB" w:rsidP="5ECF1BC0">
      <w:pPr>
        <w:spacing w:line="360" w:lineRule="auto"/>
        <w:rPr>
          <w:sz w:val="22"/>
          <w:szCs w:val="22"/>
        </w:rPr>
      </w:pPr>
    </w:p>
    <w:p w14:paraId="7C42BE05" w14:textId="34DC4A7B" w:rsidR="70B7F7BB" w:rsidRDefault="70B7F7BB" w:rsidP="5ECF1BC0">
      <w:pPr>
        <w:spacing w:line="360" w:lineRule="auto"/>
        <w:rPr>
          <w:sz w:val="22"/>
          <w:szCs w:val="22"/>
        </w:rPr>
      </w:pPr>
    </w:p>
    <w:p w14:paraId="4FB06FF0" w14:textId="78AAFF3A" w:rsidR="70B7F7BB" w:rsidRDefault="70B7F7BB" w:rsidP="5ECF1BC0">
      <w:pPr>
        <w:spacing w:line="360" w:lineRule="auto"/>
        <w:rPr>
          <w:sz w:val="22"/>
          <w:szCs w:val="22"/>
        </w:rPr>
      </w:pPr>
    </w:p>
    <w:p w14:paraId="47C9A71E" w14:textId="5C12F4DA" w:rsidR="70B7F7BB" w:rsidRDefault="70B7F7BB" w:rsidP="5ECF1BC0">
      <w:pPr>
        <w:spacing w:line="360" w:lineRule="auto"/>
        <w:rPr>
          <w:sz w:val="22"/>
          <w:szCs w:val="22"/>
        </w:rPr>
      </w:pPr>
    </w:p>
    <w:p w14:paraId="205C786B" w14:textId="1C361D2E" w:rsidR="70B7F7BB" w:rsidRDefault="70B7F7BB" w:rsidP="5ECF1BC0">
      <w:pPr>
        <w:spacing w:line="360" w:lineRule="auto"/>
        <w:rPr>
          <w:sz w:val="22"/>
          <w:szCs w:val="22"/>
        </w:rPr>
      </w:pPr>
    </w:p>
    <w:p w14:paraId="64F282B0" w14:textId="12B233BF" w:rsidR="70B7F7BB" w:rsidRDefault="70B7F7BB" w:rsidP="5ECF1BC0">
      <w:pPr>
        <w:spacing w:line="360" w:lineRule="auto"/>
        <w:rPr>
          <w:sz w:val="22"/>
          <w:szCs w:val="22"/>
        </w:rPr>
      </w:pPr>
    </w:p>
    <w:p w14:paraId="065E6E6D" w14:textId="39F5B6B0" w:rsidR="70B7F7BB" w:rsidRDefault="70B7F7BB" w:rsidP="5ECF1BC0">
      <w:pPr>
        <w:spacing w:line="360" w:lineRule="auto"/>
        <w:rPr>
          <w:sz w:val="22"/>
          <w:szCs w:val="22"/>
        </w:rPr>
      </w:pPr>
    </w:p>
    <w:p w14:paraId="64FBB663" w14:textId="1F828F80" w:rsidR="70B7F7BB" w:rsidRDefault="70B7F7BB" w:rsidP="5ECF1BC0">
      <w:pPr>
        <w:spacing w:line="360" w:lineRule="auto"/>
        <w:rPr>
          <w:sz w:val="22"/>
          <w:szCs w:val="22"/>
        </w:rPr>
      </w:pPr>
    </w:p>
    <w:p w14:paraId="3FA898D8" w14:textId="1B6FF04E" w:rsidR="70B7F7BB" w:rsidRDefault="70B7F7BB" w:rsidP="5ECF1BC0">
      <w:pPr>
        <w:spacing w:line="360" w:lineRule="auto"/>
        <w:rPr>
          <w:sz w:val="22"/>
          <w:szCs w:val="22"/>
        </w:rPr>
      </w:pPr>
    </w:p>
    <w:p w14:paraId="2B459E96" w14:textId="7521E7A9" w:rsidR="70B7F7BB" w:rsidRDefault="70B7F7BB" w:rsidP="5ECF1BC0">
      <w:pPr>
        <w:spacing w:line="360" w:lineRule="auto"/>
        <w:rPr>
          <w:sz w:val="22"/>
          <w:szCs w:val="22"/>
        </w:rPr>
      </w:pPr>
    </w:p>
    <w:p w14:paraId="2A1F94F1" w14:textId="2D25594D" w:rsidR="70B7F7BB" w:rsidRDefault="70B7F7BB" w:rsidP="5ECF1BC0">
      <w:pPr>
        <w:spacing w:line="360" w:lineRule="auto"/>
        <w:rPr>
          <w:sz w:val="22"/>
          <w:szCs w:val="22"/>
        </w:rPr>
      </w:pPr>
    </w:p>
    <w:p w14:paraId="3E8B099E" w14:textId="1F9A220E" w:rsidR="70B7F7BB" w:rsidRDefault="70B7F7BB" w:rsidP="5ECF1BC0">
      <w:pPr>
        <w:spacing w:line="360" w:lineRule="auto"/>
        <w:rPr>
          <w:sz w:val="22"/>
          <w:szCs w:val="22"/>
        </w:rPr>
      </w:pPr>
    </w:p>
    <w:p w14:paraId="745FEEC4" w14:textId="537B78D7" w:rsidR="70B7F7BB" w:rsidRDefault="70B7F7BB" w:rsidP="5ECF1BC0">
      <w:pPr>
        <w:spacing w:line="360" w:lineRule="auto"/>
        <w:rPr>
          <w:sz w:val="22"/>
          <w:szCs w:val="22"/>
        </w:rPr>
      </w:pPr>
    </w:p>
    <w:p w14:paraId="699D49CA" w14:textId="386ADB28" w:rsidR="70B7F7BB" w:rsidRDefault="70B7F7BB" w:rsidP="5ECF1BC0">
      <w:pPr>
        <w:spacing w:line="360" w:lineRule="auto"/>
        <w:rPr>
          <w:sz w:val="22"/>
          <w:szCs w:val="22"/>
        </w:rPr>
      </w:pPr>
    </w:p>
    <w:p w14:paraId="7A332767" w14:textId="373BBFDA" w:rsidR="70B7F7BB" w:rsidRDefault="70B7F7BB" w:rsidP="5ECF1BC0">
      <w:pPr>
        <w:spacing w:line="360" w:lineRule="auto"/>
        <w:rPr>
          <w:sz w:val="22"/>
          <w:szCs w:val="22"/>
        </w:rPr>
      </w:pPr>
    </w:p>
    <w:p w14:paraId="36A21B0E" w14:textId="7246D6ED" w:rsidR="70B7F7BB" w:rsidRDefault="597D651E" w:rsidP="0BBEACF1">
      <w:pPr>
        <w:spacing w:before="261" w:after="261" w:line="360" w:lineRule="auto"/>
        <w:rPr>
          <w:b/>
          <w:bCs/>
          <w:sz w:val="22"/>
          <w:szCs w:val="22"/>
          <w:u w:val="single"/>
        </w:rPr>
      </w:pPr>
      <w:r w:rsidRPr="0BBEACF1">
        <w:rPr>
          <w:b/>
          <w:bCs/>
          <w:sz w:val="22"/>
          <w:szCs w:val="22"/>
          <w:u w:val="single"/>
        </w:rPr>
        <w:lastRenderedPageBreak/>
        <w:t xml:space="preserve">REFERENCES </w:t>
      </w:r>
    </w:p>
    <w:p w14:paraId="666E0538" w14:textId="074FFACB" w:rsidR="70B7F7BB" w:rsidRDefault="6D72795A" w:rsidP="5ECF1BC0">
      <w:pPr>
        <w:spacing w:before="210" w:after="210" w:line="360" w:lineRule="auto"/>
        <w:rPr>
          <w:sz w:val="22"/>
          <w:szCs w:val="22"/>
        </w:rPr>
      </w:pPr>
      <w:r w:rsidRPr="5ECF1BC0">
        <w:rPr>
          <w:b/>
          <w:bCs/>
          <w:sz w:val="22"/>
          <w:szCs w:val="22"/>
        </w:rPr>
        <w:t>Bakker, A.B. &amp; Demerouti, E. (2017)</w:t>
      </w:r>
      <w:r w:rsidRPr="5ECF1BC0">
        <w:rPr>
          <w:sz w:val="22"/>
          <w:szCs w:val="22"/>
        </w:rPr>
        <w:t xml:space="preserve"> </w:t>
      </w:r>
      <w:r w:rsidRPr="5ECF1BC0">
        <w:rPr>
          <w:i/>
          <w:iCs/>
          <w:sz w:val="22"/>
          <w:szCs w:val="22"/>
        </w:rPr>
        <w:t>Job Demands–Resources theory: Taking stock and looking forward.</w:t>
      </w:r>
      <w:r w:rsidRPr="5ECF1BC0">
        <w:rPr>
          <w:sz w:val="22"/>
          <w:szCs w:val="22"/>
        </w:rPr>
        <w:t xml:space="preserve"> </w:t>
      </w:r>
      <w:r w:rsidRPr="5ECF1BC0">
        <w:rPr>
          <w:i/>
          <w:iCs/>
          <w:sz w:val="22"/>
          <w:szCs w:val="22"/>
        </w:rPr>
        <w:t>Journal of Occupational Health Psychology</w:t>
      </w:r>
      <w:r w:rsidRPr="5ECF1BC0">
        <w:rPr>
          <w:sz w:val="22"/>
          <w:szCs w:val="22"/>
        </w:rPr>
        <w:t>, 22(3), pp.273–285.</w:t>
      </w:r>
    </w:p>
    <w:p w14:paraId="63B86CE5" w14:textId="32D1787C" w:rsidR="70B7F7BB" w:rsidRDefault="6D72795A" w:rsidP="5ECF1BC0">
      <w:pPr>
        <w:spacing w:before="210" w:after="210" w:line="360" w:lineRule="auto"/>
        <w:rPr>
          <w:sz w:val="22"/>
          <w:szCs w:val="22"/>
        </w:rPr>
      </w:pPr>
      <w:r w:rsidRPr="5ECF1BC0">
        <w:rPr>
          <w:b/>
          <w:bCs/>
          <w:sz w:val="22"/>
          <w:szCs w:val="22"/>
        </w:rPr>
        <w:t>Be Mindful (n.d.)</w:t>
      </w:r>
      <w:r w:rsidRPr="5ECF1BC0">
        <w:rPr>
          <w:sz w:val="22"/>
          <w:szCs w:val="22"/>
        </w:rPr>
        <w:t xml:space="preserve"> </w:t>
      </w:r>
      <w:r w:rsidRPr="5ECF1BC0">
        <w:rPr>
          <w:i/>
          <w:iCs/>
          <w:sz w:val="22"/>
          <w:szCs w:val="22"/>
        </w:rPr>
        <w:t>Test your stress.</w:t>
      </w:r>
      <w:r w:rsidRPr="5ECF1BC0">
        <w:rPr>
          <w:sz w:val="22"/>
          <w:szCs w:val="22"/>
        </w:rPr>
        <w:t xml:space="preserve"> Available at: </w:t>
      </w:r>
      <w:hyperlink r:id="rId8">
        <w:r w:rsidRPr="5ECF1BC0">
          <w:rPr>
            <w:rStyle w:val="Hyperlink"/>
            <w:color w:val="auto"/>
            <w:sz w:val="22"/>
            <w:szCs w:val="22"/>
          </w:rPr>
          <w:t>https://www.bemindfulonline.com/test-your-stress</w:t>
        </w:r>
      </w:hyperlink>
      <w:r w:rsidRPr="5ECF1BC0">
        <w:rPr>
          <w:sz w:val="22"/>
          <w:szCs w:val="22"/>
        </w:rPr>
        <w:t xml:space="preserve"> (Accessed: 02 April 2026).</w:t>
      </w:r>
    </w:p>
    <w:p w14:paraId="7AEFC782" w14:textId="01498775" w:rsidR="70B7F7BB" w:rsidRDefault="6D72795A" w:rsidP="5ECF1BC0">
      <w:pPr>
        <w:spacing w:before="210" w:after="210" w:line="360" w:lineRule="auto"/>
        <w:rPr>
          <w:sz w:val="22"/>
          <w:szCs w:val="22"/>
        </w:rPr>
      </w:pPr>
      <w:r w:rsidRPr="5ECF1BC0">
        <w:rPr>
          <w:b/>
          <w:bCs/>
          <w:sz w:val="22"/>
          <w:szCs w:val="22"/>
        </w:rPr>
        <w:t>Berger, R. (2015)</w:t>
      </w:r>
      <w:r w:rsidRPr="5ECF1BC0">
        <w:rPr>
          <w:sz w:val="22"/>
          <w:szCs w:val="22"/>
        </w:rPr>
        <w:t xml:space="preserve"> ‘Now I see it, now I don’t: Researcher’s position and reflexivity in qualitative research.’ </w:t>
      </w:r>
      <w:r w:rsidRPr="5ECF1BC0">
        <w:rPr>
          <w:i/>
          <w:iCs/>
          <w:sz w:val="22"/>
          <w:szCs w:val="22"/>
        </w:rPr>
        <w:t>Qualitative Research</w:t>
      </w:r>
      <w:r w:rsidRPr="5ECF1BC0">
        <w:rPr>
          <w:sz w:val="22"/>
          <w:szCs w:val="22"/>
        </w:rPr>
        <w:t>, 15(2), pp.219–234.</w:t>
      </w:r>
    </w:p>
    <w:p w14:paraId="66B03D0D" w14:textId="0810413B" w:rsidR="70B7F7BB" w:rsidRDefault="6D72795A" w:rsidP="5ECF1BC0">
      <w:pPr>
        <w:spacing w:before="210" w:after="210" w:line="360" w:lineRule="auto"/>
        <w:rPr>
          <w:sz w:val="22"/>
          <w:szCs w:val="22"/>
        </w:rPr>
      </w:pPr>
      <w:r w:rsidRPr="5ECF1BC0">
        <w:rPr>
          <w:b/>
          <w:bCs/>
          <w:sz w:val="22"/>
          <w:szCs w:val="22"/>
        </w:rPr>
        <w:t>Bramwell, R.C., Streetman, A.E. &amp; Besenyi, G.M. (2023)</w:t>
      </w:r>
      <w:r w:rsidRPr="5ECF1BC0">
        <w:rPr>
          <w:sz w:val="22"/>
          <w:szCs w:val="22"/>
        </w:rPr>
        <w:t xml:space="preserve"> ‘The effect of outdoor and indoor group exercise classes on psychological stress in college students: a pilot study with randomization.’ </w:t>
      </w:r>
      <w:r w:rsidRPr="5ECF1BC0">
        <w:rPr>
          <w:i/>
          <w:iCs/>
          <w:sz w:val="22"/>
          <w:szCs w:val="22"/>
        </w:rPr>
        <w:t>International Journal of Exercise Science</w:t>
      </w:r>
      <w:r w:rsidRPr="5ECF1BC0">
        <w:rPr>
          <w:sz w:val="22"/>
          <w:szCs w:val="22"/>
        </w:rPr>
        <w:t>, 16(5), pp.1012–1024.</w:t>
      </w:r>
    </w:p>
    <w:p w14:paraId="6086E48A" w14:textId="6C13A857" w:rsidR="70B7F7BB" w:rsidRDefault="6D72795A" w:rsidP="5ECF1BC0">
      <w:pPr>
        <w:spacing w:before="210" w:after="210" w:line="360" w:lineRule="auto"/>
        <w:rPr>
          <w:sz w:val="22"/>
          <w:szCs w:val="22"/>
        </w:rPr>
      </w:pPr>
      <w:r w:rsidRPr="5ECF1BC0">
        <w:rPr>
          <w:b/>
          <w:bCs/>
          <w:sz w:val="22"/>
          <w:szCs w:val="22"/>
        </w:rPr>
        <w:t>Britannica (2025)</w:t>
      </w:r>
      <w:r w:rsidRPr="5ECF1BC0">
        <w:rPr>
          <w:sz w:val="22"/>
          <w:szCs w:val="22"/>
        </w:rPr>
        <w:t xml:space="preserve"> </w:t>
      </w:r>
      <w:r w:rsidRPr="5ECF1BC0">
        <w:rPr>
          <w:i/>
          <w:iCs/>
          <w:sz w:val="22"/>
          <w:szCs w:val="22"/>
        </w:rPr>
        <w:t>Biophilia hypothesis.</w:t>
      </w:r>
      <w:r w:rsidRPr="5ECF1BC0">
        <w:rPr>
          <w:sz w:val="22"/>
          <w:szCs w:val="22"/>
        </w:rPr>
        <w:t xml:space="preserve"> Available at: </w:t>
      </w:r>
      <w:hyperlink r:id="rId9">
        <w:r w:rsidRPr="5ECF1BC0">
          <w:rPr>
            <w:rStyle w:val="Hyperlink"/>
            <w:color w:val="auto"/>
            <w:sz w:val="22"/>
            <w:szCs w:val="22"/>
          </w:rPr>
          <w:t>https://www.britannica.com/science/biophilia-hypothesis</w:t>
        </w:r>
      </w:hyperlink>
      <w:r w:rsidRPr="5ECF1BC0">
        <w:rPr>
          <w:sz w:val="22"/>
          <w:szCs w:val="22"/>
        </w:rPr>
        <w:t xml:space="preserve"> (Accessed: 12 August 2025).</w:t>
      </w:r>
    </w:p>
    <w:p w14:paraId="78681E74" w14:textId="38BD03DA" w:rsidR="70B7F7BB" w:rsidRDefault="6D72795A" w:rsidP="5ECF1BC0">
      <w:pPr>
        <w:spacing w:before="210" w:after="210" w:line="360" w:lineRule="auto"/>
        <w:rPr>
          <w:sz w:val="22"/>
          <w:szCs w:val="22"/>
        </w:rPr>
      </w:pPr>
      <w:r w:rsidRPr="5ECF1BC0">
        <w:rPr>
          <w:b/>
          <w:bCs/>
          <w:sz w:val="22"/>
          <w:szCs w:val="22"/>
        </w:rPr>
        <w:t>Braun, V. &amp; Clarke, V. (2006)</w:t>
      </w:r>
      <w:r w:rsidRPr="5ECF1BC0">
        <w:rPr>
          <w:sz w:val="22"/>
          <w:szCs w:val="22"/>
        </w:rPr>
        <w:t xml:space="preserve"> ‘Using thematic analysis in psychology.’ </w:t>
      </w:r>
      <w:r w:rsidRPr="5ECF1BC0">
        <w:rPr>
          <w:i/>
          <w:iCs/>
          <w:sz w:val="22"/>
          <w:szCs w:val="22"/>
        </w:rPr>
        <w:t>Qualitative Research in Psychology</w:t>
      </w:r>
      <w:r w:rsidRPr="5ECF1BC0">
        <w:rPr>
          <w:sz w:val="22"/>
          <w:szCs w:val="22"/>
        </w:rPr>
        <w:t>, 3(2), pp.77–101.</w:t>
      </w:r>
    </w:p>
    <w:p w14:paraId="433F0E1E" w14:textId="3CFAD417" w:rsidR="70B7F7BB" w:rsidRDefault="6D72795A" w:rsidP="5ECF1BC0">
      <w:pPr>
        <w:spacing w:before="210" w:after="210" w:line="360" w:lineRule="auto"/>
        <w:rPr>
          <w:sz w:val="22"/>
          <w:szCs w:val="22"/>
        </w:rPr>
      </w:pPr>
      <w:r w:rsidRPr="5ECF1BC0">
        <w:rPr>
          <w:b/>
          <w:bCs/>
          <w:sz w:val="22"/>
          <w:szCs w:val="22"/>
        </w:rPr>
        <w:t>Braun, V. &amp; Clarke, V. (2019)</w:t>
      </w:r>
      <w:r w:rsidRPr="5ECF1BC0">
        <w:rPr>
          <w:sz w:val="22"/>
          <w:szCs w:val="22"/>
        </w:rPr>
        <w:t xml:space="preserve"> ‘Reflecting on reflexive thematic analysis.’ </w:t>
      </w:r>
      <w:r w:rsidRPr="5ECF1BC0">
        <w:rPr>
          <w:i/>
          <w:iCs/>
          <w:sz w:val="22"/>
          <w:szCs w:val="22"/>
        </w:rPr>
        <w:t>Qualitative Research in Sport, Exercise and Health</w:t>
      </w:r>
      <w:r w:rsidRPr="5ECF1BC0">
        <w:rPr>
          <w:sz w:val="22"/>
          <w:szCs w:val="22"/>
        </w:rPr>
        <w:t>, 11(4), pp.589–597.</w:t>
      </w:r>
    </w:p>
    <w:p w14:paraId="64F29507" w14:textId="18B8D3A9" w:rsidR="70B7F7BB" w:rsidRDefault="597D651E" w:rsidP="0BBEACF1">
      <w:pPr>
        <w:spacing w:before="210" w:after="210" w:line="360" w:lineRule="auto"/>
        <w:rPr>
          <w:sz w:val="22"/>
          <w:szCs w:val="22"/>
        </w:rPr>
      </w:pPr>
      <w:r w:rsidRPr="0BBEACF1">
        <w:rPr>
          <w:b/>
          <w:bCs/>
          <w:sz w:val="22"/>
          <w:szCs w:val="22"/>
        </w:rPr>
        <w:t>Braun, V. &amp; Clarke, V. (2021)</w:t>
      </w:r>
      <w:r w:rsidRPr="0BBEACF1">
        <w:rPr>
          <w:sz w:val="22"/>
          <w:szCs w:val="22"/>
        </w:rPr>
        <w:t xml:space="preserve"> </w:t>
      </w:r>
      <w:r w:rsidRPr="0BBEACF1">
        <w:rPr>
          <w:i/>
          <w:iCs/>
          <w:sz w:val="22"/>
          <w:szCs w:val="22"/>
        </w:rPr>
        <w:t>Thematic analysis: A practical guide.</w:t>
      </w:r>
      <w:r w:rsidRPr="0BBEACF1">
        <w:rPr>
          <w:sz w:val="22"/>
          <w:szCs w:val="22"/>
        </w:rPr>
        <w:t xml:space="preserve"> London: Sage.</w:t>
      </w:r>
    </w:p>
    <w:p w14:paraId="7293E6D2" w14:textId="67B217CD" w:rsidR="70B7F7BB" w:rsidRDefault="6D72795A" w:rsidP="5ECF1BC0">
      <w:pPr>
        <w:spacing w:before="210" w:after="210" w:line="360" w:lineRule="auto"/>
        <w:rPr>
          <w:sz w:val="22"/>
          <w:szCs w:val="22"/>
        </w:rPr>
      </w:pPr>
      <w:r w:rsidRPr="5ECF1BC0">
        <w:rPr>
          <w:b/>
          <w:bCs/>
          <w:sz w:val="22"/>
          <w:szCs w:val="22"/>
        </w:rPr>
        <w:t>Centre for Sustainable Healthcare &amp; University of Sheffield (2023)</w:t>
      </w:r>
      <w:r w:rsidRPr="5ECF1BC0">
        <w:rPr>
          <w:sz w:val="22"/>
          <w:szCs w:val="22"/>
        </w:rPr>
        <w:t xml:space="preserve"> </w:t>
      </w:r>
      <w:r w:rsidRPr="5ECF1BC0">
        <w:rPr>
          <w:i/>
          <w:iCs/>
          <w:sz w:val="22"/>
          <w:szCs w:val="22"/>
        </w:rPr>
        <w:t>Green Social Prescribing: National Evaluation Report.</w:t>
      </w:r>
      <w:r w:rsidRPr="5ECF1BC0">
        <w:rPr>
          <w:sz w:val="22"/>
          <w:szCs w:val="22"/>
        </w:rPr>
        <w:t xml:space="preserve"> Available at: </w:t>
      </w:r>
      <w:hyperlink r:id="rId10">
        <w:r w:rsidRPr="5ECF1BC0">
          <w:rPr>
            <w:rStyle w:val="Hyperlink"/>
            <w:color w:val="auto"/>
            <w:sz w:val="22"/>
            <w:szCs w:val="22"/>
          </w:rPr>
          <w:t>https://www.sustainablehealthcare.org.uk/green-social-prescribing</w:t>
        </w:r>
      </w:hyperlink>
      <w:r w:rsidRPr="5ECF1BC0">
        <w:rPr>
          <w:sz w:val="22"/>
          <w:szCs w:val="22"/>
        </w:rPr>
        <w:t xml:space="preserve"> (Accessed: 28 April 2025).</w:t>
      </w:r>
    </w:p>
    <w:p w14:paraId="220E2D96" w14:textId="541137F1" w:rsidR="70B7F7BB" w:rsidRDefault="6D72795A" w:rsidP="5ECF1BC0">
      <w:pPr>
        <w:spacing w:before="210" w:after="210" w:line="360" w:lineRule="auto"/>
        <w:rPr>
          <w:sz w:val="22"/>
          <w:szCs w:val="22"/>
        </w:rPr>
      </w:pPr>
      <w:r w:rsidRPr="5ECF1BC0">
        <w:rPr>
          <w:b/>
          <w:bCs/>
          <w:sz w:val="22"/>
          <w:szCs w:val="22"/>
        </w:rPr>
        <w:t>Clark, S.C. (2000)</w:t>
      </w:r>
      <w:r w:rsidRPr="5ECF1BC0">
        <w:rPr>
          <w:sz w:val="22"/>
          <w:szCs w:val="22"/>
        </w:rPr>
        <w:t xml:space="preserve"> ‘Work/family border theory: A new theory of work/family balance.’ </w:t>
      </w:r>
      <w:r w:rsidRPr="5ECF1BC0">
        <w:rPr>
          <w:i/>
          <w:iCs/>
          <w:sz w:val="22"/>
          <w:szCs w:val="22"/>
        </w:rPr>
        <w:t>Human Relations</w:t>
      </w:r>
      <w:r w:rsidRPr="5ECF1BC0">
        <w:rPr>
          <w:sz w:val="22"/>
          <w:szCs w:val="22"/>
        </w:rPr>
        <w:t>, 53(6), pp.747–770.</w:t>
      </w:r>
    </w:p>
    <w:p w14:paraId="23B5E7C3" w14:textId="1655EE60" w:rsidR="70B7F7BB" w:rsidRDefault="6D72795A" w:rsidP="5ECF1BC0">
      <w:pPr>
        <w:spacing w:before="210" w:after="210" w:line="360" w:lineRule="auto"/>
        <w:rPr>
          <w:sz w:val="22"/>
          <w:szCs w:val="22"/>
        </w:rPr>
      </w:pPr>
      <w:r w:rsidRPr="5ECF1BC0">
        <w:rPr>
          <w:b/>
          <w:bCs/>
          <w:sz w:val="22"/>
          <w:szCs w:val="22"/>
        </w:rPr>
        <w:t>Cohen, L., Manion, L. &amp; Morrison, K. (2018)</w:t>
      </w:r>
      <w:r w:rsidRPr="5ECF1BC0">
        <w:rPr>
          <w:sz w:val="22"/>
          <w:szCs w:val="22"/>
        </w:rPr>
        <w:t xml:space="preserve"> </w:t>
      </w:r>
      <w:r w:rsidRPr="5ECF1BC0">
        <w:rPr>
          <w:i/>
          <w:iCs/>
          <w:sz w:val="22"/>
          <w:szCs w:val="22"/>
        </w:rPr>
        <w:t>Research methods in education.</w:t>
      </w:r>
      <w:r w:rsidRPr="5ECF1BC0">
        <w:rPr>
          <w:sz w:val="22"/>
          <w:szCs w:val="22"/>
        </w:rPr>
        <w:t xml:space="preserve"> 8th ed. London: Routledge.</w:t>
      </w:r>
    </w:p>
    <w:p w14:paraId="522AE110" w14:textId="5B3D38D5" w:rsidR="70B7F7BB" w:rsidRDefault="597D651E" w:rsidP="0BBEACF1">
      <w:pPr>
        <w:spacing w:before="210" w:after="210" w:line="360" w:lineRule="auto"/>
        <w:rPr>
          <w:sz w:val="22"/>
          <w:szCs w:val="22"/>
        </w:rPr>
      </w:pPr>
      <w:r w:rsidRPr="0BBEACF1">
        <w:rPr>
          <w:b/>
          <w:bCs/>
          <w:sz w:val="22"/>
          <w:szCs w:val="22"/>
        </w:rPr>
        <w:t>Cohen, S., Kamarck, T. &amp; Mermelstein, R. (1983)</w:t>
      </w:r>
      <w:r w:rsidRPr="0BBEACF1">
        <w:rPr>
          <w:sz w:val="22"/>
          <w:szCs w:val="22"/>
        </w:rPr>
        <w:t xml:space="preserve"> ‘A global measure of perceived stress.’ </w:t>
      </w:r>
      <w:r w:rsidRPr="0BBEACF1">
        <w:rPr>
          <w:i/>
          <w:iCs/>
          <w:sz w:val="22"/>
          <w:szCs w:val="22"/>
        </w:rPr>
        <w:t>Journal of Health and Social Behavior</w:t>
      </w:r>
      <w:r w:rsidRPr="0BBEACF1">
        <w:rPr>
          <w:sz w:val="22"/>
          <w:szCs w:val="22"/>
        </w:rPr>
        <w:t>, 24(4), pp.385–396.</w:t>
      </w:r>
    </w:p>
    <w:p w14:paraId="53507E02" w14:textId="4ED8073A" w:rsidR="70B7F7BB" w:rsidRDefault="597D651E" w:rsidP="0BBEACF1">
      <w:pPr>
        <w:spacing w:before="210" w:after="210" w:line="360" w:lineRule="auto"/>
        <w:rPr>
          <w:sz w:val="22"/>
          <w:szCs w:val="22"/>
        </w:rPr>
      </w:pPr>
      <w:r w:rsidRPr="0BBEACF1">
        <w:rPr>
          <w:b/>
          <w:bCs/>
          <w:sz w:val="22"/>
          <w:szCs w:val="22"/>
        </w:rPr>
        <w:t>Education Support (2022)</w:t>
      </w:r>
      <w:r w:rsidRPr="0BBEACF1">
        <w:rPr>
          <w:sz w:val="22"/>
          <w:szCs w:val="22"/>
        </w:rPr>
        <w:t xml:space="preserve"> </w:t>
      </w:r>
      <w:r w:rsidRPr="0BBEACF1">
        <w:rPr>
          <w:i/>
          <w:iCs/>
          <w:sz w:val="22"/>
          <w:szCs w:val="22"/>
        </w:rPr>
        <w:t>Teacher Wellbeing Index 2022.</w:t>
      </w:r>
      <w:r w:rsidRPr="0BBEACF1">
        <w:rPr>
          <w:sz w:val="22"/>
          <w:szCs w:val="22"/>
        </w:rPr>
        <w:t xml:space="preserve"> Available at:</w:t>
      </w:r>
      <w:r w:rsidR="70B7F7BB">
        <w:br/>
      </w:r>
      <w:r w:rsidRPr="0BBEACF1">
        <w:rPr>
          <w:sz w:val="22"/>
          <w:szCs w:val="22"/>
        </w:rPr>
        <w:t xml:space="preserve"> </w:t>
      </w:r>
      <w:hyperlink r:id="rId11">
        <w:r w:rsidRPr="0BBEACF1">
          <w:rPr>
            <w:rStyle w:val="Hyperlink"/>
            <w:color w:val="auto"/>
            <w:sz w:val="22"/>
            <w:szCs w:val="22"/>
          </w:rPr>
          <w:t>https://www.educationsupport.org.uk/news-and-events/news/teacher-wellbeing-index-2022-</w:t>
        </w:r>
        <w:r w:rsidRPr="0BBEACF1">
          <w:rPr>
            <w:rStyle w:val="Hyperlink"/>
            <w:color w:val="auto"/>
            <w:sz w:val="22"/>
            <w:szCs w:val="22"/>
          </w:rPr>
          <w:lastRenderedPageBreak/>
          <w:t>record-numbers-plan-to-leave-profession-as-mental-health-suffers</w:t>
        </w:r>
      </w:hyperlink>
      <w:r w:rsidR="70B7F7BB">
        <w:br/>
      </w:r>
      <w:r w:rsidRPr="0BBEACF1">
        <w:rPr>
          <w:sz w:val="22"/>
          <w:szCs w:val="22"/>
        </w:rPr>
        <w:t xml:space="preserve"> (Accessed: 19 July 2025).</w:t>
      </w:r>
    </w:p>
    <w:p w14:paraId="077DD4F7" w14:textId="78DA1FDF" w:rsidR="70B7F7BB" w:rsidRDefault="6D72795A" w:rsidP="5ECF1BC0">
      <w:pPr>
        <w:spacing w:before="210" w:after="210" w:line="360" w:lineRule="auto"/>
        <w:rPr>
          <w:sz w:val="22"/>
          <w:szCs w:val="22"/>
        </w:rPr>
      </w:pPr>
      <w:r w:rsidRPr="5ECF1BC0">
        <w:rPr>
          <w:b/>
          <w:bCs/>
          <w:sz w:val="22"/>
          <w:szCs w:val="22"/>
        </w:rPr>
        <w:t>Feilzer, M.Y. (2023)</w:t>
      </w:r>
      <w:r w:rsidRPr="5ECF1BC0">
        <w:rPr>
          <w:sz w:val="22"/>
          <w:szCs w:val="22"/>
        </w:rPr>
        <w:t xml:space="preserve"> ‘A Pragmatist Approach to Mixed Methods Research.’ In: </w:t>
      </w:r>
      <w:r w:rsidRPr="5ECF1BC0">
        <w:rPr>
          <w:i/>
          <w:iCs/>
          <w:sz w:val="22"/>
          <w:szCs w:val="22"/>
        </w:rPr>
        <w:t>Philosophical Foundations of Mixed Methods Research.</w:t>
      </w:r>
      <w:r w:rsidRPr="5ECF1BC0">
        <w:rPr>
          <w:sz w:val="22"/>
          <w:szCs w:val="22"/>
        </w:rPr>
        <w:t xml:space="preserve"> Routledge.</w:t>
      </w:r>
    </w:p>
    <w:p w14:paraId="043CA7A0" w14:textId="4C257132" w:rsidR="70B7F7BB" w:rsidRDefault="6D72795A" w:rsidP="5ECF1BC0">
      <w:pPr>
        <w:spacing w:before="210" w:after="210" w:line="360" w:lineRule="auto"/>
        <w:rPr>
          <w:sz w:val="22"/>
          <w:szCs w:val="22"/>
        </w:rPr>
      </w:pPr>
      <w:r w:rsidRPr="5ECF1BC0">
        <w:rPr>
          <w:b/>
          <w:bCs/>
          <w:sz w:val="22"/>
          <w:szCs w:val="22"/>
        </w:rPr>
        <w:t>Finlay, L. (2002)</w:t>
      </w:r>
      <w:r w:rsidRPr="5ECF1BC0">
        <w:rPr>
          <w:sz w:val="22"/>
          <w:szCs w:val="22"/>
        </w:rPr>
        <w:t xml:space="preserve"> ‘Negotiating the swamp: the opportunity and challenge of reflexivity in research practice.’ </w:t>
      </w:r>
      <w:r w:rsidRPr="5ECF1BC0">
        <w:rPr>
          <w:i/>
          <w:iCs/>
          <w:sz w:val="22"/>
          <w:szCs w:val="22"/>
        </w:rPr>
        <w:t>Qualitative Research</w:t>
      </w:r>
      <w:r w:rsidRPr="5ECF1BC0">
        <w:rPr>
          <w:sz w:val="22"/>
          <w:szCs w:val="22"/>
        </w:rPr>
        <w:t>, 2(2), pp.209–230.</w:t>
      </w:r>
    </w:p>
    <w:p w14:paraId="37FF1C1D" w14:textId="0B2DE17B" w:rsidR="70B7F7BB" w:rsidRDefault="6D72795A" w:rsidP="5ECF1BC0">
      <w:pPr>
        <w:spacing w:before="210" w:after="210" w:line="360" w:lineRule="auto"/>
        <w:rPr>
          <w:sz w:val="22"/>
          <w:szCs w:val="22"/>
        </w:rPr>
      </w:pPr>
      <w:r w:rsidRPr="5ECF1BC0">
        <w:rPr>
          <w:b/>
          <w:bCs/>
          <w:sz w:val="22"/>
          <w:szCs w:val="22"/>
        </w:rPr>
        <w:t>Foster, C. (2024)</w:t>
      </w:r>
      <w:r w:rsidRPr="5ECF1BC0">
        <w:rPr>
          <w:sz w:val="22"/>
          <w:szCs w:val="22"/>
        </w:rPr>
        <w:t xml:space="preserve"> ‘Methodological pragmatism in educational research: from qualitative‑quantitative to exploratory‑confirmatory distinctions.’ </w:t>
      </w:r>
      <w:r w:rsidRPr="5ECF1BC0">
        <w:rPr>
          <w:i/>
          <w:iCs/>
          <w:sz w:val="22"/>
          <w:szCs w:val="22"/>
        </w:rPr>
        <w:t>International Journal of Research &amp; Method in Education</w:t>
      </w:r>
      <w:r w:rsidRPr="5ECF1BC0">
        <w:rPr>
          <w:sz w:val="22"/>
          <w:szCs w:val="22"/>
        </w:rPr>
        <w:t>, 47(1), pp.4–19.</w:t>
      </w:r>
    </w:p>
    <w:p w14:paraId="2E737F57" w14:textId="14E34A01" w:rsidR="70B7F7BB" w:rsidRDefault="597D651E" w:rsidP="0BBEACF1">
      <w:pPr>
        <w:spacing w:before="210" w:after="210" w:line="360" w:lineRule="auto"/>
        <w:rPr>
          <w:sz w:val="22"/>
          <w:szCs w:val="22"/>
        </w:rPr>
      </w:pPr>
      <w:r w:rsidRPr="0BBEACF1">
        <w:rPr>
          <w:b/>
          <w:bCs/>
          <w:sz w:val="22"/>
          <w:szCs w:val="22"/>
        </w:rPr>
        <w:t>Fraser, M., Munoz, S‑A. &amp; MacRury, S. (2019)</w:t>
      </w:r>
      <w:r w:rsidRPr="0BBEACF1">
        <w:rPr>
          <w:sz w:val="22"/>
          <w:szCs w:val="22"/>
        </w:rPr>
        <w:t xml:space="preserve"> ‘Does the mode of exercise influence the benefits obtained by green exercise?’ </w:t>
      </w:r>
      <w:r w:rsidRPr="0BBEACF1">
        <w:rPr>
          <w:i/>
          <w:iCs/>
          <w:sz w:val="22"/>
          <w:szCs w:val="22"/>
        </w:rPr>
        <w:t>International Journal of Environmental Research and Public Health</w:t>
      </w:r>
      <w:r w:rsidRPr="0BBEACF1">
        <w:rPr>
          <w:sz w:val="22"/>
          <w:szCs w:val="22"/>
        </w:rPr>
        <w:t>, 16(16), 3004.</w:t>
      </w:r>
    </w:p>
    <w:p w14:paraId="6A6DC7D4" w14:textId="61D55008" w:rsidR="70B7F7BB" w:rsidRDefault="6D72795A" w:rsidP="5ECF1BC0">
      <w:pPr>
        <w:spacing w:before="210" w:after="210" w:line="360" w:lineRule="auto"/>
        <w:rPr>
          <w:sz w:val="22"/>
          <w:szCs w:val="22"/>
        </w:rPr>
      </w:pPr>
      <w:r w:rsidRPr="5ECF1BC0">
        <w:rPr>
          <w:b/>
          <w:bCs/>
          <w:sz w:val="22"/>
          <w:szCs w:val="22"/>
        </w:rPr>
        <w:t>Geary, R.S. et al. (2023)</w:t>
      </w:r>
      <w:r w:rsidRPr="5ECF1BC0">
        <w:rPr>
          <w:sz w:val="22"/>
          <w:szCs w:val="22"/>
        </w:rPr>
        <w:t xml:space="preserve"> ‘Green–blue space exposure changes and impact on individual‑level well‑being and mental health.’ </w:t>
      </w:r>
      <w:r w:rsidRPr="5ECF1BC0">
        <w:rPr>
          <w:i/>
          <w:iCs/>
          <w:sz w:val="22"/>
          <w:szCs w:val="22"/>
        </w:rPr>
        <w:t>Public Health Research</w:t>
      </w:r>
      <w:r w:rsidRPr="5ECF1BC0">
        <w:rPr>
          <w:sz w:val="22"/>
          <w:szCs w:val="22"/>
        </w:rPr>
        <w:t>, 11(10).</w:t>
      </w:r>
    </w:p>
    <w:p w14:paraId="2FC05B30" w14:textId="75EB38B3" w:rsidR="70B7F7BB" w:rsidRDefault="597D651E" w:rsidP="0BBEACF1">
      <w:pPr>
        <w:spacing w:before="210" w:after="210" w:line="360" w:lineRule="auto"/>
        <w:rPr>
          <w:sz w:val="22"/>
          <w:szCs w:val="22"/>
        </w:rPr>
      </w:pPr>
      <w:r w:rsidRPr="0BBEACF1">
        <w:rPr>
          <w:b/>
          <w:bCs/>
          <w:sz w:val="22"/>
          <w:szCs w:val="22"/>
        </w:rPr>
        <w:t>Gillespie, A., Glăveanu, V. &amp; de Saint Laurent, C. (2024)</w:t>
      </w:r>
      <w:r w:rsidRPr="0BBEACF1">
        <w:rPr>
          <w:sz w:val="22"/>
          <w:szCs w:val="22"/>
        </w:rPr>
        <w:t xml:space="preserve"> </w:t>
      </w:r>
      <w:r w:rsidRPr="0BBEACF1">
        <w:rPr>
          <w:i/>
          <w:iCs/>
          <w:sz w:val="22"/>
          <w:szCs w:val="22"/>
        </w:rPr>
        <w:t>Pragmatism and Methodology: Doing Research That Matters with Mixed Methods.</w:t>
      </w:r>
      <w:r w:rsidRPr="0BBEACF1">
        <w:rPr>
          <w:sz w:val="22"/>
          <w:szCs w:val="22"/>
        </w:rPr>
        <w:t xml:space="preserve"> Cambridge: Cambridge University Press.</w:t>
      </w:r>
    </w:p>
    <w:p w14:paraId="39CAE65D" w14:textId="625132CB" w:rsidR="70B7F7BB" w:rsidRDefault="6D72795A" w:rsidP="5ECF1BC0">
      <w:pPr>
        <w:spacing w:before="210" w:after="210" w:line="360" w:lineRule="auto"/>
        <w:rPr>
          <w:sz w:val="22"/>
          <w:szCs w:val="22"/>
        </w:rPr>
      </w:pPr>
      <w:r w:rsidRPr="5ECF1BC0">
        <w:rPr>
          <w:b/>
          <w:bCs/>
          <w:sz w:val="22"/>
          <w:szCs w:val="22"/>
        </w:rPr>
        <w:t>Hidden Lives Revealed (n.d.)</w:t>
      </w:r>
      <w:r w:rsidRPr="5ECF1BC0">
        <w:rPr>
          <w:sz w:val="22"/>
          <w:szCs w:val="22"/>
        </w:rPr>
        <w:t xml:space="preserve"> </w:t>
      </w:r>
      <w:r w:rsidRPr="5ECF1BC0">
        <w:rPr>
          <w:i/>
          <w:iCs/>
          <w:sz w:val="22"/>
          <w:szCs w:val="22"/>
        </w:rPr>
        <w:t>Convalescent Homes and Seaside Care.</w:t>
      </w:r>
      <w:r w:rsidRPr="5ECF1BC0">
        <w:rPr>
          <w:sz w:val="22"/>
          <w:szCs w:val="22"/>
        </w:rPr>
        <w:t xml:space="preserve"> Available at: </w:t>
      </w:r>
      <w:hyperlink r:id="rId12">
        <w:r w:rsidRPr="5ECF1BC0">
          <w:rPr>
            <w:rStyle w:val="Hyperlink"/>
            <w:color w:val="auto"/>
            <w:sz w:val="22"/>
            <w:szCs w:val="22"/>
          </w:rPr>
          <w:t>https://www.hiddenlives.org.uk</w:t>
        </w:r>
      </w:hyperlink>
      <w:r w:rsidRPr="5ECF1BC0">
        <w:rPr>
          <w:sz w:val="22"/>
          <w:szCs w:val="22"/>
        </w:rPr>
        <w:t xml:space="preserve"> (Accessed: 12 August 2025).</w:t>
      </w:r>
    </w:p>
    <w:p w14:paraId="3D312E66" w14:textId="601A798C" w:rsidR="70B7F7BB" w:rsidRDefault="6D72795A" w:rsidP="5ECF1BC0">
      <w:pPr>
        <w:spacing w:before="210" w:after="210" w:line="360" w:lineRule="auto"/>
        <w:rPr>
          <w:sz w:val="22"/>
          <w:szCs w:val="22"/>
        </w:rPr>
      </w:pPr>
      <w:r w:rsidRPr="5ECF1BC0">
        <w:rPr>
          <w:b/>
          <w:bCs/>
          <w:sz w:val="22"/>
          <w:szCs w:val="22"/>
        </w:rPr>
        <w:t>Holmes, A.G.D. (2020)</w:t>
      </w:r>
      <w:r w:rsidRPr="5ECF1BC0">
        <w:rPr>
          <w:sz w:val="22"/>
          <w:szCs w:val="22"/>
        </w:rPr>
        <w:t xml:space="preserve"> ‘Researcher positionality: A consideration of its influence and place in qualitative research.’ </w:t>
      </w:r>
      <w:r w:rsidRPr="5ECF1BC0">
        <w:rPr>
          <w:i/>
          <w:iCs/>
          <w:sz w:val="22"/>
          <w:szCs w:val="22"/>
        </w:rPr>
        <w:t>International Journal of Education</w:t>
      </w:r>
      <w:r w:rsidRPr="5ECF1BC0">
        <w:rPr>
          <w:sz w:val="22"/>
          <w:szCs w:val="22"/>
        </w:rPr>
        <w:t>, 8(4), pp.1–10.</w:t>
      </w:r>
    </w:p>
    <w:p w14:paraId="27477928" w14:textId="0733DE4B" w:rsidR="70B7F7BB" w:rsidRDefault="597D651E" w:rsidP="0BBEACF1">
      <w:pPr>
        <w:spacing w:before="210" w:after="210" w:line="360" w:lineRule="auto"/>
        <w:rPr>
          <w:sz w:val="22"/>
          <w:szCs w:val="22"/>
        </w:rPr>
      </w:pPr>
      <w:r w:rsidRPr="0BBEACF1">
        <w:rPr>
          <w:b/>
          <w:bCs/>
          <w:sz w:val="22"/>
          <w:szCs w:val="22"/>
        </w:rPr>
        <w:t>Holt‑Lunstad, J., Smith, T.B. &amp; Layton, J.B. (2010)</w:t>
      </w:r>
      <w:r w:rsidRPr="0BBEACF1">
        <w:rPr>
          <w:sz w:val="22"/>
          <w:szCs w:val="22"/>
        </w:rPr>
        <w:t xml:space="preserve"> ‘Social relationships and mortality risk: a meta‑analytic review.’ </w:t>
      </w:r>
      <w:r w:rsidRPr="0BBEACF1">
        <w:rPr>
          <w:i/>
          <w:iCs/>
          <w:sz w:val="22"/>
          <w:szCs w:val="22"/>
        </w:rPr>
        <w:t>PLoS Medicine</w:t>
      </w:r>
      <w:r w:rsidRPr="0BBEACF1">
        <w:rPr>
          <w:sz w:val="22"/>
          <w:szCs w:val="22"/>
        </w:rPr>
        <w:t>, 7(7), e1000316.</w:t>
      </w:r>
    </w:p>
    <w:p w14:paraId="22827593" w14:textId="78CAEA0D" w:rsidR="70B7F7BB" w:rsidRDefault="6D72795A" w:rsidP="5ECF1BC0">
      <w:pPr>
        <w:spacing w:before="210" w:after="210" w:line="360" w:lineRule="auto"/>
        <w:rPr>
          <w:sz w:val="22"/>
          <w:szCs w:val="22"/>
        </w:rPr>
      </w:pPr>
      <w:r w:rsidRPr="5ECF1BC0">
        <w:rPr>
          <w:b/>
          <w:bCs/>
          <w:sz w:val="22"/>
          <w:szCs w:val="22"/>
        </w:rPr>
        <w:t>Kidger, J. et al. (2016)</w:t>
      </w:r>
      <w:r w:rsidRPr="5ECF1BC0">
        <w:rPr>
          <w:sz w:val="22"/>
          <w:szCs w:val="22"/>
        </w:rPr>
        <w:t xml:space="preserve"> ‘Teachers’ wellbeing and depressive symptoms…’ </w:t>
      </w:r>
      <w:r w:rsidRPr="5ECF1BC0">
        <w:rPr>
          <w:i/>
          <w:iCs/>
          <w:sz w:val="22"/>
          <w:szCs w:val="22"/>
        </w:rPr>
        <w:t>Journal of Affective Disorders</w:t>
      </w:r>
      <w:r w:rsidRPr="5ECF1BC0">
        <w:rPr>
          <w:sz w:val="22"/>
          <w:szCs w:val="22"/>
        </w:rPr>
        <w:t>, 192, pp.76–82.</w:t>
      </w:r>
    </w:p>
    <w:p w14:paraId="63A25818" w14:textId="4C8D1A6D" w:rsidR="70B7F7BB" w:rsidRDefault="6D72795A" w:rsidP="5ECF1BC0">
      <w:pPr>
        <w:spacing w:before="210" w:after="210" w:line="360" w:lineRule="auto"/>
        <w:rPr>
          <w:sz w:val="22"/>
          <w:szCs w:val="22"/>
        </w:rPr>
      </w:pPr>
      <w:r w:rsidRPr="5ECF1BC0">
        <w:rPr>
          <w:b/>
          <w:bCs/>
          <w:sz w:val="22"/>
          <w:szCs w:val="22"/>
        </w:rPr>
        <w:t>Kotera, Y. et al. (2023)</w:t>
      </w:r>
      <w:r w:rsidRPr="5ECF1BC0">
        <w:rPr>
          <w:sz w:val="22"/>
          <w:szCs w:val="22"/>
        </w:rPr>
        <w:t xml:space="preserve"> ‘Effects of Forest Bathing on Mental Health: A Systematic Review and Meta‑Analysis.’ </w:t>
      </w:r>
      <w:r w:rsidRPr="5ECF1BC0">
        <w:rPr>
          <w:i/>
          <w:iCs/>
          <w:sz w:val="22"/>
          <w:szCs w:val="22"/>
        </w:rPr>
        <w:t>International Journal of Mental Health Nursing</w:t>
      </w:r>
      <w:r w:rsidRPr="5ECF1BC0">
        <w:rPr>
          <w:sz w:val="22"/>
          <w:szCs w:val="22"/>
        </w:rPr>
        <w:t>, 32(1), pp.314–331.</w:t>
      </w:r>
    </w:p>
    <w:p w14:paraId="2A1233E2" w14:textId="25D618C2" w:rsidR="70B7F7BB" w:rsidRDefault="597D651E" w:rsidP="0BBEACF1">
      <w:pPr>
        <w:spacing w:before="210" w:after="210" w:line="360" w:lineRule="auto"/>
        <w:rPr>
          <w:sz w:val="22"/>
          <w:szCs w:val="22"/>
        </w:rPr>
      </w:pPr>
      <w:r w:rsidRPr="0BBEACF1">
        <w:rPr>
          <w:b/>
          <w:bCs/>
          <w:sz w:val="22"/>
          <w:szCs w:val="22"/>
        </w:rPr>
        <w:t>Kövi, Z. et al. (2023)</w:t>
      </w:r>
      <w:r w:rsidRPr="0BBEACF1">
        <w:rPr>
          <w:sz w:val="22"/>
          <w:szCs w:val="22"/>
        </w:rPr>
        <w:t xml:space="preserve"> ‘Cross‑cultural validity of the Nature Relatedness Scale (NR‑6)…’ </w:t>
      </w:r>
      <w:r w:rsidRPr="0BBEACF1">
        <w:rPr>
          <w:i/>
          <w:iCs/>
          <w:sz w:val="22"/>
          <w:szCs w:val="22"/>
        </w:rPr>
        <w:t>International Journal of Wellbeing</w:t>
      </w:r>
      <w:r w:rsidRPr="0BBEACF1">
        <w:rPr>
          <w:sz w:val="22"/>
          <w:szCs w:val="22"/>
        </w:rPr>
        <w:t>, 13(2), pp.45–76.</w:t>
      </w:r>
    </w:p>
    <w:p w14:paraId="3D9DEC01" w14:textId="7365DA32" w:rsidR="70B7F7BB" w:rsidRDefault="597D651E" w:rsidP="0BBEACF1">
      <w:pPr>
        <w:spacing w:before="210" w:after="210" w:line="360" w:lineRule="auto"/>
        <w:rPr>
          <w:sz w:val="22"/>
          <w:szCs w:val="22"/>
        </w:rPr>
      </w:pPr>
      <w:r w:rsidRPr="0BBEACF1">
        <w:rPr>
          <w:b/>
          <w:bCs/>
          <w:sz w:val="22"/>
          <w:szCs w:val="22"/>
        </w:rPr>
        <w:lastRenderedPageBreak/>
        <w:t>Li, Q. (2022)</w:t>
      </w:r>
      <w:r w:rsidRPr="0BBEACF1">
        <w:rPr>
          <w:sz w:val="22"/>
          <w:szCs w:val="22"/>
        </w:rPr>
        <w:t xml:space="preserve"> ‘Effects of forest environment (Shinrin‑yoku/Forest bathing)…’ </w:t>
      </w:r>
      <w:r w:rsidRPr="0BBEACF1">
        <w:rPr>
          <w:i/>
          <w:iCs/>
          <w:sz w:val="22"/>
          <w:szCs w:val="22"/>
        </w:rPr>
        <w:t>Environmental Health and Preventive Medicine</w:t>
      </w:r>
      <w:r w:rsidRPr="0BBEACF1">
        <w:rPr>
          <w:sz w:val="22"/>
          <w:szCs w:val="22"/>
        </w:rPr>
        <w:t>, 27, 43.</w:t>
      </w:r>
    </w:p>
    <w:p w14:paraId="387EAE1D" w14:textId="2B70AB6D" w:rsidR="70B7F7BB" w:rsidRDefault="597D651E" w:rsidP="0BBEACF1">
      <w:pPr>
        <w:spacing w:before="210" w:after="210" w:line="360" w:lineRule="auto"/>
        <w:rPr>
          <w:sz w:val="22"/>
          <w:szCs w:val="22"/>
        </w:rPr>
      </w:pPr>
      <w:r w:rsidRPr="0BBEACF1">
        <w:rPr>
          <w:b/>
          <w:bCs/>
          <w:sz w:val="22"/>
          <w:szCs w:val="22"/>
        </w:rPr>
        <w:t>Magaldi, D. &amp; Berler, M. (2020)</w:t>
      </w:r>
      <w:r w:rsidRPr="0BBEACF1">
        <w:rPr>
          <w:sz w:val="22"/>
          <w:szCs w:val="22"/>
        </w:rPr>
        <w:t xml:space="preserve"> ‘Semi‑structured interviews.’ In: </w:t>
      </w:r>
      <w:r w:rsidRPr="0BBEACF1">
        <w:rPr>
          <w:i/>
          <w:iCs/>
          <w:sz w:val="22"/>
          <w:szCs w:val="22"/>
        </w:rPr>
        <w:t>Encyclopedia of Personality and Individual Differences.</w:t>
      </w:r>
      <w:r w:rsidRPr="0BBEACF1">
        <w:rPr>
          <w:sz w:val="22"/>
          <w:szCs w:val="22"/>
        </w:rPr>
        <w:t xml:space="preserve"> Springer.</w:t>
      </w:r>
    </w:p>
    <w:p w14:paraId="062693C3" w14:textId="7A83B421" w:rsidR="70B7F7BB" w:rsidRDefault="6D72795A" w:rsidP="5ECF1BC0">
      <w:pPr>
        <w:spacing w:before="210" w:after="210" w:line="360" w:lineRule="auto"/>
        <w:rPr>
          <w:sz w:val="22"/>
          <w:szCs w:val="22"/>
        </w:rPr>
      </w:pPr>
      <w:r w:rsidRPr="5ECF1BC0">
        <w:rPr>
          <w:b/>
          <w:bCs/>
          <w:sz w:val="22"/>
          <w:szCs w:val="22"/>
        </w:rPr>
        <w:t>National Archives (2025)</w:t>
      </w:r>
      <w:r w:rsidRPr="5ECF1BC0">
        <w:rPr>
          <w:sz w:val="22"/>
          <w:szCs w:val="22"/>
        </w:rPr>
        <w:t xml:space="preserve"> </w:t>
      </w:r>
      <w:r w:rsidRPr="5ECF1BC0">
        <w:rPr>
          <w:i/>
          <w:iCs/>
          <w:sz w:val="22"/>
          <w:szCs w:val="22"/>
        </w:rPr>
        <w:t>Royal Sea Bathing Hospital, Margate: Records 1791–1939.</w:t>
      </w:r>
      <w:r w:rsidRPr="5ECF1BC0">
        <w:rPr>
          <w:sz w:val="22"/>
          <w:szCs w:val="22"/>
        </w:rPr>
        <w:t xml:space="preserve"> Available at:</w:t>
      </w:r>
      <w:r w:rsidR="70B7F7BB">
        <w:br/>
      </w:r>
      <w:r w:rsidRPr="5ECF1BC0">
        <w:rPr>
          <w:sz w:val="22"/>
          <w:szCs w:val="22"/>
        </w:rPr>
        <w:t xml:space="preserve"> </w:t>
      </w:r>
      <w:hyperlink r:id="rId13">
        <w:r w:rsidRPr="5ECF1BC0">
          <w:rPr>
            <w:rStyle w:val="Hyperlink"/>
            <w:color w:val="auto"/>
            <w:sz w:val="22"/>
            <w:szCs w:val="22"/>
          </w:rPr>
          <w:t>https://discovery.nationalarchives.gov.uk/details/c/F92389</w:t>
        </w:r>
      </w:hyperlink>
      <w:r w:rsidR="70B7F7BB">
        <w:br/>
      </w:r>
      <w:r w:rsidRPr="5ECF1BC0">
        <w:rPr>
          <w:sz w:val="22"/>
          <w:szCs w:val="22"/>
        </w:rPr>
        <w:t xml:space="preserve"> (Accessed: 12 August 2025).</w:t>
      </w:r>
    </w:p>
    <w:p w14:paraId="7D7999FA" w14:textId="77D83F77" w:rsidR="70B7F7BB" w:rsidRDefault="6D72795A" w:rsidP="5ECF1BC0">
      <w:pPr>
        <w:spacing w:before="210" w:after="210" w:line="360" w:lineRule="auto"/>
        <w:rPr>
          <w:sz w:val="22"/>
          <w:szCs w:val="22"/>
        </w:rPr>
      </w:pPr>
      <w:r w:rsidRPr="5ECF1BC0">
        <w:rPr>
          <w:b/>
          <w:bCs/>
          <w:sz w:val="22"/>
          <w:szCs w:val="22"/>
        </w:rPr>
        <w:t>Nisbet, E.K.L., Zelenski, J.M. &amp; Murphy, S.A. (2009)</w:t>
      </w:r>
      <w:r w:rsidRPr="5ECF1BC0">
        <w:rPr>
          <w:sz w:val="22"/>
          <w:szCs w:val="22"/>
        </w:rPr>
        <w:t xml:space="preserve"> ‘The Nature Relatedness Scale…’ </w:t>
      </w:r>
      <w:r w:rsidRPr="5ECF1BC0">
        <w:rPr>
          <w:i/>
          <w:iCs/>
          <w:sz w:val="22"/>
          <w:szCs w:val="22"/>
        </w:rPr>
        <w:t>Environment and Behavior</w:t>
      </w:r>
      <w:r w:rsidRPr="5ECF1BC0">
        <w:rPr>
          <w:sz w:val="22"/>
          <w:szCs w:val="22"/>
        </w:rPr>
        <w:t>, 41(5), pp.715–740.</w:t>
      </w:r>
    </w:p>
    <w:p w14:paraId="44D364CF" w14:textId="16803AF9" w:rsidR="70B7F7BB" w:rsidRDefault="6D72795A" w:rsidP="5ECF1BC0">
      <w:pPr>
        <w:spacing w:before="210" w:after="210" w:line="360" w:lineRule="auto"/>
        <w:rPr>
          <w:sz w:val="22"/>
          <w:szCs w:val="22"/>
        </w:rPr>
      </w:pPr>
      <w:r w:rsidRPr="5ECF1BC0">
        <w:rPr>
          <w:b/>
          <w:bCs/>
          <w:sz w:val="22"/>
          <w:szCs w:val="22"/>
        </w:rPr>
        <w:t>Nisbet, E.K.L. &amp; Zelenski, J.M. (2013)</w:t>
      </w:r>
      <w:r w:rsidRPr="5ECF1BC0">
        <w:rPr>
          <w:sz w:val="22"/>
          <w:szCs w:val="22"/>
        </w:rPr>
        <w:t xml:space="preserve"> ‘The NR‑6: a new brief measure of nature relatedness.’ </w:t>
      </w:r>
      <w:r w:rsidRPr="5ECF1BC0">
        <w:rPr>
          <w:i/>
          <w:iCs/>
          <w:sz w:val="22"/>
          <w:szCs w:val="22"/>
        </w:rPr>
        <w:t>Frontiers in Psychology</w:t>
      </w:r>
      <w:r w:rsidRPr="5ECF1BC0">
        <w:rPr>
          <w:sz w:val="22"/>
          <w:szCs w:val="22"/>
        </w:rPr>
        <w:t>, 4, 813. Available at:</w:t>
      </w:r>
      <w:r w:rsidR="70B7F7BB">
        <w:br/>
      </w:r>
      <w:r w:rsidRPr="5ECF1BC0">
        <w:rPr>
          <w:sz w:val="22"/>
          <w:szCs w:val="22"/>
        </w:rPr>
        <w:t xml:space="preserve"> </w:t>
      </w:r>
      <w:hyperlink r:id="rId14">
        <w:r w:rsidRPr="5ECF1BC0">
          <w:rPr>
            <w:rStyle w:val="Hyperlink"/>
            <w:color w:val="auto"/>
            <w:sz w:val="22"/>
            <w:szCs w:val="22"/>
          </w:rPr>
          <w:t>https://www.frontiersin.org/articles/10.3389/fpsyg.2013.00813/full</w:t>
        </w:r>
      </w:hyperlink>
      <w:r w:rsidR="70B7F7BB">
        <w:br/>
      </w:r>
      <w:r w:rsidRPr="5ECF1BC0">
        <w:rPr>
          <w:sz w:val="22"/>
          <w:szCs w:val="22"/>
        </w:rPr>
        <w:t xml:space="preserve"> (Accessed: 25 September 2025).</w:t>
      </w:r>
    </w:p>
    <w:p w14:paraId="6144F917" w14:textId="00385D9D" w:rsidR="70B7F7BB" w:rsidRDefault="597D651E" w:rsidP="0BBEACF1">
      <w:pPr>
        <w:spacing w:before="210" w:after="210" w:line="360" w:lineRule="auto"/>
        <w:rPr>
          <w:sz w:val="22"/>
          <w:szCs w:val="22"/>
        </w:rPr>
      </w:pPr>
      <w:r w:rsidRPr="0BBEACF1">
        <w:rPr>
          <w:b/>
          <w:bCs/>
          <w:sz w:val="22"/>
          <w:szCs w:val="22"/>
        </w:rPr>
        <w:t>Nwoko, J.C. et al. (2023)</w:t>
      </w:r>
      <w:r w:rsidRPr="0BBEACF1">
        <w:rPr>
          <w:sz w:val="22"/>
          <w:szCs w:val="22"/>
        </w:rPr>
        <w:t xml:space="preserve"> ‘A systematic review of the factors that influence teachers’ occupational wellbeing.’ </w:t>
      </w:r>
      <w:r w:rsidRPr="0BBEACF1">
        <w:rPr>
          <w:i/>
          <w:iCs/>
          <w:sz w:val="22"/>
          <w:szCs w:val="22"/>
        </w:rPr>
        <w:t>International Journal of Environmental Research and Public Health</w:t>
      </w:r>
      <w:r w:rsidRPr="0BBEACF1">
        <w:rPr>
          <w:sz w:val="22"/>
          <w:szCs w:val="22"/>
        </w:rPr>
        <w:t>, 20(12), 6070.</w:t>
      </w:r>
    </w:p>
    <w:p w14:paraId="25FAAB36" w14:textId="7C9B5142" w:rsidR="70B7F7BB" w:rsidRDefault="597D651E" w:rsidP="0BBEACF1">
      <w:pPr>
        <w:spacing w:before="210" w:after="210" w:line="360" w:lineRule="auto"/>
        <w:rPr>
          <w:sz w:val="22"/>
          <w:szCs w:val="22"/>
        </w:rPr>
      </w:pPr>
      <w:r w:rsidRPr="0BBEACF1">
        <w:rPr>
          <w:b/>
          <w:bCs/>
          <w:sz w:val="22"/>
          <w:szCs w:val="22"/>
        </w:rPr>
        <w:t>OpenPsychometrics.org (2023)</w:t>
      </w:r>
      <w:r w:rsidRPr="0BBEACF1">
        <w:rPr>
          <w:sz w:val="22"/>
          <w:szCs w:val="22"/>
        </w:rPr>
        <w:t xml:space="preserve"> </w:t>
      </w:r>
      <w:r w:rsidRPr="0BBEACF1">
        <w:rPr>
          <w:i/>
          <w:iCs/>
          <w:sz w:val="22"/>
          <w:szCs w:val="22"/>
        </w:rPr>
        <w:t>Nature Relatedness Scale (NR‑6).</w:t>
      </w:r>
      <w:r w:rsidRPr="0BBEACF1">
        <w:rPr>
          <w:sz w:val="22"/>
          <w:szCs w:val="22"/>
        </w:rPr>
        <w:t xml:space="preserve"> Available at: </w:t>
      </w:r>
      <w:hyperlink r:id="rId15">
        <w:r w:rsidRPr="0BBEACF1">
          <w:rPr>
            <w:rStyle w:val="Hyperlink"/>
            <w:color w:val="auto"/>
            <w:sz w:val="22"/>
            <w:szCs w:val="22"/>
          </w:rPr>
          <w:t>https://openpsychometrics.org</w:t>
        </w:r>
      </w:hyperlink>
      <w:r w:rsidRPr="0BBEACF1">
        <w:rPr>
          <w:sz w:val="22"/>
          <w:szCs w:val="22"/>
        </w:rPr>
        <w:t xml:space="preserve"> (Accessed: 7 August 2025).</w:t>
      </w:r>
    </w:p>
    <w:p w14:paraId="2EAA465F" w14:textId="6CE20DDC" w:rsidR="70B7F7BB" w:rsidRDefault="597D651E" w:rsidP="0BBEACF1">
      <w:pPr>
        <w:spacing w:before="210" w:after="210" w:line="360" w:lineRule="auto"/>
        <w:rPr>
          <w:sz w:val="22"/>
          <w:szCs w:val="22"/>
        </w:rPr>
      </w:pPr>
      <w:r w:rsidRPr="0BBEACF1">
        <w:rPr>
          <w:b/>
          <w:bCs/>
          <w:sz w:val="22"/>
          <w:szCs w:val="22"/>
        </w:rPr>
        <w:t>Pretty, J. et al. (2007)</w:t>
      </w:r>
      <w:r w:rsidRPr="0BBEACF1">
        <w:rPr>
          <w:sz w:val="22"/>
          <w:szCs w:val="22"/>
        </w:rPr>
        <w:t xml:space="preserve"> ‘The mental and physical health outcomes of green exercise.’ </w:t>
      </w:r>
      <w:r w:rsidRPr="0BBEACF1">
        <w:rPr>
          <w:i/>
          <w:iCs/>
          <w:sz w:val="22"/>
          <w:szCs w:val="22"/>
        </w:rPr>
        <w:t>International Journal of Environmental Health Research</w:t>
      </w:r>
      <w:r w:rsidRPr="0BBEACF1">
        <w:rPr>
          <w:sz w:val="22"/>
          <w:szCs w:val="22"/>
        </w:rPr>
        <w:t>, 15(5), pp.319–337.</w:t>
      </w:r>
    </w:p>
    <w:p w14:paraId="0D14D7B3" w14:textId="70386F2E" w:rsidR="70B7F7BB" w:rsidRDefault="6D72795A" w:rsidP="5ECF1BC0">
      <w:pPr>
        <w:spacing w:before="210" w:after="210" w:line="360" w:lineRule="auto"/>
        <w:rPr>
          <w:sz w:val="22"/>
          <w:szCs w:val="22"/>
        </w:rPr>
      </w:pPr>
      <w:r w:rsidRPr="5ECF1BC0">
        <w:rPr>
          <w:b/>
          <w:bCs/>
          <w:sz w:val="22"/>
          <w:szCs w:val="22"/>
        </w:rPr>
        <w:t>Rogerson, M. et al. (2020)</w:t>
      </w:r>
      <w:r w:rsidRPr="5ECF1BC0">
        <w:rPr>
          <w:sz w:val="22"/>
          <w:szCs w:val="22"/>
        </w:rPr>
        <w:t xml:space="preserve"> ‘Affective outcomes of group versus lone green exercise…’ </w:t>
      </w:r>
      <w:r w:rsidRPr="5ECF1BC0">
        <w:rPr>
          <w:i/>
          <w:iCs/>
          <w:sz w:val="22"/>
          <w:szCs w:val="22"/>
        </w:rPr>
        <w:t>International Journal of Environmental Research and Public Health</w:t>
      </w:r>
      <w:r w:rsidRPr="5ECF1BC0">
        <w:rPr>
          <w:sz w:val="22"/>
          <w:szCs w:val="22"/>
        </w:rPr>
        <w:t>, 17(2), 624.</w:t>
      </w:r>
    </w:p>
    <w:p w14:paraId="5FC3E692" w14:textId="750D1727" w:rsidR="70B7F7BB" w:rsidRDefault="597D651E" w:rsidP="0BBEACF1">
      <w:pPr>
        <w:spacing w:before="210" w:after="210" w:line="360" w:lineRule="auto"/>
        <w:rPr>
          <w:sz w:val="22"/>
          <w:szCs w:val="22"/>
        </w:rPr>
      </w:pPr>
      <w:r w:rsidRPr="0BBEACF1">
        <w:rPr>
          <w:b/>
          <w:bCs/>
          <w:sz w:val="22"/>
          <w:szCs w:val="22"/>
        </w:rPr>
        <w:t>Russell, R. (1750)</w:t>
      </w:r>
      <w:r w:rsidRPr="0BBEACF1">
        <w:rPr>
          <w:sz w:val="22"/>
          <w:szCs w:val="22"/>
        </w:rPr>
        <w:t xml:space="preserve"> </w:t>
      </w:r>
      <w:r w:rsidRPr="0BBEACF1">
        <w:rPr>
          <w:i/>
          <w:iCs/>
          <w:sz w:val="22"/>
          <w:szCs w:val="22"/>
        </w:rPr>
        <w:t>A Dissertation on the Use of Sea Water in the Diseases of the Glands.</w:t>
      </w:r>
      <w:r w:rsidRPr="0BBEACF1">
        <w:rPr>
          <w:sz w:val="22"/>
          <w:szCs w:val="22"/>
        </w:rPr>
        <w:t xml:space="preserve"> London: T. Cooper.</w:t>
      </w:r>
    </w:p>
    <w:p w14:paraId="250B7868" w14:textId="2A945023" w:rsidR="70B7F7BB" w:rsidRDefault="6D72795A" w:rsidP="5ECF1BC0">
      <w:pPr>
        <w:spacing w:before="210" w:after="210" w:line="360" w:lineRule="auto"/>
        <w:rPr>
          <w:sz w:val="22"/>
          <w:szCs w:val="22"/>
        </w:rPr>
      </w:pPr>
      <w:r w:rsidRPr="5ECF1BC0">
        <w:rPr>
          <w:b/>
          <w:bCs/>
          <w:sz w:val="22"/>
          <w:szCs w:val="22"/>
        </w:rPr>
        <w:t>Salisbury Healthcare History (n.d.)</w:t>
      </w:r>
      <w:r w:rsidRPr="5ECF1BC0">
        <w:rPr>
          <w:sz w:val="22"/>
          <w:szCs w:val="22"/>
        </w:rPr>
        <w:t xml:space="preserve"> </w:t>
      </w:r>
      <w:r w:rsidRPr="5ECF1BC0">
        <w:rPr>
          <w:i/>
          <w:iCs/>
          <w:sz w:val="22"/>
          <w:szCs w:val="22"/>
        </w:rPr>
        <w:t>Historical Convalescent Care in Coastal Towns.</w:t>
      </w:r>
      <w:r w:rsidRPr="5ECF1BC0">
        <w:rPr>
          <w:sz w:val="22"/>
          <w:szCs w:val="22"/>
        </w:rPr>
        <w:t xml:space="preserve"> Available at:</w:t>
      </w:r>
      <w:r w:rsidR="70B7F7BB">
        <w:br/>
      </w:r>
      <w:r w:rsidRPr="5ECF1BC0">
        <w:rPr>
          <w:sz w:val="22"/>
          <w:szCs w:val="22"/>
        </w:rPr>
        <w:t xml:space="preserve"> </w:t>
      </w:r>
      <w:hyperlink r:id="rId16">
        <w:r w:rsidRPr="5ECF1BC0">
          <w:rPr>
            <w:rStyle w:val="Hyperlink"/>
            <w:color w:val="auto"/>
            <w:sz w:val="22"/>
            <w:szCs w:val="22"/>
          </w:rPr>
          <w:t>https://www.salisburyhealthcarehistory.uk</w:t>
        </w:r>
      </w:hyperlink>
      <w:r w:rsidRPr="5ECF1BC0">
        <w:rPr>
          <w:sz w:val="22"/>
          <w:szCs w:val="22"/>
        </w:rPr>
        <w:t xml:space="preserve"> (Accessed: 12 August 2025).</w:t>
      </w:r>
    </w:p>
    <w:p w14:paraId="7E33BC71" w14:textId="66BCC6EB" w:rsidR="70B7F7BB" w:rsidRDefault="6D72795A" w:rsidP="5ECF1BC0">
      <w:pPr>
        <w:spacing w:before="210" w:after="210" w:line="360" w:lineRule="auto"/>
        <w:rPr>
          <w:sz w:val="22"/>
          <w:szCs w:val="22"/>
        </w:rPr>
      </w:pPr>
      <w:r w:rsidRPr="5ECF1BC0">
        <w:rPr>
          <w:b/>
          <w:bCs/>
          <w:sz w:val="22"/>
          <w:szCs w:val="22"/>
        </w:rPr>
        <w:lastRenderedPageBreak/>
        <w:t>Simply Psychology (2025)</w:t>
      </w:r>
      <w:r w:rsidRPr="5ECF1BC0">
        <w:rPr>
          <w:sz w:val="22"/>
          <w:szCs w:val="22"/>
        </w:rPr>
        <w:t xml:space="preserve"> </w:t>
      </w:r>
      <w:r w:rsidRPr="5ECF1BC0">
        <w:rPr>
          <w:i/>
          <w:iCs/>
          <w:sz w:val="22"/>
          <w:szCs w:val="22"/>
        </w:rPr>
        <w:t>Attention Restoration Theory.</w:t>
      </w:r>
      <w:r w:rsidRPr="5ECF1BC0">
        <w:rPr>
          <w:sz w:val="22"/>
          <w:szCs w:val="22"/>
        </w:rPr>
        <w:t xml:space="preserve"> Available at:</w:t>
      </w:r>
      <w:r w:rsidR="70B7F7BB">
        <w:br/>
      </w:r>
      <w:r w:rsidRPr="5ECF1BC0">
        <w:rPr>
          <w:sz w:val="22"/>
          <w:szCs w:val="22"/>
        </w:rPr>
        <w:t xml:space="preserve"> </w:t>
      </w:r>
      <w:hyperlink r:id="rId17">
        <w:r w:rsidRPr="5ECF1BC0">
          <w:rPr>
            <w:rStyle w:val="Hyperlink"/>
            <w:color w:val="auto"/>
            <w:sz w:val="22"/>
            <w:szCs w:val="22"/>
          </w:rPr>
          <w:t>https://www.simplypsychology.org/attention-restoration-theory</w:t>
        </w:r>
      </w:hyperlink>
      <w:r w:rsidR="70B7F7BB">
        <w:br/>
      </w:r>
      <w:r w:rsidRPr="5ECF1BC0">
        <w:rPr>
          <w:sz w:val="22"/>
          <w:szCs w:val="22"/>
        </w:rPr>
        <w:t xml:space="preserve"> (Accessed: 12 August 2025).</w:t>
      </w:r>
    </w:p>
    <w:p w14:paraId="7DE8AB65" w14:textId="55ED9A44" w:rsidR="70B7F7BB" w:rsidRDefault="6D72795A" w:rsidP="5ECF1BC0">
      <w:pPr>
        <w:spacing w:before="210" w:after="210" w:line="360" w:lineRule="auto"/>
        <w:rPr>
          <w:sz w:val="22"/>
          <w:szCs w:val="22"/>
        </w:rPr>
      </w:pPr>
      <w:r w:rsidRPr="5ECF1BC0">
        <w:rPr>
          <w:b/>
          <w:bCs/>
          <w:sz w:val="22"/>
          <w:szCs w:val="22"/>
        </w:rPr>
        <w:t>Smith, L., Liu, Y. et al. (2023)</w:t>
      </w:r>
      <w:r w:rsidRPr="5ECF1BC0">
        <w:rPr>
          <w:sz w:val="22"/>
          <w:szCs w:val="22"/>
        </w:rPr>
        <w:t xml:space="preserve"> ‘Social connection components and mortality: UK Biobank analysis.’ </w:t>
      </w:r>
      <w:r w:rsidRPr="5ECF1BC0">
        <w:rPr>
          <w:i/>
          <w:iCs/>
          <w:sz w:val="22"/>
          <w:szCs w:val="22"/>
        </w:rPr>
        <w:t>BMC Medicine</w:t>
      </w:r>
      <w:r w:rsidRPr="5ECF1BC0">
        <w:rPr>
          <w:sz w:val="22"/>
          <w:szCs w:val="22"/>
        </w:rPr>
        <w:t>, 21, 384.</w:t>
      </w:r>
    </w:p>
    <w:p w14:paraId="3039B6AB" w14:textId="32FCDDFB" w:rsidR="70B7F7BB" w:rsidRDefault="597D651E" w:rsidP="0BBEACF1">
      <w:pPr>
        <w:spacing w:before="210" w:after="210" w:line="360" w:lineRule="auto"/>
        <w:rPr>
          <w:sz w:val="22"/>
          <w:szCs w:val="22"/>
        </w:rPr>
      </w:pPr>
      <w:r w:rsidRPr="0BBEACF1">
        <w:rPr>
          <w:b/>
          <w:bCs/>
          <w:sz w:val="22"/>
          <w:szCs w:val="22"/>
        </w:rPr>
        <w:t>Stewart‑Brown, S. (2021)</w:t>
      </w:r>
      <w:r w:rsidRPr="0BBEACF1">
        <w:rPr>
          <w:sz w:val="22"/>
          <w:szCs w:val="22"/>
        </w:rPr>
        <w:t xml:space="preserve"> </w:t>
      </w:r>
      <w:r w:rsidRPr="0BBEACF1">
        <w:rPr>
          <w:i/>
          <w:iCs/>
          <w:sz w:val="22"/>
          <w:szCs w:val="22"/>
        </w:rPr>
        <w:t>Insights and reflections on the Warwick‑Edinburgh Mental Wellbeing Scales (WEMWBS).</w:t>
      </w:r>
      <w:r w:rsidRPr="0BBEACF1">
        <w:rPr>
          <w:sz w:val="22"/>
          <w:szCs w:val="22"/>
        </w:rPr>
        <w:t xml:space="preserve"> Available at:</w:t>
      </w:r>
      <w:r w:rsidR="70B7F7BB">
        <w:br/>
      </w:r>
      <w:r w:rsidRPr="0BBEACF1">
        <w:rPr>
          <w:sz w:val="22"/>
          <w:szCs w:val="22"/>
        </w:rPr>
        <w:t xml:space="preserve"> </w:t>
      </w:r>
      <w:hyperlink r:id="rId18">
        <w:r w:rsidRPr="0BBEACF1">
          <w:rPr>
            <w:rStyle w:val="Hyperlink"/>
            <w:color w:val="auto"/>
            <w:sz w:val="22"/>
            <w:szCs w:val="22"/>
          </w:rPr>
          <w:t>https://whatworkswellbeing.org/resources/insights-and-reflections-on-the-warwick-edinburgh-mental-wellbeing-scales-wemwbs</w:t>
        </w:r>
      </w:hyperlink>
      <w:r w:rsidR="70B7F7BB">
        <w:br/>
      </w:r>
      <w:r w:rsidRPr="0BBEACF1">
        <w:rPr>
          <w:sz w:val="22"/>
          <w:szCs w:val="22"/>
        </w:rPr>
        <w:t xml:space="preserve"> (Accessed: 25 September 2025).</w:t>
      </w:r>
    </w:p>
    <w:p w14:paraId="2D7D0EF6" w14:textId="63DF6A16" w:rsidR="70B7F7BB" w:rsidRDefault="6D72795A" w:rsidP="5ECF1BC0">
      <w:pPr>
        <w:spacing w:before="210" w:after="210" w:line="360" w:lineRule="auto"/>
        <w:rPr>
          <w:sz w:val="22"/>
          <w:szCs w:val="22"/>
        </w:rPr>
      </w:pPr>
      <w:r w:rsidRPr="5ECF1BC0">
        <w:rPr>
          <w:b/>
          <w:bCs/>
          <w:sz w:val="22"/>
          <w:szCs w:val="22"/>
        </w:rPr>
        <w:t>Tavory, I. &amp; Timmermans, S. (2014)</w:t>
      </w:r>
      <w:r w:rsidRPr="5ECF1BC0">
        <w:rPr>
          <w:sz w:val="22"/>
          <w:szCs w:val="22"/>
        </w:rPr>
        <w:t xml:space="preserve"> </w:t>
      </w:r>
      <w:r w:rsidRPr="5ECF1BC0">
        <w:rPr>
          <w:i/>
          <w:iCs/>
          <w:sz w:val="22"/>
          <w:szCs w:val="22"/>
        </w:rPr>
        <w:t>Abductive Analysis: Theorizing Qualitative Research.</w:t>
      </w:r>
      <w:r w:rsidRPr="5ECF1BC0">
        <w:rPr>
          <w:sz w:val="22"/>
          <w:szCs w:val="22"/>
        </w:rPr>
        <w:t xml:space="preserve"> Chicago: University of Chicago Press.</w:t>
      </w:r>
    </w:p>
    <w:p w14:paraId="5C12C937" w14:textId="58BF5F9C" w:rsidR="70B7F7BB" w:rsidRDefault="597D651E" w:rsidP="0BBEACF1">
      <w:pPr>
        <w:spacing w:before="210" w:after="210" w:line="360" w:lineRule="auto"/>
        <w:rPr>
          <w:sz w:val="22"/>
          <w:szCs w:val="22"/>
        </w:rPr>
      </w:pPr>
      <w:r w:rsidRPr="0BBEACF1">
        <w:rPr>
          <w:b/>
          <w:bCs/>
          <w:sz w:val="22"/>
          <w:szCs w:val="22"/>
        </w:rPr>
        <w:t>The National Archives (n.d.)</w:t>
      </w:r>
      <w:r w:rsidRPr="0BBEACF1">
        <w:rPr>
          <w:sz w:val="22"/>
          <w:szCs w:val="22"/>
        </w:rPr>
        <w:t xml:space="preserve"> </w:t>
      </w:r>
      <w:r w:rsidRPr="0BBEACF1">
        <w:rPr>
          <w:i/>
          <w:iCs/>
          <w:sz w:val="22"/>
          <w:szCs w:val="22"/>
        </w:rPr>
        <w:t>Royal Sea Bathing Hospital, Margate.</w:t>
      </w:r>
      <w:r w:rsidRPr="0BBEACF1">
        <w:rPr>
          <w:sz w:val="22"/>
          <w:szCs w:val="22"/>
        </w:rPr>
        <w:t xml:space="preserve"> Available at: </w:t>
      </w:r>
      <w:hyperlink r:id="rId19">
        <w:r w:rsidRPr="0BBEACF1">
          <w:rPr>
            <w:rStyle w:val="Hyperlink"/>
            <w:color w:val="auto"/>
            <w:sz w:val="22"/>
            <w:szCs w:val="22"/>
          </w:rPr>
          <w:t>https://www.nationalarchives.gov.uk</w:t>
        </w:r>
      </w:hyperlink>
      <w:r w:rsidRPr="0BBEACF1">
        <w:rPr>
          <w:sz w:val="22"/>
          <w:szCs w:val="22"/>
        </w:rPr>
        <w:t xml:space="preserve"> (Accessed: 02 April 2026).</w:t>
      </w:r>
    </w:p>
    <w:p w14:paraId="40B8715B" w14:textId="5D99F34D" w:rsidR="70B7F7BB" w:rsidRDefault="597D651E" w:rsidP="0BBEACF1">
      <w:pPr>
        <w:spacing w:before="210" w:after="210" w:line="360" w:lineRule="auto"/>
        <w:rPr>
          <w:sz w:val="22"/>
          <w:szCs w:val="22"/>
        </w:rPr>
      </w:pPr>
      <w:r w:rsidRPr="0BBEACF1">
        <w:rPr>
          <w:b/>
          <w:bCs/>
          <w:sz w:val="22"/>
          <w:szCs w:val="22"/>
        </w:rPr>
        <w:t>Ungar, M. (2019)</w:t>
      </w:r>
      <w:r w:rsidRPr="0BBEACF1">
        <w:rPr>
          <w:sz w:val="22"/>
          <w:szCs w:val="22"/>
        </w:rPr>
        <w:t xml:space="preserve"> ‘Designing resilience research…’ </w:t>
      </w:r>
      <w:r w:rsidRPr="0BBEACF1">
        <w:rPr>
          <w:i/>
          <w:iCs/>
          <w:sz w:val="22"/>
          <w:szCs w:val="22"/>
        </w:rPr>
        <w:t>Child Abuse &amp; Neglect</w:t>
      </w:r>
      <w:r w:rsidRPr="0BBEACF1">
        <w:rPr>
          <w:sz w:val="22"/>
          <w:szCs w:val="22"/>
        </w:rPr>
        <w:t>, 96, 104098.</w:t>
      </w:r>
    </w:p>
    <w:p w14:paraId="3E8BBB55" w14:textId="3A26DC39" w:rsidR="70B7F7BB" w:rsidRDefault="6D72795A" w:rsidP="5ECF1BC0">
      <w:pPr>
        <w:spacing w:before="210" w:after="210" w:line="360" w:lineRule="auto"/>
        <w:rPr>
          <w:sz w:val="22"/>
          <w:szCs w:val="22"/>
        </w:rPr>
      </w:pPr>
      <w:r w:rsidRPr="5ECF1BC0">
        <w:rPr>
          <w:b/>
          <w:bCs/>
          <w:sz w:val="22"/>
          <w:szCs w:val="22"/>
        </w:rPr>
        <w:t>White, M.P. et al. (2020a)</w:t>
      </w:r>
      <w:r w:rsidRPr="5ECF1BC0">
        <w:rPr>
          <w:sz w:val="22"/>
          <w:szCs w:val="22"/>
        </w:rPr>
        <w:t xml:space="preserve"> ‘Blue space, health and well‑being…’ </w:t>
      </w:r>
      <w:r w:rsidRPr="5ECF1BC0">
        <w:rPr>
          <w:i/>
          <w:iCs/>
          <w:sz w:val="22"/>
          <w:szCs w:val="22"/>
        </w:rPr>
        <w:t>Environmental Research</w:t>
      </w:r>
      <w:r w:rsidRPr="5ECF1BC0">
        <w:rPr>
          <w:sz w:val="22"/>
          <w:szCs w:val="22"/>
        </w:rPr>
        <w:t>, 191, 110169.</w:t>
      </w:r>
    </w:p>
    <w:p w14:paraId="061E6231" w14:textId="5FF996D7" w:rsidR="70B7F7BB" w:rsidRDefault="597D651E" w:rsidP="0BBEACF1">
      <w:pPr>
        <w:spacing w:before="210" w:after="210" w:line="360" w:lineRule="auto"/>
        <w:rPr>
          <w:sz w:val="22"/>
          <w:szCs w:val="22"/>
        </w:rPr>
      </w:pPr>
      <w:r w:rsidRPr="0BBEACF1">
        <w:rPr>
          <w:b/>
          <w:bCs/>
          <w:sz w:val="22"/>
          <w:szCs w:val="22"/>
        </w:rPr>
        <w:t>White, M.P. et al. (2020b)</w:t>
      </w:r>
      <w:r w:rsidRPr="0BBEACF1">
        <w:rPr>
          <w:sz w:val="22"/>
          <w:szCs w:val="22"/>
        </w:rPr>
        <w:t xml:space="preserve"> ‘BlueHealth: A study programme protocol…’ </w:t>
      </w:r>
      <w:r w:rsidRPr="0BBEACF1">
        <w:rPr>
          <w:i/>
          <w:iCs/>
          <w:sz w:val="22"/>
          <w:szCs w:val="22"/>
        </w:rPr>
        <w:t>BMJ Open</w:t>
      </w:r>
      <w:r w:rsidRPr="0BBEACF1">
        <w:rPr>
          <w:sz w:val="22"/>
          <w:szCs w:val="22"/>
        </w:rPr>
        <w:t>, 10(6), e033325.</w:t>
      </w:r>
    </w:p>
    <w:p w14:paraId="14353C51" w14:textId="2EA7CA77" w:rsidR="70B7F7BB" w:rsidRDefault="597D651E" w:rsidP="0BBEACF1">
      <w:pPr>
        <w:spacing w:before="210" w:after="210" w:line="360" w:lineRule="auto"/>
        <w:rPr>
          <w:sz w:val="22"/>
          <w:szCs w:val="22"/>
        </w:rPr>
      </w:pPr>
      <w:r w:rsidRPr="0BBEACF1">
        <w:rPr>
          <w:b/>
          <w:bCs/>
          <w:sz w:val="22"/>
          <w:szCs w:val="22"/>
        </w:rPr>
        <w:t>World Health Organization (2022)</w:t>
      </w:r>
      <w:r w:rsidRPr="0BBEACF1">
        <w:rPr>
          <w:sz w:val="22"/>
          <w:szCs w:val="22"/>
        </w:rPr>
        <w:t xml:space="preserve"> </w:t>
      </w:r>
      <w:r w:rsidRPr="0BBEACF1">
        <w:rPr>
          <w:i/>
          <w:iCs/>
          <w:sz w:val="22"/>
          <w:szCs w:val="22"/>
        </w:rPr>
        <w:t>Guidelines on mental health at work.</w:t>
      </w:r>
      <w:r w:rsidRPr="0BBEACF1">
        <w:rPr>
          <w:sz w:val="22"/>
          <w:szCs w:val="22"/>
        </w:rPr>
        <w:t xml:space="preserve"> Available at:</w:t>
      </w:r>
      <w:r w:rsidR="70B7F7BB">
        <w:br/>
      </w:r>
      <w:r w:rsidRPr="0BBEACF1">
        <w:rPr>
          <w:sz w:val="22"/>
          <w:szCs w:val="22"/>
        </w:rPr>
        <w:t xml:space="preserve"> </w:t>
      </w:r>
      <w:hyperlink r:id="rId20">
        <w:r w:rsidRPr="0BBEACF1">
          <w:rPr>
            <w:rStyle w:val="Hyperlink"/>
            <w:color w:val="auto"/>
            <w:sz w:val="22"/>
            <w:szCs w:val="22"/>
          </w:rPr>
          <w:t>https://www.who.int/publications/i/item/9789240053052</w:t>
        </w:r>
      </w:hyperlink>
      <w:r w:rsidR="70B7F7BB">
        <w:br/>
      </w:r>
      <w:r w:rsidRPr="0BBEACF1">
        <w:rPr>
          <w:sz w:val="22"/>
          <w:szCs w:val="22"/>
        </w:rPr>
        <w:t xml:space="preserve"> (Accessed: 02 April 2026).</w:t>
      </w:r>
    </w:p>
    <w:p w14:paraId="7BD9F3D4" w14:textId="2A20DBF2" w:rsidR="5ECF1BC0" w:rsidRDefault="597D651E" w:rsidP="0BBEACF1">
      <w:pPr>
        <w:spacing w:before="210" w:after="210" w:line="360" w:lineRule="auto"/>
        <w:rPr>
          <w:sz w:val="22"/>
          <w:szCs w:val="22"/>
        </w:rPr>
      </w:pPr>
      <w:r w:rsidRPr="0BBEACF1">
        <w:rPr>
          <w:b/>
          <w:bCs/>
          <w:sz w:val="22"/>
          <w:szCs w:val="22"/>
        </w:rPr>
        <w:t>Yau, K.K.Y. &amp; Loke, A.Y. (2020)</w:t>
      </w:r>
      <w:r w:rsidRPr="0BBEACF1">
        <w:rPr>
          <w:sz w:val="22"/>
          <w:szCs w:val="22"/>
        </w:rPr>
        <w:t xml:space="preserve"> ‘Effects of forest bathing on pre‑hypertensive and hypertensive adults.’ </w:t>
      </w:r>
      <w:r w:rsidRPr="0BBEACF1">
        <w:rPr>
          <w:i/>
          <w:iCs/>
          <w:sz w:val="22"/>
          <w:szCs w:val="22"/>
        </w:rPr>
        <w:t>Environmental Health and Preventive Medicine</w:t>
      </w:r>
      <w:r w:rsidRPr="0BBEACF1">
        <w:rPr>
          <w:sz w:val="22"/>
          <w:szCs w:val="22"/>
        </w:rPr>
        <w:t>, 25(1), 1–12.</w:t>
      </w:r>
    </w:p>
    <w:p w14:paraId="3770D931" w14:textId="77777777" w:rsidR="00E43187" w:rsidRDefault="00E43187" w:rsidP="0BBEACF1">
      <w:pPr>
        <w:spacing w:before="210" w:after="210" w:line="360" w:lineRule="auto"/>
        <w:rPr>
          <w:sz w:val="22"/>
          <w:szCs w:val="22"/>
        </w:rPr>
      </w:pPr>
    </w:p>
    <w:p w14:paraId="2D576CDC" w14:textId="77777777" w:rsidR="00E43187" w:rsidRDefault="00E43187" w:rsidP="0BBEACF1">
      <w:pPr>
        <w:spacing w:before="210" w:after="210" w:line="360" w:lineRule="auto"/>
        <w:rPr>
          <w:sz w:val="22"/>
          <w:szCs w:val="22"/>
        </w:rPr>
      </w:pPr>
    </w:p>
    <w:p w14:paraId="7BF074A7" w14:textId="77777777" w:rsidR="00E43187" w:rsidRDefault="00E43187" w:rsidP="0BBEACF1">
      <w:pPr>
        <w:spacing w:before="210" w:after="210" w:line="360" w:lineRule="auto"/>
        <w:rPr>
          <w:sz w:val="22"/>
          <w:szCs w:val="22"/>
        </w:rPr>
      </w:pPr>
    </w:p>
    <w:p w14:paraId="09B519A4" w14:textId="10730C5F" w:rsidR="00E43187" w:rsidRDefault="00E43187" w:rsidP="0BBEACF1">
      <w:pPr>
        <w:spacing w:before="210" w:after="210" w:line="360" w:lineRule="auto"/>
        <w:rPr>
          <w:b/>
          <w:bCs/>
          <w:sz w:val="22"/>
          <w:szCs w:val="22"/>
          <w:u w:val="single"/>
        </w:rPr>
      </w:pPr>
    </w:p>
    <w:p w14:paraId="4364A3FE" w14:textId="2C3FD0D0" w:rsidR="00E43187" w:rsidRDefault="00E43187" w:rsidP="0BBEACF1">
      <w:pPr>
        <w:spacing w:before="210" w:after="210" w:line="360" w:lineRule="auto"/>
        <w:rPr>
          <w:b/>
          <w:bCs/>
          <w:sz w:val="22"/>
          <w:szCs w:val="22"/>
          <w:u w:val="single"/>
        </w:rPr>
      </w:pPr>
      <w:r w:rsidRPr="00E43187">
        <w:rPr>
          <w:b/>
          <w:bCs/>
          <w:sz w:val="22"/>
          <w:szCs w:val="22"/>
          <w:u w:val="single"/>
        </w:rPr>
        <w:t>APPENDICES</w:t>
      </w:r>
    </w:p>
    <w:p w14:paraId="22BB3FFD" w14:textId="7E03CD0E" w:rsidR="00322F1B" w:rsidRDefault="5F62D547" w:rsidP="3F29B626">
      <w:pPr>
        <w:spacing w:before="210" w:after="210" w:line="360" w:lineRule="auto"/>
        <w:rPr>
          <w:sz w:val="22"/>
          <w:szCs w:val="22"/>
        </w:rPr>
      </w:pPr>
      <w:r w:rsidRPr="3F29B626">
        <w:rPr>
          <w:sz w:val="22"/>
          <w:szCs w:val="22"/>
        </w:rPr>
        <w:lastRenderedPageBreak/>
        <w:t xml:space="preserve">Appendix A: </w:t>
      </w:r>
      <w:r w:rsidR="69891213" w:rsidRPr="3F29B626">
        <w:rPr>
          <w:sz w:val="22"/>
          <w:szCs w:val="22"/>
        </w:rPr>
        <w:t>PG2 Ethics Form</w:t>
      </w:r>
    </w:p>
    <w:p w14:paraId="07CFF77E" w14:textId="48DC1A3D" w:rsidR="00E43187" w:rsidRDefault="04AFE4A3" w:rsidP="3F29B626">
      <w:pPr>
        <w:spacing w:before="210" w:after="210" w:line="360" w:lineRule="auto"/>
        <w:rPr>
          <w:sz w:val="22"/>
          <w:szCs w:val="22"/>
        </w:rPr>
      </w:pPr>
      <w:r w:rsidRPr="3F29B626">
        <w:rPr>
          <w:sz w:val="22"/>
          <w:szCs w:val="22"/>
        </w:rPr>
        <w:t xml:space="preserve">Appendix B: </w:t>
      </w:r>
      <w:r w:rsidR="708082CB" w:rsidRPr="3F29B626">
        <w:rPr>
          <w:sz w:val="22"/>
          <w:szCs w:val="22"/>
        </w:rPr>
        <w:t xml:space="preserve">Outdoor </w:t>
      </w:r>
      <w:r w:rsidR="7653FB8F" w:rsidRPr="3F29B626">
        <w:rPr>
          <w:sz w:val="22"/>
          <w:szCs w:val="22"/>
        </w:rPr>
        <w:t xml:space="preserve">wellbeing Study Interest Form </w:t>
      </w:r>
    </w:p>
    <w:p w14:paraId="4C905065" w14:textId="0F5BFB08" w:rsidR="00046625" w:rsidRDefault="40EF718D" w:rsidP="3F29B626">
      <w:pPr>
        <w:spacing w:before="210" w:after="210" w:line="360" w:lineRule="auto"/>
        <w:rPr>
          <w:sz w:val="22"/>
          <w:szCs w:val="22"/>
        </w:rPr>
      </w:pPr>
      <w:r w:rsidRPr="3F29B626">
        <w:rPr>
          <w:sz w:val="22"/>
          <w:szCs w:val="22"/>
        </w:rPr>
        <w:t xml:space="preserve">Appendix C: </w:t>
      </w:r>
      <w:r w:rsidR="7C9F4A59" w:rsidRPr="3F29B626">
        <w:rPr>
          <w:sz w:val="22"/>
          <w:szCs w:val="22"/>
        </w:rPr>
        <w:t>Participant Consent Form</w:t>
      </w:r>
    </w:p>
    <w:p w14:paraId="241E05C7" w14:textId="054C4B4D" w:rsidR="00F80168" w:rsidRDefault="37307816" w:rsidP="3F29B626">
      <w:pPr>
        <w:spacing w:before="210" w:after="210" w:line="360" w:lineRule="auto"/>
        <w:rPr>
          <w:sz w:val="22"/>
          <w:szCs w:val="22"/>
        </w:rPr>
      </w:pPr>
      <w:r w:rsidRPr="3F29B626">
        <w:rPr>
          <w:sz w:val="22"/>
          <w:szCs w:val="22"/>
        </w:rPr>
        <w:t>Appendix D: Special School Staff Questionnaire</w:t>
      </w:r>
    </w:p>
    <w:p w14:paraId="2E0D4BA4" w14:textId="3F583CB0" w:rsidR="00F80168" w:rsidRDefault="37307816" w:rsidP="3F29B626">
      <w:pPr>
        <w:spacing w:before="210" w:after="210" w:line="360" w:lineRule="auto"/>
        <w:rPr>
          <w:sz w:val="22"/>
          <w:szCs w:val="22"/>
        </w:rPr>
      </w:pPr>
      <w:r w:rsidRPr="3F29B626">
        <w:rPr>
          <w:sz w:val="22"/>
          <w:szCs w:val="22"/>
        </w:rPr>
        <w:t>Appendix E: Winter Wellbeing Questionnaire</w:t>
      </w:r>
    </w:p>
    <w:p w14:paraId="0FC1FED9" w14:textId="7498B20B" w:rsidR="00F80168" w:rsidRDefault="37307816" w:rsidP="3F29B626">
      <w:pPr>
        <w:spacing w:before="210" w:after="210" w:line="360" w:lineRule="auto"/>
        <w:rPr>
          <w:sz w:val="22"/>
          <w:szCs w:val="22"/>
        </w:rPr>
      </w:pPr>
      <w:r w:rsidRPr="3F29B626">
        <w:rPr>
          <w:sz w:val="22"/>
          <w:szCs w:val="22"/>
        </w:rPr>
        <w:t xml:space="preserve">Appendix F: </w:t>
      </w:r>
      <w:r w:rsidR="69891213" w:rsidRPr="3F29B626">
        <w:rPr>
          <w:sz w:val="22"/>
          <w:szCs w:val="22"/>
        </w:rPr>
        <w:t xml:space="preserve">Post Study </w:t>
      </w:r>
      <w:r w:rsidR="12D02BD0" w:rsidRPr="3F29B626">
        <w:rPr>
          <w:sz w:val="22"/>
          <w:szCs w:val="22"/>
        </w:rPr>
        <w:t xml:space="preserve">Interview </w:t>
      </w:r>
      <w:r w:rsidR="69891213" w:rsidRPr="3F29B626">
        <w:rPr>
          <w:sz w:val="22"/>
          <w:szCs w:val="22"/>
        </w:rPr>
        <w:t>Participant Questionnaire</w:t>
      </w:r>
    </w:p>
    <w:p w14:paraId="309F6043" w14:textId="7C4BC3D3" w:rsidR="00322F1B" w:rsidRDefault="40E0CF99" w:rsidP="3F29B626">
      <w:pPr>
        <w:spacing w:before="210" w:after="210" w:line="360" w:lineRule="auto"/>
        <w:rPr>
          <w:sz w:val="22"/>
          <w:szCs w:val="22"/>
        </w:rPr>
      </w:pPr>
      <w:r w:rsidRPr="3F29B626">
        <w:rPr>
          <w:sz w:val="22"/>
          <w:szCs w:val="22"/>
        </w:rPr>
        <w:t xml:space="preserve">Appendix G: </w:t>
      </w:r>
      <w:r w:rsidR="12D02BD0" w:rsidRPr="3F29B626">
        <w:rPr>
          <w:sz w:val="22"/>
          <w:szCs w:val="22"/>
        </w:rPr>
        <w:t xml:space="preserve">Post Study Walk Questionnaire </w:t>
      </w:r>
    </w:p>
    <w:p w14:paraId="47C16481" w14:textId="6B270BCC" w:rsidR="004B6E35" w:rsidRDefault="60F7085B" w:rsidP="3F29B626">
      <w:pPr>
        <w:spacing w:before="210" w:after="210" w:line="360" w:lineRule="auto"/>
        <w:rPr>
          <w:sz w:val="22"/>
          <w:szCs w:val="22"/>
        </w:rPr>
      </w:pPr>
      <w:r w:rsidRPr="3F29B626">
        <w:rPr>
          <w:sz w:val="22"/>
          <w:szCs w:val="22"/>
        </w:rPr>
        <w:t xml:space="preserve">Appendix H: </w:t>
      </w:r>
      <w:r w:rsidR="182132B3" w:rsidRPr="3F29B626">
        <w:rPr>
          <w:sz w:val="22"/>
          <w:szCs w:val="22"/>
        </w:rPr>
        <w:t>Post Walk and Interview Questionnaire</w:t>
      </w:r>
    </w:p>
    <w:p w14:paraId="165D73BD" w14:textId="77777777" w:rsidR="00487122" w:rsidRPr="00046625" w:rsidRDefault="00487122" w:rsidP="00487122">
      <w:pPr>
        <w:pStyle w:val="ListParagraph"/>
        <w:spacing w:before="210" w:after="210" w:line="360" w:lineRule="auto"/>
        <w:rPr>
          <w:sz w:val="22"/>
          <w:szCs w:val="22"/>
        </w:rPr>
      </w:pPr>
    </w:p>
    <w:sectPr w:rsidR="00487122" w:rsidRPr="00046625">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B3F2DD" w14:textId="77777777" w:rsidR="003B4E1C" w:rsidRDefault="003B4E1C">
      <w:pPr>
        <w:spacing w:after="0" w:line="240" w:lineRule="auto"/>
      </w:pPr>
      <w:r>
        <w:separator/>
      </w:r>
    </w:p>
  </w:endnote>
  <w:endnote w:type="continuationSeparator" w:id="0">
    <w:p w14:paraId="7E811E27" w14:textId="77777777" w:rsidR="003B4E1C" w:rsidRDefault="003B4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90D44C7" w14:paraId="4D9082C5" w14:textId="77777777" w:rsidTr="190D44C7">
      <w:trPr>
        <w:trHeight w:val="300"/>
      </w:trPr>
      <w:tc>
        <w:tcPr>
          <w:tcW w:w="3005" w:type="dxa"/>
        </w:tcPr>
        <w:p w14:paraId="19F04397" w14:textId="6EB1D443" w:rsidR="190D44C7" w:rsidRDefault="190D44C7" w:rsidP="190D44C7">
          <w:pPr>
            <w:pStyle w:val="Header"/>
            <w:ind w:left="-115"/>
          </w:pPr>
        </w:p>
      </w:tc>
      <w:tc>
        <w:tcPr>
          <w:tcW w:w="3005" w:type="dxa"/>
        </w:tcPr>
        <w:p w14:paraId="7D2B4BB8" w14:textId="189E462E" w:rsidR="190D44C7" w:rsidRDefault="190D44C7" w:rsidP="190D44C7">
          <w:pPr>
            <w:pStyle w:val="Header"/>
            <w:jc w:val="center"/>
          </w:pPr>
        </w:p>
      </w:tc>
      <w:tc>
        <w:tcPr>
          <w:tcW w:w="3005" w:type="dxa"/>
        </w:tcPr>
        <w:p w14:paraId="6641477F" w14:textId="50FCF92E" w:rsidR="190D44C7" w:rsidRDefault="190D44C7" w:rsidP="190D44C7">
          <w:pPr>
            <w:pStyle w:val="Header"/>
            <w:ind w:right="-115"/>
            <w:jc w:val="right"/>
          </w:pPr>
          <w:r>
            <w:fldChar w:fldCharType="begin"/>
          </w:r>
          <w:r>
            <w:instrText>PAGE</w:instrText>
          </w:r>
          <w:r>
            <w:fldChar w:fldCharType="separate"/>
          </w:r>
          <w:r w:rsidR="006C2D08">
            <w:rPr>
              <w:noProof/>
            </w:rPr>
            <w:t>1</w:t>
          </w:r>
          <w:r>
            <w:fldChar w:fldCharType="end"/>
          </w:r>
        </w:p>
      </w:tc>
    </w:tr>
  </w:tbl>
  <w:p w14:paraId="38AD92EF" w14:textId="62FBEBC4" w:rsidR="190D44C7" w:rsidRDefault="190D44C7" w:rsidP="190D4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F85DB" w14:textId="77777777" w:rsidR="003B4E1C" w:rsidRDefault="003B4E1C">
      <w:pPr>
        <w:spacing w:after="0" w:line="240" w:lineRule="auto"/>
      </w:pPr>
      <w:r>
        <w:separator/>
      </w:r>
    </w:p>
  </w:footnote>
  <w:footnote w:type="continuationSeparator" w:id="0">
    <w:p w14:paraId="758700E7" w14:textId="77777777" w:rsidR="003B4E1C" w:rsidRDefault="003B4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90D44C7" w14:paraId="164B7595" w14:textId="77777777" w:rsidTr="190D44C7">
      <w:trPr>
        <w:trHeight w:val="300"/>
      </w:trPr>
      <w:tc>
        <w:tcPr>
          <w:tcW w:w="3005" w:type="dxa"/>
        </w:tcPr>
        <w:p w14:paraId="385ADA3F" w14:textId="1D7BF0F7" w:rsidR="190D44C7" w:rsidRDefault="190D44C7" w:rsidP="190D44C7">
          <w:pPr>
            <w:pStyle w:val="Header"/>
            <w:ind w:left="-115"/>
          </w:pPr>
        </w:p>
      </w:tc>
      <w:tc>
        <w:tcPr>
          <w:tcW w:w="3005" w:type="dxa"/>
        </w:tcPr>
        <w:p w14:paraId="4B6E33D0" w14:textId="3301ADF1" w:rsidR="190D44C7" w:rsidRDefault="190D44C7" w:rsidP="190D44C7">
          <w:pPr>
            <w:pStyle w:val="Header"/>
            <w:jc w:val="center"/>
          </w:pPr>
        </w:p>
      </w:tc>
      <w:tc>
        <w:tcPr>
          <w:tcW w:w="3005" w:type="dxa"/>
        </w:tcPr>
        <w:p w14:paraId="2996CF30" w14:textId="32FCC9BC" w:rsidR="190D44C7" w:rsidRDefault="190D44C7" w:rsidP="190D44C7">
          <w:pPr>
            <w:pStyle w:val="Header"/>
            <w:ind w:right="-115"/>
            <w:jc w:val="right"/>
          </w:pPr>
        </w:p>
      </w:tc>
    </w:tr>
  </w:tbl>
  <w:p w14:paraId="2D2BB964" w14:textId="50B878AF" w:rsidR="190D44C7" w:rsidRDefault="190D44C7" w:rsidP="190D44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D468"/>
    <w:multiLevelType w:val="hybridMultilevel"/>
    <w:tmpl w:val="7D328BBE"/>
    <w:lvl w:ilvl="0" w:tplc="62FCE046">
      <w:start w:val="1"/>
      <w:numFmt w:val="bullet"/>
      <w:lvlText w:val=""/>
      <w:lvlJc w:val="left"/>
      <w:pPr>
        <w:ind w:left="720" w:hanging="360"/>
      </w:pPr>
      <w:rPr>
        <w:rFonts w:ascii="Symbol" w:hAnsi="Symbol" w:hint="default"/>
      </w:rPr>
    </w:lvl>
    <w:lvl w:ilvl="1" w:tplc="9DFA2DB4">
      <w:start w:val="1"/>
      <w:numFmt w:val="bullet"/>
      <w:lvlText w:val="o"/>
      <w:lvlJc w:val="left"/>
      <w:pPr>
        <w:ind w:left="1440" w:hanging="360"/>
      </w:pPr>
      <w:rPr>
        <w:rFonts w:ascii="Courier New" w:hAnsi="Courier New" w:hint="default"/>
      </w:rPr>
    </w:lvl>
    <w:lvl w:ilvl="2" w:tplc="9FEE0D14">
      <w:start w:val="1"/>
      <w:numFmt w:val="bullet"/>
      <w:lvlText w:val=""/>
      <w:lvlJc w:val="left"/>
      <w:pPr>
        <w:ind w:left="2160" w:hanging="360"/>
      </w:pPr>
      <w:rPr>
        <w:rFonts w:ascii="Wingdings" w:hAnsi="Wingdings" w:hint="default"/>
      </w:rPr>
    </w:lvl>
    <w:lvl w:ilvl="3" w:tplc="F8346D48">
      <w:start w:val="1"/>
      <w:numFmt w:val="bullet"/>
      <w:lvlText w:val=""/>
      <w:lvlJc w:val="left"/>
      <w:pPr>
        <w:ind w:left="2880" w:hanging="360"/>
      </w:pPr>
      <w:rPr>
        <w:rFonts w:ascii="Symbol" w:hAnsi="Symbol" w:hint="default"/>
      </w:rPr>
    </w:lvl>
    <w:lvl w:ilvl="4" w:tplc="FE06C886">
      <w:start w:val="1"/>
      <w:numFmt w:val="bullet"/>
      <w:lvlText w:val="o"/>
      <w:lvlJc w:val="left"/>
      <w:pPr>
        <w:ind w:left="3600" w:hanging="360"/>
      </w:pPr>
      <w:rPr>
        <w:rFonts w:ascii="Courier New" w:hAnsi="Courier New" w:hint="default"/>
      </w:rPr>
    </w:lvl>
    <w:lvl w:ilvl="5" w:tplc="734C86C4">
      <w:start w:val="1"/>
      <w:numFmt w:val="bullet"/>
      <w:lvlText w:val=""/>
      <w:lvlJc w:val="left"/>
      <w:pPr>
        <w:ind w:left="4320" w:hanging="360"/>
      </w:pPr>
      <w:rPr>
        <w:rFonts w:ascii="Wingdings" w:hAnsi="Wingdings" w:hint="default"/>
      </w:rPr>
    </w:lvl>
    <w:lvl w:ilvl="6" w:tplc="9A483BC0">
      <w:start w:val="1"/>
      <w:numFmt w:val="bullet"/>
      <w:lvlText w:val=""/>
      <w:lvlJc w:val="left"/>
      <w:pPr>
        <w:ind w:left="5040" w:hanging="360"/>
      </w:pPr>
      <w:rPr>
        <w:rFonts w:ascii="Symbol" w:hAnsi="Symbol" w:hint="default"/>
      </w:rPr>
    </w:lvl>
    <w:lvl w:ilvl="7" w:tplc="C7302384">
      <w:start w:val="1"/>
      <w:numFmt w:val="bullet"/>
      <w:lvlText w:val="o"/>
      <w:lvlJc w:val="left"/>
      <w:pPr>
        <w:ind w:left="5760" w:hanging="360"/>
      </w:pPr>
      <w:rPr>
        <w:rFonts w:ascii="Courier New" w:hAnsi="Courier New" w:hint="default"/>
      </w:rPr>
    </w:lvl>
    <w:lvl w:ilvl="8" w:tplc="04488E22">
      <w:start w:val="1"/>
      <w:numFmt w:val="bullet"/>
      <w:lvlText w:val=""/>
      <w:lvlJc w:val="left"/>
      <w:pPr>
        <w:ind w:left="6480" w:hanging="360"/>
      </w:pPr>
      <w:rPr>
        <w:rFonts w:ascii="Wingdings" w:hAnsi="Wingdings" w:hint="default"/>
      </w:rPr>
    </w:lvl>
  </w:abstractNum>
  <w:abstractNum w:abstractNumId="1" w15:restartNumberingAfterBreak="0">
    <w:nsid w:val="04AD58C5"/>
    <w:multiLevelType w:val="hybridMultilevel"/>
    <w:tmpl w:val="4A089350"/>
    <w:lvl w:ilvl="0" w:tplc="CC2895CA">
      <w:start w:val="1"/>
      <w:numFmt w:val="bullet"/>
      <w:lvlText w:val=""/>
      <w:lvlJc w:val="left"/>
      <w:pPr>
        <w:ind w:left="720" w:hanging="360"/>
      </w:pPr>
      <w:rPr>
        <w:rFonts w:ascii="Symbol" w:hAnsi="Symbol" w:hint="default"/>
      </w:rPr>
    </w:lvl>
    <w:lvl w:ilvl="1" w:tplc="127A3DF8">
      <w:start w:val="1"/>
      <w:numFmt w:val="bullet"/>
      <w:lvlText w:val="o"/>
      <w:lvlJc w:val="left"/>
      <w:pPr>
        <w:ind w:left="1440" w:hanging="360"/>
      </w:pPr>
      <w:rPr>
        <w:rFonts w:ascii="Courier New" w:hAnsi="Courier New" w:hint="default"/>
      </w:rPr>
    </w:lvl>
    <w:lvl w:ilvl="2" w:tplc="B560D854">
      <w:start w:val="1"/>
      <w:numFmt w:val="bullet"/>
      <w:lvlText w:val=""/>
      <w:lvlJc w:val="left"/>
      <w:pPr>
        <w:ind w:left="2160" w:hanging="360"/>
      </w:pPr>
      <w:rPr>
        <w:rFonts w:ascii="Wingdings" w:hAnsi="Wingdings" w:hint="default"/>
      </w:rPr>
    </w:lvl>
    <w:lvl w:ilvl="3" w:tplc="890ADE90">
      <w:start w:val="1"/>
      <w:numFmt w:val="bullet"/>
      <w:lvlText w:val=""/>
      <w:lvlJc w:val="left"/>
      <w:pPr>
        <w:ind w:left="2880" w:hanging="360"/>
      </w:pPr>
      <w:rPr>
        <w:rFonts w:ascii="Symbol" w:hAnsi="Symbol" w:hint="default"/>
      </w:rPr>
    </w:lvl>
    <w:lvl w:ilvl="4" w:tplc="E1925E28">
      <w:start w:val="1"/>
      <w:numFmt w:val="bullet"/>
      <w:lvlText w:val="o"/>
      <w:lvlJc w:val="left"/>
      <w:pPr>
        <w:ind w:left="3600" w:hanging="360"/>
      </w:pPr>
      <w:rPr>
        <w:rFonts w:ascii="Courier New" w:hAnsi="Courier New" w:hint="default"/>
      </w:rPr>
    </w:lvl>
    <w:lvl w:ilvl="5" w:tplc="BFB4D802">
      <w:start w:val="1"/>
      <w:numFmt w:val="bullet"/>
      <w:lvlText w:val=""/>
      <w:lvlJc w:val="left"/>
      <w:pPr>
        <w:ind w:left="4320" w:hanging="360"/>
      </w:pPr>
      <w:rPr>
        <w:rFonts w:ascii="Wingdings" w:hAnsi="Wingdings" w:hint="default"/>
      </w:rPr>
    </w:lvl>
    <w:lvl w:ilvl="6" w:tplc="62360E86">
      <w:start w:val="1"/>
      <w:numFmt w:val="bullet"/>
      <w:lvlText w:val=""/>
      <w:lvlJc w:val="left"/>
      <w:pPr>
        <w:ind w:left="5040" w:hanging="360"/>
      </w:pPr>
      <w:rPr>
        <w:rFonts w:ascii="Symbol" w:hAnsi="Symbol" w:hint="default"/>
      </w:rPr>
    </w:lvl>
    <w:lvl w:ilvl="7" w:tplc="A560C76C">
      <w:start w:val="1"/>
      <w:numFmt w:val="bullet"/>
      <w:lvlText w:val="o"/>
      <w:lvlJc w:val="left"/>
      <w:pPr>
        <w:ind w:left="5760" w:hanging="360"/>
      </w:pPr>
      <w:rPr>
        <w:rFonts w:ascii="Courier New" w:hAnsi="Courier New" w:hint="default"/>
      </w:rPr>
    </w:lvl>
    <w:lvl w:ilvl="8" w:tplc="192E6D46">
      <w:start w:val="1"/>
      <w:numFmt w:val="bullet"/>
      <w:lvlText w:val=""/>
      <w:lvlJc w:val="left"/>
      <w:pPr>
        <w:ind w:left="6480" w:hanging="360"/>
      </w:pPr>
      <w:rPr>
        <w:rFonts w:ascii="Wingdings" w:hAnsi="Wingdings" w:hint="default"/>
      </w:rPr>
    </w:lvl>
  </w:abstractNum>
  <w:abstractNum w:abstractNumId="2" w15:restartNumberingAfterBreak="0">
    <w:nsid w:val="0E2A4C0B"/>
    <w:multiLevelType w:val="hybridMultilevel"/>
    <w:tmpl w:val="45100296"/>
    <w:lvl w:ilvl="0" w:tplc="A57AA12C">
      <w:start w:val="1"/>
      <w:numFmt w:val="bullet"/>
      <w:lvlText w:val=""/>
      <w:lvlJc w:val="left"/>
      <w:pPr>
        <w:ind w:left="720" w:hanging="360"/>
      </w:pPr>
      <w:rPr>
        <w:rFonts w:ascii="Symbol" w:hAnsi="Symbol" w:hint="default"/>
      </w:rPr>
    </w:lvl>
    <w:lvl w:ilvl="1" w:tplc="B7C818F0">
      <w:start w:val="1"/>
      <w:numFmt w:val="bullet"/>
      <w:lvlText w:val="o"/>
      <w:lvlJc w:val="left"/>
      <w:pPr>
        <w:ind w:left="1440" w:hanging="360"/>
      </w:pPr>
      <w:rPr>
        <w:rFonts w:ascii="Courier New" w:hAnsi="Courier New" w:hint="default"/>
      </w:rPr>
    </w:lvl>
    <w:lvl w:ilvl="2" w:tplc="1C10DA6C">
      <w:start w:val="1"/>
      <w:numFmt w:val="bullet"/>
      <w:lvlText w:val=""/>
      <w:lvlJc w:val="left"/>
      <w:pPr>
        <w:ind w:left="2160" w:hanging="360"/>
      </w:pPr>
      <w:rPr>
        <w:rFonts w:ascii="Wingdings" w:hAnsi="Wingdings" w:hint="default"/>
      </w:rPr>
    </w:lvl>
    <w:lvl w:ilvl="3" w:tplc="004E15E4">
      <w:start w:val="1"/>
      <w:numFmt w:val="bullet"/>
      <w:lvlText w:val=""/>
      <w:lvlJc w:val="left"/>
      <w:pPr>
        <w:ind w:left="2880" w:hanging="360"/>
      </w:pPr>
      <w:rPr>
        <w:rFonts w:ascii="Symbol" w:hAnsi="Symbol" w:hint="default"/>
      </w:rPr>
    </w:lvl>
    <w:lvl w:ilvl="4" w:tplc="4A9841B8">
      <w:start w:val="1"/>
      <w:numFmt w:val="bullet"/>
      <w:lvlText w:val="o"/>
      <w:lvlJc w:val="left"/>
      <w:pPr>
        <w:ind w:left="3600" w:hanging="360"/>
      </w:pPr>
      <w:rPr>
        <w:rFonts w:ascii="Courier New" w:hAnsi="Courier New" w:hint="default"/>
      </w:rPr>
    </w:lvl>
    <w:lvl w:ilvl="5" w:tplc="93D266BE">
      <w:start w:val="1"/>
      <w:numFmt w:val="bullet"/>
      <w:lvlText w:val=""/>
      <w:lvlJc w:val="left"/>
      <w:pPr>
        <w:ind w:left="4320" w:hanging="360"/>
      </w:pPr>
      <w:rPr>
        <w:rFonts w:ascii="Wingdings" w:hAnsi="Wingdings" w:hint="default"/>
      </w:rPr>
    </w:lvl>
    <w:lvl w:ilvl="6" w:tplc="0DBC50EA">
      <w:start w:val="1"/>
      <w:numFmt w:val="bullet"/>
      <w:lvlText w:val=""/>
      <w:lvlJc w:val="left"/>
      <w:pPr>
        <w:ind w:left="5040" w:hanging="360"/>
      </w:pPr>
      <w:rPr>
        <w:rFonts w:ascii="Symbol" w:hAnsi="Symbol" w:hint="default"/>
      </w:rPr>
    </w:lvl>
    <w:lvl w:ilvl="7" w:tplc="8DE85E84">
      <w:start w:val="1"/>
      <w:numFmt w:val="bullet"/>
      <w:lvlText w:val="o"/>
      <w:lvlJc w:val="left"/>
      <w:pPr>
        <w:ind w:left="5760" w:hanging="360"/>
      </w:pPr>
      <w:rPr>
        <w:rFonts w:ascii="Courier New" w:hAnsi="Courier New" w:hint="default"/>
      </w:rPr>
    </w:lvl>
    <w:lvl w:ilvl="8" w:tplc="41B2B772">
      <w:start w:val="1"/>
      <w:numFmt w:val="bullet"/>
      <w:lvlText w:val=""/>
      <w:lvlJc w:val="left"/>
      <w:pPr>
        <w:ind w:left="6480" w:hanging="360"/>
      </w:pPr>
      <w:rPr>
        <w:rFonts w:ascii="Wingdings" w:hAnsi="Wingdings" w:hint="default"/>
      </w:rPr>
    </w:lvl>
  </w:abstractNum>
  <w:abstractNum w:abstractNumId="3" w15:restartNumberingAfterBreak="0">
    <w:nsid w:val="14FF0055"/>
    <w:multiLevelType w:val="hybridMultilevel"/>
    <w:tmpl w:val="A31E2B94"/>
    <w:lvl w:ilvl="0" w:tplc="4E1E32E8">
      <w:start w:val="1"/>
      <w:numFmt w:val="bullet"/>
      <w:lvlText w:val=""/>
      <w:lvlJc w:val="left"/>
      <w:pPr>
        <w:ind w:left="720" w:hanging="360"/>
      </w:pPr>
      <w:rPr>
        <w:rFonts w:ascii="Symbol" w:hAnsi="Symbol" w:hint="default"/>
      </w:rPr>
    </w:lvl>
    <w:lvl w:ilvl="1" w:tplc="3BA49528">
      <w:start w:val="1"/>
      <w:numFmt w:val="bullet"/>
      <w:lvlText w:val="o"/>
      <w:lvlJc w:val="left"/>
      <w:pPr>
        <w:ind w:left="1440" w:hanging="360"/>
      </w:pPr>
      <w:rPr>
        <w:rFonts w:ascii="Courier New" w:hAnsi="Courier New" w:hint="default"/>
      </w:rPr>
    </w:lvl>
    <w:lvl w:ilvl="2" w:tplc="BEB0E08A">
      <w:start w:val="1"/>
      <w:numFmt w:val="bullet"/>
      <w:lvlText w:val=""/>
      <w:lvlJc w:val="left"/>
      <w:pPr>
        <w:ind w:left="2160" w:hanging="360"/>
      </w:pPr>
      <w:rPr>
        <w:rFonts w:ascii="Wingdings" w:hAnsi="Wingdings" w:hint="default"/>
      </w:rPr>
    </w:lvl>
    <w:lvl w:ilvl="3" w:tplc="B65EDEBA">
      <w:start w:val="1"/>
      <w:numFmt w:val="bullet"/>
      <w:lvlText w:val=""/>
      <w:lvlJc w:val="left"/>
      <w:pPr>
        <w:ind w:left="2880" w:hanging="360"/>
      </w:pPr>
      <w:rPr>
        <w:rFonts w:ascii="Symbol" w:hAnsi="Symbol" w:hint="default"/>
      </w:rPr>
    </w:lvl>
    <w:lvl w:ilvl="4" w:tplc="32C8846C">
      <w:start w:val="1"/>
      <w:numFmt w:val="bullet"/>
      <w:lvlText w:val="o"/>
      <w:lvlJc w:val="left"/>
      <w:pPr>
        <w:ind w:left="3600" w:hanging="360"/>
      </w:pPr>
      <w:rPr>
        <w:rFonts w:ascii="Courier New" w:hAnsi="Courier New" w:hint="default"/>
      </w:rPr>
    </w:lvl>
    <w:lvl w:ilvl="5" w:tplc="B7D021B0">
      <w:start w:val="1"/>
      <w:numFmt w:val="bullet"/>
      <w:lvlText w:val=""/>
      <w:lvlJc w:val="left"/>
      <w:pPr>
        <w:ind w:left="4320" w:hanging="360"/>
      </w:pPr>
      <w:rPr>
        <w:rFonts w:ascii="Wingdings" w:hAnsi="Wingdings" w:hint="default"/>
      </w:rPr>
    </w:lvl>
    <w:lvl w:ilvl="6" w:tplc="A434D2FA">
      <w:start w:val="1"/>
      <w:numFmt w:val="bullet"/>
      <w:lvlText w:val=""/>
      <w:lvlJc w:val="left"/>
      <w:pPr>
        <w:ind w:left="5040" w:hanging="360"/>
      </w:pPr>
      <w:rPr>
        <w:rFonts w:ascii="Symbol" w:hAnsi="Symbol" w:hint="default"/>
      </w:rPr>
    </w:lvl>
    <w:lvl w:ilvl="7" w:tplc="7042309A">
      <w:start w:val="1"/>
      <w:numFmt w:val="bullet"/>
      <w:lvlText w:val="o"/>
      <w:lvlJc w:val="left"/>
      <w:pPr>
        <w:ind w:left="5760" w:hanging="360"/>
      </w:pPr>
      <w:rPr>
        <w:rFonts w:ascii="Courier New" w:hAnsi="Courier New" w:hint="default"/>
      </w:rPr>
    </w:lvl>
    <w:lvl w:ilvl="8" w:tplc="06A0A38C">
      <w:start w:val="1"/>
      <w:numFmt w:val="bullet"/>
      <w:lvlText w:val=""/>
      <w:lvlJc w:val="left"/>
      <w:pPr>
        <w:ind w:left="6480" w:hanging="360"/>
      </w:pPr>
      <w:rPr>
        <w:rFonts w:ascii="Wingdings" w:hAnsi="Wingdings" w:hint="default"/>
      </w:rPr>
    </w:lvl>
  </w:abstractNum>
  <w:abstractNum w:abstractNumId="4" w15:restartNumberingAfterBreak="0">
    <w:nsid w:val="1914D3D0"/>
    <w:multiLevelType w:val="hybridMultilevel"/>
    <w:tmpl w:val="43E4DCD6"/>
    <w:lvl w:ilvl="0" w:tplc="AB463820">
      <w:start w:val="5"/>
      <w:numFmt w:val="decimal"/>
      <w:lvlText w:val="%1."/>
      <w:lvlJc w:val="left"/>
      <w:pPr>
        <w:ind w:left="720" w:hanging="360"/>
      </w:pPr>
      <w:rPr>
        <w:rFonts w:ascii="Arial" w:hAnsi="Arial" w:hint="default"/>
      </w:rPr>
    </w:lvl>
    <w:lvl w:ilvl="1" w:tplc="8C8EB016">
      <w:start w:val="1"/>
      <w:numFmt w:val="lowerLetter"/>
      <w:lvlText w:val="%2."/>
      <w:lvlJc w:val="left"/>
      <w:pPr>
        <w:ind w:left="1440" w:hanging="360"/>
      </w:pPr>
    </w:lvl>
    <w:lvl w:ilvl="2" w:tplc="E2C2D930">
      <w:start w:val="1"/>
      <w:numFmt w:val="lowerRoman"/>
      <w:lvlText w:val="%3."/>
      <w:lvlJc w:val="right"/>
      <w:pPr>
        <w:ind w:left="2160" w:hanging="180"/>
      </w:pPr>
    </w:lvl>
    <w:lvl w:ilvl="3" w:tplc="9BC0B70C">
      <w:start w:val="1"/>
      <w:numFmt w:val="decimal"/>
      <w:lvlText w:val="%4."/>
      <w:lvlJc w:val="left"/>
      <w:pPr>
        <w:ind w:left="2880" w:hanging="360"/>
      </w:pPr>
    </w:lvl>
    <w:lvl w:ilvl="4" w:tplc="C832D8BA">
      <w:start w:val="1"/>
      <w:numFmt w:val="lowerLetter"/>
      <w:lvlText w:val="%5."/>
      <w:lvlJc w:val="left"/>
      <w:pPr>
        <w:ind w:left="3600" w:hanging="360"/>
      </w:pPr>
    </w:lvl>
    <w:lvl w:ilvl="5" w:tplc="05DE8B3C">
      <w:start w:val="1"/>
      <w:numFmt w:val="lowerRoman"/>
      <w:lvlText w:val="%6."/>
      <w:lvlJc w:val="right"/>
      <w:pPr>
        <w:ind w:left="4320" w:hanging="180"/>
      </w:pPr>
    </w:lvl>
    <w:lvl w:ilvl="6" w:tplc="08F4E76E">
      <w:start w:val="1"/>
      <w:numFmt w:val="decimal"/>
      <w:lvlText w:val="%7."/>
      <w:lvlJc w:val="left"/>
      <w:pPr>
        <w:ind w:left="5040" w:hanging="360"/>
      </w:pPr>
    </w:lvl>
    <w:lvl w:ilvl="7" w:tplc="208E53FC">
      <w:start w:val="1"/>
      <w:numFmt w:val="lowerLetter"/>
      <w:lvlText w:val="%8."/>
      <w:lvlJc w:val="left"/>
      <w:pPr>
        <w:ind w:left="5760" w:hanging="360"/>
      </w:pPr>
    </w:lvl>
    <w:lvl w:ilvl="8" w:tplc="79FA1014">
      <w:start w:val="1"/>
      <w:numFmt w:val="lowerRoman"/>
      <w:lvlText w:val="%9."/>
      <w:lvlJc w:val="right"/>
      <w:pPr>
        <w:ind w:left="6480" w:hanging="180"/>
      </w:pPr>
    </w:lvl>
  </w:abstractNum>
  <w:abstractNum w:abstractNumId="5" w15:restartNumberingAfterBreak="0">
    <w:nsid w:val="195AF295"/>
    <w:multiLevelType w:val="hybridMultilevel"/>
    <w:tmpl w:val="7F5C94DC"/>
    <w:lvl w:ilvl="0" w:tplc="56A426FA">
      <w:start w:val="1"/>
      <w:numFmt w:val="bullet"/>
      <w:lvlText w:val=""/>
      <w:lvlJc w:val="left"/>
      <w:pPr>
        <w:ind w:left="720" w:hanging="360"/>
      </w:pPr>
      <w:rPr>
        <w:rFonts w:ascii="Symbol" w:hAnsi="Symbol" w:hint="default"/>
      </w:rPr>
    </w:lvl>
    <w:lvl w:ilvl="1" w:tplc="9CAE5672">
      <w:start w:val="1"/>
      <w:numFmt w:val="bullet"/>
      <w:lvlText w:val="o"/>
      <w:lvlJc w:val="left"/>
      <w:pPr>
        <w:ind w:left="1440" w:hanging="360"/>
      </w:pPr>
      <w:rPr>
        <w:rFonts w:ascii="Courier New" w:hAnsi="Courier New" w:hint="default"/>
      </w:rPr>
    </w:lvl>
    <w:lvl w:ilvl="2" w:tplc="C51EB6F0">
      <w:start w:val="1"/>
      <w:numFmt w:val="bullet"/>
      <w:lvlText w:val=""/>
      <w:lvlJc w:val="left"/>
      <w:pPr>
        <w:ind w:left="2160" w:hanging="360"/>
      </w:pPr>
      <w:rPr>
        <w:rFonts w:ascii="Wingdings" w:hAnsi="Wingdings" w:hint="default"/>
      </w:rPr>
    </w:lvl>
    <w:lvl w:ilvl="3" w:tplc="C46AA4D0">
      <w:start w:val="1"/>
      <w:numFmt w:val="bullet"/>
      <w:lvlText w:val=""/>
      <w:lvlJc w:val="left"/>
      <w:pPr>
        <w:ind w:left="2880" w:hanging="360"/>
      </w:pPr>
      <w:rPr>
        <w:rFonts w:ascii="Symbol" w:hAnsi="Symbol" w:hint="default"/>
      </w:rPr>
    </w:lvl>
    <w:lvl w:ilvl="4" w:tplc="293C62F8">
      <w:start w:val="1"/>
      <w:numFmt w:val="bullet"/>
      <w:lvlText w:val="o"/>
      <w:lvlJc w:val="left"/>
      <w:pPr>
        <w:ind w:left="3600" w:hanging="360"/>
      </w:pPr>
      <w:rPr>
        <w:rFonts w:ascii="Courier New" w:hAnsi="Courier New" w:hint="default"/>
      </w:rPr>
    </w:lvl>
    <w:lvl w:ilvl="5" w:tplc="5C1E6D98">
      <w:start w:val="1"/>
      <w:numFmt w:val="bullet"/>
      <w:lvlText w:val=""/>
      <w:lvlJc w:val="left"/>
      <w:pPr>
        <w:ind w:left="4320" w:hanging="360"/>
      </w:pPr>
      <w:rPr>
        <w:rFonts w:ascii="Wingdings" w:hAnsi="Wingdings" w:hint="default"/>
      </w:rPr>
    </w:lvl>
    <w:lvl w:ilvl="6" w:tplc="C7604BA2">
      <w:start w:val="1"/>
      <w:numFmt w:val="bullet"/>
      <w:lvlText w:val=""/>
      <w:lvlJc w:val="left"/>
      <w:pPr>
        <w:ind w:left="5040" w:hanging="360"/>
      </w:pPr>
      <w:rPr>
        <w:rFonts w:ascii="Symbol" w:hAnsi="Symbol" w:hint="default"/>
      </w:rPr>
    </w:lvl>
    <w:lvl w:ilvl="7" w:tplc="FF90FA42">
      <w:start w:val="1"/>
      <w:numFmt w:val="bullet"/>
      <w:lvlText w:val="o"/>
      <w:lvlJc w:val="left"/>
      <w:pPr>
        <w:ind w:left="5760" w:hanging="360"/>
      </w:pPr>
      <w:rPr>
        <w:rFonts w:ascii="Courier New" w:hAnsi="Courier New" w:hint="default"/>
      </w:rPr>
    </w:lvl>
    <w:lvl w:ilvl="8" w:tplc="63727702">
      <w:start w:val="1"/>
      <w:numFmt w:val="bullet"/>
      <w:lvlText w:val=""/>
      <w:lvlJc w:val="left"/>
      <w:pPr>
        <w:ind w:left="6480" w:hanging="360"/>
      </w:pPr>
      <w:rPr>
        <w:rFonts w:ascii="Wingdings" w:hAnsi="Wingdings" w:hint="default"/>
      </w:rPr>
    </w:lvl>
  </w:abstractNum>
  <w:abstractNum w:abstractNumId="6" w15:restartNumberingAfterBreak="0">
    <w:nsid w:val="244BF88C"/>
    <w:multiLevelType w:val="hybridMultilevel"/>
    <w:tmpl w:val="8E2A550A"/>
    <w:lvl w:ilvl="0" w:tplc="E3FA71F4">
      <w:start w:val="1"/>
      <w:numFmt w:val="upperLetter"/>
      <w:lvlText w:val="%1."/>
      <w:lvlJc w:val="left"/>
      <w:pPr>
        <w:ind w:left="720" w:hanging="360"/>
      </w:pPr>
    </w:lvl>
    <w:lvl w:ilvl="1" w:tplc="1BFE31E8">
      <w:start w:val="1"/>
      <w:numFmt w:val="lowerLetter"/>
      <w:lvlText w:val="%2."/>
      <w:lvlJc w:val="left"/>
      <w:pPr>
        <w:ind w:left="1440" w:hanging="360"/>
      </w:pPr>
    </w:lvl>
    <w:lvl w:ilvl="2" w:tplc="EB26C184">
      <w:start w:val="1"/>
      <w:numFmt w:val="lowerRoman"/>
      <w:lvlText w:val="%3."/>
      <w:lvlJc w:val="right"/>
      <w:pPr>
        <w:ind w:left="2160" w:hanging="180"/>
      </w:pPr>
    </w:lvl>
    <w:lvl w:ilvl="3" w:tplc="8DFA3CC6">
      <w:start w:val="1"/>
      <w:numFmt w:val="decimal"/>
      <w:lvlText w:val="%4."/>
      <w:lvlJc w:val="left"/>
      <w:pPr>
        <w:ind w:left="2880" w:hanging="360"/>
      </w:pPr>
    </w:lvl>
    <w:lvl w:ilvl="4" w:tplc="C2966E86">
      <w:start w:val="1"/>
      <w:numFmt w:val="lowerLetter"/>
      <w:lvlText w:val="%5."/>
      <w:lvlJc w:val="left"/>
      <w:pPr>
        <w:ind w:left="3600" w:hanging="360"/>
      </w:pPr>
    </w:lvl>
    <w:lvl w:ilvl="5" w:tplc="79A07FBC">
      <w:start w:val="1"/>
      <w:numFmt w:val="lowerRoman"/>
      <w:lvlText w:val="%6."/>
      <w:lvlJc w:val="right"/>
      <w:pPr>
        <w:ind w:left="4320" w:hanging="180"/>
      </w:pPr>
    </w:lvl>
    <w:lvl w:ilvl="6" w:tplc="BDC6C976">
      <w:start w:val="1"/>
      <w:numFmt w:val="decimal"/>
      <w:lvlText w:val="%7."/>
      <w:lvlJc w:val="left"/>
      <w:pPr>
        <w:ind w:left="5040" w:hanging="360"/>
      </w:pPr>
    </w:lvl>
    <w:lvl w:ilvl="7" w:tplc="6A8E5930">
      <w:start w:val="1"/>
      <w:numFmt w:val="lowerLetter"/>
      <w:lvlText w:val="%8."/>
      <w:lvlJc w:val="left"/>
      <w:pPr>
        <w:ind w:left="5760" w:hanging="360"/>
      </w:pPr>
    </w:lvl>
    <w:lvl w:ilvl="8" w:tplc="DE7CE20E">
      <w:start w:val="1"/>
      <w:numFmt w:val="lowerRoman"/>
      <w:lvlText w:val="%9."/>
      <w:lvlJc w:val="right"/>
      <w:pPr>
        <w:ind w:left="6480" w:hanging="180"/>
      </w:pPr>
    </w:lvl>
  </w:abstractNum>
  <w:abstractNum w:abstractNumId="7" w15:restartNumberingAfterBreak="0">
    <w:nsid w:val="34461CE7"/>
    <w:multiLevelType w:val="hybridMultilevel"/>
    <w:tmpl w:val="9F46E418"/>
    <w:lvl w:ilvl="0" w:tplc="10142F4E">
      <w:start w:val="1"/>
      <w:numFmt w:val="bullet"/>
      <w:lvlText w:val=""/>
      <w:lvlJc w:val="left"/>
      <w:pPr>
        <w:ind w:left="720" w:hanging="360"/>
      </w:pPr>
      <w:rPr>
        <w:rFonts w:ascii="Symbol" w:hAnsi="Symbol" w:hint="default"/>
      </w:rPr>
    </w:lvl>
    <w:lvl w:ilvl="1" w:tplc="462468A6">
      <w:start w:val="1"/>
      <w:numFmt w:val="bullet"/>
      <w:lvlText w:val="o"/>
      <w:lvlJc w:val="left"/>
      <w:pPr>
        <w:ind w:left="1440" w:hanging="360"/>
      </w:pPr>
      <w:rPr>
        <w:rFonts w:ascii="Courier New" w:hAnsi="Courier New" w:hint="default"/>
      </w:rPr>
    </w:lvl>
    <w:lvl w:ilvl="2" w:tplc="1956716C">
      <w:start w:val="1"/>
      <w:numFmt w:val="bullet"/>
      <w:lvlText w:val=""/>
      <w:lvlJc w:val="left"/>
      <w:pPr>
        <w:ind w:left="2160" w:hanging="360"/>
      </w:pPr>
      <w:rPr>
        <w:rFonts w:ascii="Wingdings" w:hAnsi="Wingdings" w:hint="default"/>
      </w:rPr>
    </w:lvl>
    <w:lvl w:ilvl="3" w:tplc="AF6AEC48">
      <w:start w:val="1"/>
      <w:numFmt w:val="bullet"/>
      <w:lvlText w:val=""/>
      <w:lvlJc w:val="left"/>
      <w:pPr>
        <w:ind w:left="2880" w:hanging="360"/>
      </w:pPr>
      <w:rPr>
        <w:rFonts w:ascii="Symbol" w:hAnsi="Symbol" w:hint="default"/>
      </w:rPr>
    </w:lvl>
    <w:lvl w:ilvl="4" w:tplc="05423288">
      <w:start w:val="1"/>
      <w:numFmt w:val="bullet"/>
      <w:lvlText w:val="o"/>
      <w:lvlJc w:val="left"/>
      <w:pPr>
        <w:ind w:left="3600" w:hanging="360"/>
      </w:pPr>
      <w:rPr>
        <w:rFonts w:ascii="Courier New" w:hAnsi="Courier New" w:hint="default"/>
      </w:rPr>
    </w:lvl>
    <w:lvl w:ilvl="5" w:tplc="F5B0E2AA">
      <w:start w:val="1"/>
      <w:numFmt w:val="bullet"/>
      <w:lvlText w:val=""/>
      <w:lvlJc w:val="left"/>
      <w:pPr>
        <w:ind w:left="4320" w:hanging="360"/>
      </w:pPr>
      <w:rPr>
        <w:rFonts w:ascii="Wingdings" w:hAnsi="Wingdings" w:hint="default"/>
      </w:rPr>
    </w:lvl>
    <w:lvl w:ilvl="6" w:tplc="26340A82">
      <w:start w:val="1"/>
      <w:numFmt w:val="bullet"/>
      <w:lvlText w:val=""/>
      <w:lvlJc w:val="left"/>
      <w:pPr>
        <w:ind w:left="5040" w:hanging="360"/>
      </w:pPr>
      <w:rPr>
        <w:rFonts w:ascii="Symbol" w:hAnsi="Symbol" w:hint="default"/>
      </w:rPr>
    </w:lvl>
    <w:lvl w:ilvl="7" w:tplc="A0C88762">
      <w:start w:val="1"/>
      <w:numFmt w:val="bullet"/>
      <w:lvlText w:val="o"/>
      <w:lvlJc w:val="left"/>
      <w:pPr>
        <w:ind w:left="5760" w:hanging="360"/>
      </w:pPr>
      <w:rPr>
        <w:rFonts w:ascii="Courier New" w:hAnsi="Courier New" w:hint="default"/>
      </w:rPr>
    </w:lvl>
    <w:lvl w:ilvl="8" w:tplc="394EF8AE">
      <w:start w:val="1"/>
      <w:numFmt w:val="bullet"/>
      <w:lvlText w:val=""/>
      <w:lvlJc w:val="left"/>
      <w:pPr>
        <w:ind w:left="6480" w:hanging="360"/>
      </w:pPr>
      <w:rPr>
        <w:rFonts w:ascii="Wingdings" w:hAnsi="Wingdings" w:hint="default"/>
      </w:rPr>
    </w:lvl>
  </w:abstractNum>
  <w:abstractNum w:abstractNumId="8" w15:restartNumberingAfterBreak="0">
    <w:nsid w:val="3595D8DB"/>
    <w:multiLevelType w:val="hybridMultilevel"/>
    <w:tmpl w:val="D034D71E"/>
    <w:lvl w:ilvl="0" w:tplc="59240C7A">
      <w:start w:val="1"/>
      <w:numFmt w:val="bullet"/>
      <w:lvlText w:val=""/>
      <w:lvlJc w:val="left"/>
      <w:pPr>
        <w:ind w:left="720" w:hanging="360"/>
      </w:pPr>
      <w:rPr>
        <w:rFonts w:ascii="Symbol" w:hAnsi="Symbol" w:hint="default"/>
      </w:rPr>
    </w:lvl>
    <w:lvl w:ilvl="1" w:tplc="F5A2ECDA">
      <w:start w:val="1"/>
      <w:numFmt w:val="bullet"/>
      <w:lvlText w:val="o"/>
      <w:lvlJc w:val="left"/>
      <w:pPr>
        <w:ind w:left="1440" w:hanging="360"/>
      </w:pPr>
      <w:rPr>
        <w:rFonts w:ascii="Courier New" w:hAnsi="Courier New" w:hint="default"/>
      </w:rPr>
    </w:lvl>
    <w:lvl w:ilvl="2" w:tplc="F1CA520C">
      <w:start w:val="1"/>
      <w:numFmt w:val="bullet"/>
      <w:lvlText w:val=""/>
      <w:lvlJc w:val="left"/>
      <w:pPr>
        <w:ind w:left="2160" w:hanging="360"/>
      </w:pPr>
      <w:rPr>
        <w:rFonts w:ascii="Wingdings" w:hAnsi="Wingdings" w:hint="default"/>
      </w:rPr>
    </w:lvl>
    <w:lvl w:ilvl="3" w:tplc="F81A9FAC">
      <w:start w:val="1"/>
      <w:numFmt w:val="bullet"/>
      <w:lvlText w:val=""/>
      <w:lvlJc w:val="left"/>
      <w:pPr>
        <w:ind w:left="2880" w:hanging="360"/>
      </w:pPr>
      <w:rPr>
        <w:rFonts w:ascii="Symbol" w:hAnsi="Symbol" w:hint="default"/>
      </w:rPr>
    </w:lvl>
    <w:lvl w:ilvl="4" w:tplc="0DE2162E">
      <w:start w:val="1"/>
      <w:numFmt w:val="bullet"/>
      <w:lvlText w:val="o"/>
      <w:lvlJc w:val="left"/>
      <w:pPr>
        <w:ind w:left="3600" w:hanging="360"/>
      </w:pPr>
      <w:rPr>
        <w:rFonts w:ascii="Courier New" w:hAnsi="Courier New" w:hint="default"/>
      </w:rPr>
    </w:lvl>
    <w:lvl w:ilvl="5" w:tplc="691006C0">
      <w:start w:val="1"/>
      <w:numFmt w:val="bullet"/>
      <w:lvlText w:val=""/>
      <w:lvlJc w:val="left"/>
      <w:pPr>
        <w:ind w:left="4320" w:hanging="360"/>
      </w:pPr>
      <w:rPr>
        <w:rFonts w:ascii="Wingdings" w:hAnsi="Wingdings" w:hint="default"/>
      </w:rPr>
    </w:lvl>
    <w:lvl w:ilvl="6" w:tplc="4614D796">
      <w:start w:val="1"/>
      <w:numFmt w:val="bullet"/>
      <w:lvlText w:val=""/>
      <w:lvlJc w:val="left"/>
      <w:pPr>
        <w:ind w:left="5040" w:hanging="360"/>
      </w:pPr>
      <w:rPr>
        <w:rFonts w:ascii="Symbol" w:hAnsi="Symbol" w:hint="default"/>
      </w:rPr>
    </w:lvl>
    <w:lvl w:ilvl="7" w:tplc="11F2D53C">
      <w:start w:val="1"/>
      <w:numFmt w:val="bullet"/>
      <w:lvlText w:val="o"/>
      <w:lvlJc w:val="left"/>
      <w:pPr>
        <w:ind w:left="5760" w:hanging="360"/>
      </w:pPr>
      <w:rPr>
        <w:rFonts w:ascii="Courier New" w:hAnsi="Courier New" w:hint="default"/>
      </w:rPr>
    </w:lvl>
    <w:lvl w:ilvl="8" w:tplc="F3AEEF9E">
      <w:start w:val="1"/>
      <w:numFmt w:val="bullet"/>
      <w:lvlText w:val=""/>
      <w:lvlJc w:val="left"/>
      <w:pPr>
        <w:ind w:left="6480" w:hanging="360"/>
      </w:pPr>
      <w:rPr>
        <w:rFonts w:ascii="Wingdings" w:hAnsi="Wingdings" w:hint="default"/>
      </w:rPr>
    </w:lvl>
  </w:abstractNum>
  <w:abstractNum w:abstractNumId="9" w15:restartNumberingAfterBreak="0">
    <w:nsid w:val="36E8AB94"/>
    <w:multiLevelType w:val="hybridMultilevel"/>
    <w:tmpl w:val="7CD2F6A0"/>
    <w:lvl w:ilvl="0" w:tplc="DC8C7742">
      <w:start w:val="1"/>
      <w:numFmt w:val="bullet"/>
      <w:lvlText w:val=""/>
      <w:lvlJc w:val="left"/>
      <w:pPr>
        <w:ind w:left="720" w:hanging="360"/>
      </w:pPr>
      <w:rPr>
        <w:rFonts w:ascii="Symbol" w:hAnsi="Symbol" w:hint="default"/>
      </w:rPr>
    </w:lvl>
    <w:lvl w:ilvl="1" w:tplc="968C28AA">
      <w:start w:val="1"/>
      <w:numFmt w:val="bullet"/>
      <w:lvlText w:val="o"/>
      <w:lvlJc w:val="left"/>
      <w:pPr>
        <w:ind w:left="1440" w:hanging="360"/>
      </w:pPr>
      <w:rPr>
        <w:rFonts w:ascii="Courier New" w:hAnsi="Courier New" w:hint="default"/>
      </w:rPr>
    </w:lvl>
    <w:lvl w:ilvl="2" w:tplc="873450E0">
      <w:start w:val="1"/>
      <w:numFmt w:val="bullet"/>
      <w:lvlText w:val=""/>
      <w:lvlJc w:val="left"/>
      <w:pPr>
        <w:ind w:left="2160" w:hanging="360"/>
      </w:pPr>
      <w:rPr>
        <w:rFonts w:ascii="Wingdings" w:hAnsi="Wingdings" w:hint="default"/>
      </w:rPr>
    </w:lvl>
    <w:lvl w:ilvl="3" w:tplc="05E0D92C">
      <w:start w:val="1"/>
      <w:numFmt w:val="bullet"/>
      <w:lvlText w:val=""/>
      <w:lvlJc w:val="left"/>
      <w:pPr>
        <w:ind w:left="2880" w:hanging="360"/>
      </w:pPr>
      <w:rPr>
        <w:rFonts w:ascii="Symbol" w:hAnsi="Symbol" w:hint="default"/>
      </w:rPr>
    </w:lvl>
    <w:lvl w:ilvl="4" w:tplc="ED986A48">
      <w:start w:val="1"/>
      <w:numFmt w:val="bullet"/>
      <w:lvlText w:val="o"/>
      <w:lvlJc w:val="left"/>
      <w:pPr>
        <w:ind w:left="3600" w:hanging="360"/>
      </w:pPr>
      <w:rPr>
        <w:rFonts w:ascii="Courier New" w:hAnsi="Courier New" w:hint="default"/>
      </w:rPr>
    </w:lvl>
    <w:lvl w:ilvl="5" w:tplc="E1E252E0">
      <w:start w:val="1"/>
      <w:numFmt w:val="bullet"/>
      <w:lvlText w:val=""/>
      <w:lvlJc w:val="left"/>
      <w:pPr>
        <w:ind w:left="4320" w:hanging="360"/>
      </w:pPr>
      <w:rPr>
        <w:rFonts w:ascii="Wingdings" w:hAnsi="Wingdings" w:hint="default"/>
      </w:rPr>
    </w:lvl>
    <w:lvl w:ilvl="6" w:tplc="B8D6823E">
      <w:start w:val="1"/>
      <w:numFmt w:val="bullet"/>
      <w:lvlText w:val=""/>
      <w:lvlJc w:val="left"/>
      <w:pPr>
        <w:ind w:left="5040" w:hanging="360"/>
      </w:pPr>
      <w:rPr>
        <w:rFonts w:ascii="Symbol" w:hAnsi="Symbol" w:hint="default"/>
      </w:rPr>
    </w:lvl>
    <w:lvl w:ilvl="7" w:tplc="21088E24">
      <w:start w:val="1"/>
      <w:numFmt w:val="bullet"/>
      <w:lvlText w:val="o"/>
      <w:lvlJc w:val="left"/>
      <w:pPr>
        <w:ind w:left="5760" w:hanging="360"/>
      </w:pPr>
      <w:rPr>
        <w:rFonts w:ascii="Courier New" w:hAnsi="Courier New" w:hint="default"/>
      </w:rPr>
    </w:lvl>
    <w:lvl w:ilvl="8" w:tplc="603C5FF2">
      <w:start w:val="1"/>
      <w:numFmt w:val="bullet"/>
      <w:lvlText w:val=""/>
      <w:lvlJc w:val="left"/>
      <w:pPr>
        <w:ind w:left="6480" w:hanging="360"/>
      </w:pPr>
      <w:rPr>
        <w:rFonts w:ascii="Wingdings" w:hAnsi="Wingdings" w:hint="default"/>
      </w:rPr>
    </w:lvl>
  </w:abstractNum>
  <w:abstractNum w:abstractNumId="10" w15:restartNumberingAfterBreak="0">
    <w:nsid w:val="45292D4D"/>
    <w:multiLevelType w:val="hybridMultilevel"/>
    <w:tmpl w:val="8AE4D07A"/>
    <w:lvl w:ilvl="0" w:tplc="92F8B8F2">
      <w:start w:val="1"/>
      <w:numFmt w:val="bullet"/>
      <w:lvlText w:val=""/>
      <w:lvlJc w:val="left"/>
      <w:pPr>
        <w:ind w:left="720" w:hanging="360"/>
      </w:pPr>
      <w:rPr>
        <w:rFonts w:ascii="Symbol" w:hAnsi="Symbol" w:hint="default"/>
      </w:rPr>
    </w:lvl>
    <w:lvl w:ilvl="1" w:tplc="B9F0DE5A">
      <w:start w:val="1"/>
      <w:numFmt w:val="bullet"/>
      <w:lvlText w:val="o"/>
      <w:lvlJc w:val="left"/>
      <w:pPr>
        <w:ind w:left="1440" w:hanging="360"/>
      </w:pPr>
      <w:rPr>
        <w:rFonts w:ascii="Courier New" w:hAnsi="Courier New" w:hint="default"/>
      </w:rPr>
    </w:lvl>
    <w:lvl w:ilvl="2" w:tplc="AFA8412E">
      <w:start w:val="1"/>
      <w:numFmt w:val="bullet"/>
      <w:lvlText w:val=""/>
      <w:lvlJc w:val="left"/>
      <w:pPr>
        <w:ind w:left="2160" w:hanging="360"/>
      </w:pPr>
      <w:rPr>
        <w:rFonts w:ascii="Wingdings" w:hAnsi="Wingdings" w:hint="default"/>
      </w:rPr>
    </w:lvl>
    <w:lvl w:ilvl="3" w:tplc="E2B02224">
      <w:start w:val="1"/>
      <w:numFmt w:val="bullet"/>
      <w:lvlText w:val=""/>
      <w:lvlJc w:val="left"/>
      <w:pPr>
        <w:ind w:left="2880" w:hanging="360"/>
      </w:pPr>
      <w:rPr>
        <w:rFonts w:ascii="Symbol" w:hAnsi="Symbol" w:hint="default"/>
      </w:rPr>
    </w:lvl>
    <w:lvl w:ilvl="4" w:tplc="015C9080">
      <w:start w:val="1"/>
      <w:numFmt w:val="bullet"/>
      <w:lvlText w:val="o"/>
      <w:lvlJc w:val="left"/>
      <w:pPr>
        <w:ind w:left="3600" w:hanging="360"/>
      </w:pPr>
      <w:rPr>
        <w:rFonts w:ascii="Courier New" w:hAnsi="Courier New" w:hint="default"/>
      </w:rPr>
    </w:lvl>
    <w:lvl w:ilvl="5" w:tplc="E3EC6140">
      <w:start w:val="1"/>
      <w:numFmt w:val="bullet"/>
      <w:lvlText w:val=""/>
      <w:lvlJc w:val="left"/>
      <w:pPr>
        <w:ind w:left="4320" w:hanging="360"/>
      </w:pPr>
      <w:rPr>
        <w:rFonts w:ascii="Wingdings" w:hAnsi="Wingdings" w:hint="default"/>
      </w:rPr>
    </w:lvl>
    <w:lvl w:ilvl="6" w:tplc="5F826B0C">
      <w:start w:val="1"/>
      <w:numFmt w:val="bullet"/>
      <w:lvlText w:val=""/>
      <w:lvlJc w:val="left"/>
      <w:pPr>
        <w:ind w:left="5040" w:hanging="360"/>
      </w:pPr>
      <w:rPr>
        <w:rFonts w:ascii="Symbol" w:hAnsi="Symbol" w:hint="default"/>
      </w:rPr>
    </w:lvl>
    <w:lvl w:ilvl="7" w:tplc="1D860E82">
      <w:start w:val="1"/>
      <w:numFmt w:val="bullet"/>
      <w:lvlText w:val="o"/>
      <w:lvlJc w:val="left"/>
      <w:pPr>
        <w:ind w:left="5760" w:hanging="360"/>
      </w:pPr>
      <w:rPr>
        <w:rFonts w:ascii="Courier New" w:hAnsi="Courier New" w:hint="default"/>
      </w:rPr>
    </w:lvl>
    <w:lvl w:ilvl="8" w:tplc="E162303C">
      <w:start w:val="1"/>
      <w:numFmt w:val="bullet"/>
      <w:lvlText w:val=""/>
      <w:lvlJc w:val="left"/>
      <w:pPr>
        <w:ind w:left="6480" w:hanging="360"/>
      </w:pPr>
      <w:rPr>
        <w:rFonts w:ascii="Wingdings" w:hAnsi="Wingdings" w:hint="default"/>
      </w:rPr>
    </w:lvl>
  </w:abstractNum>
  <w:abstractNum w:abstractNumId="11" w15:restartNumberingAfterBreak="0">
    <w:nsid w:val="48477F4E"/>
    <w:multiLevelType w:val="hybridMultilevel"/>
    <w:tmpl w:val="19A40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725F11"/>
    <w:multiLevelType w:val="hybridMultilevel"/>
    <w:tmpl w:val="438E0A32"/>
    <w:lvl w:ilvl="0" w:tplc="8DA20E34">
      <w:start w:val="1"/>
      <w:numFmt w:val="bullet"/>
      <w:lvlText w:val=""/>
      <w:lvlJc w:val="left"/>
      <w:pPr>
        <w:ind w:left="720" w:hanging="360"/>
      </w:pPr>
      <w:rPr>
        <w:rFonts w:ascii="Symbol" w:hAnsi="Symbol" w:hint="default"/>
      </w:rPr>
    </w:lvl>
    <w:lvl w:ilvl="1" w:tplc="507029D4">
      <w:start w:val="1"/>
      <w:numFmt w:val="bullet"/>
      <w:lvlText w:val="o"/>
      <w:lvlJc w:val="left"/>
      <w:pPr>
        <w:ind w:left="1440" w:hanging="360"/>
      </w:pPr>
      <w:rPr>
        <w:rFonts w:ascii="Courier New" w:hAnsi="Courier New" w:hint="default"/>
      </w:rPr>
    </w:lvl>
    <w:lvl w:ilvl="2" w:tplc="1A80EA22">
      <w:start w:val="1"/>
      <w:numFmt w:val="bullet"/>
      <w:lvlText w:val=""/>
      <w:lvlJc w:val="left"/>
      <w:pPr>
        <w:ind w:left="2160" w:hanging="360"/>
      </w:pPr>
      <w:rPr>
        <w:rFonts w:ascii="Wingdings" w:hAnsi="Wingdings" w:hint="default"/>
      </w:rPr>
    </w:lvl>
    <w:lvl w:ilvl="3" w:tplc="C82840E0">
      <w:start w:val="1"/>
      <w:numFmt w:val="bullet"/>
      <w:lvlText w:val=""/>
      <w:lvlJc w:val="left"/>
      <w:pPr>
        <w:ind w:left="2880" w:hanging="360"/>
      </w:pPr>
      <w:rPr>
        <w:rFonts w:ascii="Symbol" w:hAnsi="Symbol" w:hint="default"/>
      </w:rPr>
    </w:lvl>
    <w:lvl w:ilvl="4" w:tplc="604CE2B8">
      <w:start w:val="1"/>
      <w:numFmt w:val="bullet"/>
      <w:lvlText w:val="o"/>
      <w:lvlJc w:val="left"/>
      <w:pPr>
        <w:ind w:left="3600" w:hanging="360"/>
      </w:pPr>
      <w:rPr>
        <w:rFonts w:ascii="Courier New" w:hAnsi="Courier New" w:hint="default"/>
      </w:rPr>
    </w:lvl>
    <w:lvl w:ilvl="5" w:tplc="325667B2">
      <w:start w:val="1"/>
      <w:numFmt w:val="bullet"/>
      <w:lvlText w:val=""/>
      <w:lvlJc w:val="left"/>
      <w:pPr>
        <w:ind w:left="4320" w:hanging="360"/>
      </w:pPr>
      <w:rPr>
        <w:rFonts w:ascii="Wingdings" w:hAnsi="Wingdings" w:hint="default"/>
      </w:rPr>
    </w:lvl>
    <w:lvl w:ilvl="6" w:tplc="7C3A40C4">
      <w:start w:val="1"/>
      <w:numFmt w:val="bullet"/>
      <w:lvlText w:val=""/>
      <w:lvlJc w:val="left"/>
      <w:pPr>
        <w:ind w:left="5040" w:hanging="360"/>
      </w:pPr>
      <w:rPr>
        <w:rFonts w:ascii="Symbol" w:hAnsi="Symbol" w:hint="default"/>
      </w:rPr>
    </w:lvl>
    <w:lvl w:ilvl="7" w:tplc="FB8499D0">
      <w:start w:val="1"/>
      <w:numFmt w:val="bullet"/>
      <w:lvlText w:val="o"/>
      <w:lvlJc w:val="left"/>
      <w:pPr>
        <w:ind w:left="5760" w:hanging="360"/>
      </w:pPr>
      <w:rPr>
        <w:rFonts w:ascii="Courier New" w:hAnsi="Courier New" w:hint="default"/>
      </w:rPr>
    </w:lvl>
    <w:lvl w:ilvl="8" w:tplc="529477DE">
      <w:start w:val="1"/>
      <w:numFmt w:val="bullet"/>
      <w:lvlText w:val=""/>
      <w:lvlJc w:val="left"/>
      <w:pPr>
        <w:ind w:left="6480" w:hanging="360"/>
      </w:pPr>
      <w:rPr>
        <w:rFonts w:ascii="Wingdings" w:hAnsi="Wingdings" w:hint="default"/>
      </w:rPr>
    </w:lvl>
  </w:abstractNum>
  <w:abstractNum w:abstractNumId="13" w15:restartNumberingAfterBreak="0">
    <w:nsid w:val="4E9CF3D0"/>
    <w:multiLevelType w:val="hybridMultilevel"/>
    <w:tmpl w:val="D062DC40"/>
    <w:lvl w:ilvl="0" w:tplc="2D5EF8BE">
      <w:start w:val="1"/>
      <w:numFmt w:val="bullet"/>
      <w:lvlText w:val=""/>
      <w:lvlJc w:val="left"/>
      <w:pPr>
        <w:ind w:left="720" w:hanging="360"/>
      </w:pPr>
      <w:rPr>
        <w:rFonts w:ascii="Symbol" w:hAnsi="Symbol" w:hint="default"/>
      </w:rPr>
    </w:lvl>
    <w:lvl w:ilvl="1" w:tplc="537E77E4">
      <w:start w:val="1"/>
      <w:numFmt w:val="bullet"/>
      <w:lvlText w:val="o"/>
      <w:lvlJc w:val="left"/>
      <w:pPr>
        <w:ind w:left="1440" w:hanging="360"/>
      </w:pPr>
      <w:rPr>
        <w:rFonts w:ascii="Courier New" w:hAnsi="Courier New" w:hint="default"/>
      </w:rPr>
    </w:lvl>
    <w:lvl w:ilvl="2" w:tplc="E87C65C2">
      <w:start w:val="1"/>
      <w:numFmt w:val="bullet"/>
      <w:lvlText w:val=""/>
      <w:lvlJc w:val="left"/>
      <w:pPr>
        <w:ind w:left="2160" w:hanging="360"/>
      </w:pPr>
      <w:rPr>
        <w:rFonts w:ascii="Wingdings" w:hAnsi="Wingdings" w:hint="default"/>
      </w:rPr>
    </w:lvl>
    <w:lvl w:ilvl="3" w:tplc="3AE4AA1E">
      <w:start w:val="1"/>
      <w:numFmt w:val="bullet"/>
      <w:lvlText w:val=""/>
      <w:lvlJc w:val="left"/>
      <w:pPr>
        <w:ind w:left="2880" w:hanging="360"/>
      </w:pPr>
      <w:rPr>
        <w:rFonts w:ascii="Symbol" w:hAnsi="Symbol" w:hint="default"/>
      </w:rPr>
    </w:lvl>
    <w:lvl w:ilvl="4" w:tplc="B4688A10">
      <w:start w:val="1"/>
      <w:numFmt w:val="bullet"/>
      <w:lvlText w:val="o"/>
      <w:lvlJc w:val="left"/>
      <w:pPr>
        <w:ind w:left="3600" w:hanging="360"/>
      </w:pPr>
      <w:rPr>
        <w:rFonts w:ascii="Courier New" w:hAnsi="Courier New" w:hint="default"/>
      </w:rPr>
    </w:lvl>
    <w:lvl w:ilvl="5" w:tplc="F84AC5B2">
      <w:start w:val="1"/>
      <w:numFmt w:val="bullet"/>
      <w:lvlText w:val=""/>
      <w:lvlJc w:val="left"/>
      <w:pPr>
        <w:ind w:left="4320" w:hanging="360"/>
      </w:pPr>
      <w:rPr>
        <w:rFonts w:ascii="Wingdings" w:hAnsi="Wingdings" w:hint="default"/>
      </w:rPr>
    </w:lvl>
    <w:lvl w:ilvl="6" w:tplc="C45479C8">
      <w:start w:val="1"/>
      <w:numFmt w:val="bullet"/>
      <w:lvlText w:val=""/>
      <w:lvlJc w:val="left"/>
      <w:pPr>
        <w:ind w:left="5040" w:hanging="360"/>
      </w:pPr>
      <w:rPr>
        <w:rFonts w:ascii="Symbol" w:hAnsi="Symbol" w:hint="default"/>
      </w:rPr>
    </w:lvl>
    <w:lvl w:ilvl="7" w:tplc="90F47C02">
      <w:start w:val="1"/>
      <w:numFmt w:val="bullet"/>
      <w:lvlText w:val="o"/>
      <w:lvlJc w:val="left"/>
      <w:pPr>
        <w:ind w:left="5760" w:hanging="360"/>
      </w:pPr>
      <w:rPr>
        <w:rFonts w:ascii="Courier New" w:hAnsi="Courier New" w:hint="default"/>
      </w:rPr>
    </w:lvl>
    <w:lvl w:ilvl="8" w:tplc="CFE63AA0">
      <w:start w:val="1"/>
      <w:numFmt w:val="bullet"/>
      <w:lvlText w:val=""/>
      <w:lvlJc w:val="left"/>
      <w:pPr>
        <w:ind w:left="6480" w:hanging="360"/>
      </w:pPr>
      <w:rPr>
        <w:rFonts w:ascii="Wingdings" w:hAnsi="Wingdings" w:hint="default"/>
      </w:rPr>
    </w:lvl>
  </w:abstractNum>
  <w:abstractNum w:abstractNumId="14" w15:restartNumberingAfterBreak="0">
    <w:nsid w:val="6324AA39"/>
    <w:multiLevelType w:val="hybridMultilevel"/>
    <w:tmpl w:val="F88E0B2E"/>
    <w:lvl w:ilvl="0" w:tplc="3E1E9560">
      <w:start w:val="1"/>
      <w:numFmt w:val="decimal"/>
      <w:lvlText w:val="%1."/>
      <w:lvlJc w:val="left"/>
      <w:pPr>
        <w:ind w:left="720" w:hanging="360"/>
      </w:pPr>
      <w:rPr>
        <w:rFonts w:ascii="Arial" w:hAnsi="Arial" w:hint="default"/>
      </w:rPr>
    </w:lvl>
    <w:lvl w:ilvl="1" w:tplc="23CE1BFA">
      <w:start w:val="1"/>
      <w:numFmt w:val="lowerLetter"/>
      <w:lvlText w:val="%2."/>
      <w:lvlJc w:val="left"/>
      <w:pPr>
        <w:ind w:left="1440" w:hanging="360"/>
      </w:pPr>
    </w:lvl>
    <w:lvl w:ilvl="2" w:tplc="B3E62090">
      <w:start w:val="1"/>
      <w:numFmt w:val="lowerRoman"/>
      <w:lvlText w:val="%3."/>
      <w:lvlJc w:val="right"/>
      <w:pPr>
        <w:ind w:left="2160" w:hanging="180"/>
      </w:pPr>
    </w:lvl>
    <w:lvl w:ilvl="3" w:tplc="8B524F76">
      <w:start w:val="1"/>
      <w:numFmt w:val="decimal"/>
      <w:lvlText w:val="%4."/>
      <w:lvlJc w:val="left"/>
      <w:pPr>
        <w:ind w:left="2880" w:hanging="360"/>
      </w:pPr>
    </w:lvl>
    <w:lvl w:ilvl="4" w:tplc="CA722D10">
      <w:start w:val="1"/>
      <w:numFmt w:val="lowerLetter"/>
      <w:lvlText w:val="%5."/>
      <w:lvlJc w:val="left"/>
      <w:pPr>
        <w:ind w:left="3600" w:hanging="360"/>
      </w:pPr>
    </w:lvl>
    <w:lvl w:ilvl="5" w:tplc="2202330C">
      <w:start w:val="1"/>
      <w:numFmt w:val="lowerRoman"/>
      <w:lvlText w:val="%6."/>
      <w:lvlJc w:val="right"/>
      <w:pPr>
        <w:ind w:left="4320" w:hanging="180"/>
      </w:pPr>
    </w:lvl>
    <w:lvl w:ilvl="6" w:tplc="AE2696FA">
      <w:start w:val="1"/>
      <w:numFmt w:val="decimal"/>
      <w:lvlText w:val="%7."/>
      <w:lvlJc w:val="left"/>
      <w:pPr>
        <w:ind w:left="5040" w:hanging="360"/>
      </w:pPr>
    </w:lvl>
    <w:lvl w:ilvl="7" w:tplc="5A20D472">
      <w:start w:val="1"/>
      <w:numFmt w:val="lowerLetter"/>
      <w:lvlText w:val="%8."/>
      <w:lvlJc w:val="left"/>
      <w:pPr>
        <w:ind w:left="5760" w:hanging="360"/>
      </w:pPr>
    </w:lvl>
    <w:lvl w:ilvl="8" w:tplc="A8BCDE6A">
      <w:start w:val="1"/>
      <w:numFmt w:val="lowerRoman"/>
      <w:lvlText w:val="%9."/>
      <w:lvlJc w:val="right"/>
      <w:pPr>
        <w:ind w:left="6480" w:hanging="180"/>
      </w:pPr>
    </w:lvl>
  </w:abstractNum>
  <w:abstractNum w:abstractNumId="15" w15:restartNumberingAfterBreak="0">
    <w:nsid w:val="65166743"/>
    <w:multiLevelType w:val="hybridMultilevel"/>
    <w:tmpl w:val="485EB666"/>
    <w:lvl w:ilvl="0" w:tplc="F0184B22">
      <w:start w:val="1"/>
      <w:numFmt w:val="bullet"/>
      <w:lvlText w:val=""/>
      <w:lvlJc w:val="left"/>
      <w:pPr>
        <w:ind w:left="720" w:hanging="360"/>
      </w:pPr>
      <w:rPr>
        <w:rFonts w:ascii="Symbol" w:hAnsi="Symbol" w:hint="default"/>
      </w:rPr>
    </w:lvl>
    <w:lvl w:ilvl="1" w:tplc="BBDA20A0">
      <w:start w:val="1"/>
      <w:numFmt w:val="bullet"/>
      <w:lvlText w:val="o"/>
      <w:lvlJc w:val="left"/>
      <w:pPr>
        <w:ind w:left="1440" w:hanging="360"/>
      </w:pPr>
      <w:rPr>
        <w:rFonts w:ascii="Courier New" w:hAnsi="Courier New" w:hint="default"/>
      </w:rPr>
    </w:lvl>
    <w:lvl w:ilvl="2" w:tplc="FFC0371E">
      <w:start w:val="1"/>
      <w:numFmt w:val="bullet"/>
      <w:lvlText w:val=""/>
      <w:lvlJc w:val="left"/>
      <w:pPr>
        <w:ind w:left="2160" w:hanging="360"/>
      </w:pPr>
      <w:rPr>
        <w:rFonts w:ascii="Wingdings" w:hAnsi="Wingdings" w:hint="default"/>
      </w:rPr>
    </w:lvl>
    <w:lvl w:ilvl="3" w:tplc="0CAC9274">
      <w:start w:val="1"/>
      <w:numFmt w:val="bullet"/>
      <w:lvlText w:val=""/>
      <w:lvlJc w:val="left"/>
      <w:pPr>
        <w:ind w:left="2880" w:hanging="360"/>
      </w:pPr>
      <w:rPr>
        <w:rFonts w:ascii="Symbol" w:hAnsi="Symbol" w:hint="default"/>
      </w:rPr>
    </w:lvl>
    <w:lvl w:ilvl="4" w:tplc="1982CE94">
      <w:start w:val="1"/>
      <w:numFmt w:val="bullet"/>
      <w:lvlText w:val="o"/>
      <w:lvlJc w:val="left"/>
      <w:pPr>
        <w:ind w:left="3600" w:hanging="360"/>
      </w:pPr>
      <w:rPr>
        <w:rFonts w:ascii="Courier New" w:hAnsi="Courier New" w:hint="default"/>
      </w:rPr>
    </w:lvl>
    <w:lvl w:ilvl="5" w:tplc="90C2029C">
      <w:start w:val="1"/>
      <w:numFmt w:val="bullet"/>
      <w:lvlText w:val=""/>
      <w:lvlJc w:val="left"/>
      <w:pPr>
        <w:ind w:left="4320" w:hanging="360"/>
      </w:pPr>
      <w:rPr>
        <w:rFonts w:ascii="Wingdings" w:hAnsi="Wingdings" w:hint="default"/>
      </w:rPr>
    </w:lvl>
    <w:lvl w:ilvl="6" w:tplc="60B46954">
      <w:start w:val="1"/>
      <w:numFmt w:val="bullet"/>
      <w:lvlText w:val=""/>
      <w:lvlJc w:val="left"/>
      <w:pPr>
        <w:ind w:left="5040" w:hanging="360"/>
      </w:pPr>
      <w:rPr>
        <w:rFonts w:ascii="Symbol" w:hAnsi="Symbol" w:hint="default"/>
      </w:rPr>
    </w:lvl>
    <w:lvl w:ilvl="7" w:tplc="1ADA70D6">
      <w:start w:val="1"/>
      <w:numFmt w:val="bullet"/>
      <w:lvlText w:val="o"/>
      <w:lvlJc w:val="left"/>
      <w:pPr>
        <w:ind w:left="5760" w:hanging="360"/>
      </w:pPr>
      <w:rPr>
        <w:rFonts w:ascii="Courier New" w:hAnsi="Courier New" w:hint="default"/>
      </w:rPr>
    </w:lvl>
    <w:lvl w:ilvl="8" w:tplc="1AF21418">
      <w:start w:val="1"/>
      <w:numFmt w:val="bullet"/>
      <w:lvlText w:val=""/>
      <w:lvlJc w:val="left"/>
      <w:pPr>
        <w:ind w:left="6480" w:hanging="360"/>
      </w:pPr>
      <w:rPr>
        <w:rFonts w:ascii="Wingdings" w:hAnsi="Wingdings" w:hint="default"/>
      </w:rPr>
    </w:lvl>
  </w:abstractNum>
  <w:abstractNum w:abstractNumId="16" w15:restartNumberingAfterBreak="0">
    <w:nsid w:val="706D346D"/>
    <w:multiLevelType w:val="hybridMultilevel"/>
    <w:tmpl w:val="A738AE0E"/>
    <w:lvl w:ilvl="0" w:tplc="FEB06FE4">
      <w:start w:val="1"/>
      <w:numFmt w:val="decimal"/>
      <w:lvlText w:val="%1."/>
      <w:lvlJc w:val="left"/>
      <w:pPr>
        <w:ind w:left="720" w:hanging="360"/>
      </w:pPr>
    </w:lvl>
    <w:lvl w:ilvl="1" w:tplc="F5B84096">
      <w:start w:val="1"/>
      <w:numFmt w:val="lowerLetter"/>
      <w:lvlText w:val="%2."/>
      <w:lvlJc w:val="left"/>
      <w:pPr>
        <w:ind w:left="1440" w:hanging="360"/>
      </w:pPr>
    </w:lvl>
    <w:lvl w:ilvl="2" w:tplc="0A7A5574">
      <w:start w:val="1"/>
      <w:numFmt w:val="lowerRoman"/>
      <w:lvlText w:val="%3."/>
      <w:lvlJc w:val="right"/>
      <w:pPr>
        <w:ind w:left="2160" w:hanging="180"/>
      </w:pPr>
    </w:lvl>
    <w:lvl w:ilvl="3" w:tplc="AEBC09CE">
      <w:start w:val="1"/>
      <w:numFmt w:val="decimal"/>
      <w:lvlText w:val="%4."/>
      <w:lvlJc w:val="left"/>
      <w:pPr>
        <w:ind w:left="2880" w:hanging="360"/>
      </w:pPr>
    </w:lvl>
    <w:lvl w:ilvl="4" w:tplc="7A4AFBF6">
      <w:start w:val="1"/>
      <w:numFmt w:val="lowerLetter"/>
      <w:lvlText w:val="%5."/>
      <w:lvlJc w:val="left"/>
      <w:pPr>
        <w:ind w:left="3600" w:hanging="360"/>
      </w:pPr>
    </w:lvl>
    <w:lvl w:ilvl="5" w:tplc="9C94675C">
      <w:start w:val="1"/>
      <w:numFmt w:val="lowerRoman"/>
      <w:lvlText w:val="%6."/>
      <w:lvlJc w:val="right"/>
      <w:pPr>
        <w:ind w:left="4320" w:hanging="180"/>
      </w:pPr>
    </w:lvl>
    <w:lvl w:ilvl="6" w:tplc="A5344802">
      <w:start w:val="1"/>
      <w:numFmt w:val="decimal"/>
      <w:lvlText w:val="%7."/>
      <w:lvlJc w:val="left"/>
      <w:pPr>
        <w:ind w:left="5040" w:hanging="360"/>
      </w:pPr>
    </w:lvl>
    <w:lvl w:ilvl="7" w:tplc="D902C094">
      <w:start w:val="1"/>
      <w:numFmt w:val="lowerLetter"/>
      <w:lvlText w:val="%8."/>
      <w:lvlJc w:val="left"/>
      <w:pPr>
        <w:ind w:left="5760" w:hanging="360"/>
      </w:pPr>
    </w:lvl>
    <w:lvl w:ilvl="8" w:tplc="98B4E16E">
      <w:start w:val="1"/>
      <w:numFmt w:val="lowerRoman"/>
      <w:lvlText w:val="%9."/>
      <w:lvlJc w:val="right"/>
      <w:pPr>
        <w:ind w:left="6480" w:hanging="180"/>
      </w:pPr>
    </w:lvl>
  </w:abstractNum>
  <w:abstractNum w:abstractNumId="17" w15:restartNumberingAfterBreak="0">
    <w:nsid w:val="7359C7A3"/>
    <w:multiLevelType w:val="hybridMultilevel"/>
    <w:tmpl w:val="22185E32"/>
    <w:lvl w:ilvl="0" w:tplc="0C6496E2">
      <w:start w:val="1"/>
      <w:numFmt w:val="bullet"/>
      <w:lvlText w:val=""/>
      <w:lvlJc w:val="left"/>
      <w:pPr>
        <w:ind w:left="720" w:hanging="360"/>
      </w:pPr>
      <w:rPr>
        <w:rFonts w:ascii="Symbol" w:hAnsi="Symbol" w:hint="default"/>
      </w:rPr>
    </w:lvl>
    <w:lvl w:ilvl="1" w:tplc="ED3CB94C">
      <w:start w:val="1"/>
      <w:numFmt w:val="bullet"/>
      <w:lvlText w:val="o"/>
      <w:lvlJc w:val="left"/>
      <w:pPr>
        <w:ind w:left="1440" w:hanging="360"/>
      </w:pPr>
      <w:rPr>
        <w:rFonts w:ascii="Courier New" w:hAnsi="Courier New" w:hint="default"/>
      </w:rPr>
    </w:lvl>
    <w:lvl w:ilvl="2" w:tplc="3856CBA8">
      <w:start w:val="1"/>
      <w:numFmt w:val="bullet"/>
      <w:lvlText w:val=""/>
      <w:lvlJc w:val="left"/>
      <w:pPr>
        <w:ind w:left="2160" w:hanging="360"/>
      </w:pPr>
      <w:rPr>
        <w:rFonts w:ascii="Wingdings" w:hAnsi="Wingdings" w:hint="default"/>
      </w:rPr>
    </w:lvl>
    <w:lvl w:ilvl="3" w:tplc="786653DE">
      <w:start w:val="1"/>
      <w:numFmt w:val="bullet"/>
      <w:lvlText w:val=""/>
      <w:lvlJc w:val="left"/>
      <w:pPr>
        <w:ind w:left="2880" w:hanging="360"/>
      </w:pPr>
      <w:rPr>
        <w:rFonts w:ascii="Symbol" w:hAnsi="Symbol" w:hint="default"/>
      </w:rPr>
    </w:lvl>
    <w:lvl w:ilvl="4" w:tplc="CC766608">
      <w:start w:val="1"/>
      <w:numFmt w:val="bullet"/>
      <w:lvlText w:val="o"/>
      <w:lvlJc w:val="left"/>
      <w:pPr>
        <w:ind w:left="3600" w:hanging="360"/>
      </w:pPr>
      <w:rPr>
        <w:rFonts w:ascii="Courier New" w:hAnsi="Courier New" w:hint="default"/>
      </w:rPr>
    </w:lvl>
    <w:lvl w:ilvl="5" w:tplc="B624F9C8">
      <w:start w:val="1"/>
      <w:numFmt w:val="bullet"/>
      <w:lvlText w:val=""/>
      <w:lvlJc w:val="left"/>
      <w:pPr>
        <w:ind w:left="4320" w:hanging="360"/>
      </w:pPr>
      <w:rPr>
        <w:rFonts w:ascii="Wingdings" w:hAnsi="Wingdings" w:hint="default"/>
      </w:rPr>
    </w:lvl>
    <w:lvl w:ilvl="6" w:tplc="21AE64FC">
      <w:start w:val="1"/>
      <w:numFmt w:val="bullet"/>
      <w:lvlText w:val=""/>
      <w:lvlJc w:val="left"/>
      <w:pPr>
        <w:ind w:left="5040" w:hanging="360"/>
      </w:pPr>
      <w:rPr>
        <w:rFonts w:ascii="Symbol" w:hAnsi="Symbol" w:hint="default"/>
      </w:rPr>
    </w:lvl>
    <w:lvl w:ilvl="7" w:tplc="B3B8478C">
      <w:start w:val="1"/>
      <w:numFmt w:val="bullet"/>
      <w:lvlText w:val="o"/>
      <w:lvlJc w:val="left"/>
      <w:pPr>
        <w:ind w:left="5760" w:hanging="360"/>
      </w:pPr>
      <w:rPr>
        <w:rFonts w:ascii="Courier New" w:hAnsi="Courier New" w:hint="default"/>
      </w:rPr>
    </w:lvl>
    <w:lvl w:ilvl="8" w:tplc="426CAD3C">
      <w:start w:val="1"/>
      <w:numFmt w:val="bullet"/>
      <w:lvlText w:val=""/>
      <w:lvlJc w:val="left"/>
      <w:pPr>
        <w:ind w:left="6480" w:hanging="360"/>
      </w:pPr>
      <w:rPr>
        <w:rFonts w:ascii="Wingdings" w:hAnsi="Wingdings" w:hint="default"/>
      </w:rPr>
    </w:lvl>
  </w:abstractNum>
  <w:abstractNum w:abstractNumId="18" w15:restartNumberingAfterBreak="0">
    <w:nsid w:val="7F3863FA"/>
    <w:multiLevelType w:val="hybridMultilevel"/>
    <w:tmpl w:val="792C06A6"/>
    <w:lvl w:ilvl="0" w:tplc="5EBEF544">
      <w:start w:val="1"/>
      <w:numFmt w:val="bullet"/>
      <w:lvlText w:val=""/>
      <w:lvlJc w:val="left"/>
      <w:pPr>
        <w:ind w:left="720" w:hanging="360"/>
      </w:pPr>
      <w:rPr>
        <w:rFonts w:ascii="Symbol" w:hAnsi="Symbol" w:hint="default"/>
      </w:rPr>
    </w:lvl>
    <w:lvl w:ilvl="1" w:tplc="FC362F9A">
      <w:start w:val="1"/>
      <w:numFmt w:val="bullet"/>
      <w:lvlText w:val="o"/>
      <w:lvlJc w:val="left"/>
      <w:pPr>
        <w:ind w:left="1440" w:hanging="360"/>
      </w:pPr>
      <w:rPr>
        <w:rFonts w:ascii="Courier New" w:hAnsi="Courier New" w:hint="default"/>
      </w:rPr>
    </w:lvl>
    <w:lvl w:ilvl="2" w:tplc="7D942DE4">
      <w:start w:val="1"/>
      <w:numFmt w:val="bullet"/>
      <w:lvlText w:val=""/>
      <w:lvlJc w:val="left"/>
      <w:pPr>
        <w:ind w:left="2160" w:hanging="360"/>
      </w:pPr>
      <w:rPr>
        <w:rFonts w:ascii="Wingdings" w:hAnsi="Wingdings" w:hint="default"/>
      </w:rPr>
    </w:lvl>
    <w:lvl w:ilvl="3" w:tplc="110EC09E">
      <w:start w:val="1"/>
      <w:numFmt w:val="bullet"/>
      <w:lvlText w:val=""/>
      <w:lvlJc w:val="left"/>
      <w:pPr>
        <w:ind w:left="2880" w:hanging="360"/>
      </w:pPr>
      <w:rPr>
        <w:rFonts w:ascii="Symbol" w:hAnsi="Symbol" w:hint="default"/>
      </w:rPr>
    </w:lvl>
    <w:lvl w:ilvl="4" w:tplc="053648AA">
      <w:start w:val="1"/>
      <w:numFmt w:val="bullet"/>
      <w:lvlText w:val="o"/>
      <w:lvlJc w:val="left"/>
      <w:pPr>
        <w:ind w:left="3600" w:hanging="360"/>
      </w:pPr>
      <w:rPr>
        <w:rFonts w:ascii="Courier New" w:hAnsi="Courier New" w:hint="default"/>
      </w:rPr>
    </w:lvl>
    <w:lvl w:ilvl="5" w:tplc="1C94E230">
      <w:start w:val="1"/>
      <w:numFmt w:val="bullet"/>
      <w:lvlText w:val=""/>
      <w:lvlJc w:val="left"/>
      <w:pPr>
        <w:ind w:left="4320" w:hanging="360"/>
      </w:pPr>
      <w:rPr>
        <w:rFonts w:ascii="Wingdings" w:hAnsi="Wingdings" w:hint="default"/>
      </w:rPr>
    </w:lvl>
    <w:lvl w:ilvl="6" w:tplc="CDF25926">
      <w:start w:val="1"/>
      <w:numFmt w:val="bullet"/>
      <w:lvlText w:val=""/>
      <w:lvlJc w:val="left"/>
      <w:pPr>
        <w:ind w:left="5040" w:hanging="360"/>
      </w:pPr>
      <w:rPr>
        <w:rFonts w:ascii="Symbol" w:hAnsi="Symbol" w:hint="default"/>
      </w:rPr>
    </w:lvl>
    <w:lvl w:ilvl="7" w:tplc="8640CA12">
      <w:start w:val="1"/>
      <w:numFmt w:val="bullet"/>
      <w:lvlText w:val="o"/>
      <w:lvlJc w:val="left"/>
      <w:pPr>
        <w:ind w:left="5760" w:hanging="360"/>
      </w:pPr>
      <w:rPr>
        <w:rFonts w:ascii="Courier New" w:hAnsi="Courier New" w:hint="default"/>
      </w:rPr>
    </w:lvl>
    <w:lvl w:ilvl="8" w:tplc="89C6E574">
      <w:start w:val="1"/>
      <w:numFmt w:val="bullet"/>
      <w:lvlText w:val=""/>
      <w:lvlJc w:val="left"/>
      <w:pPr>
        <w:ind w:left="6480" w:hanging="360"/>
      </w:pPr>
      <w:rPr>
        <w:rFonts w:ascii="Wingdings" w:hAnsi="Wingdings" w:hint="default"/>
      </w:rPr>
    </w:lvl>
  </w:abstractNum>
  <w:num w:numId="1" w16cid:durableId="374043620">
    <w:abstractNumId w:val="6"/>
  </w:num>
  <w:num w:numId="2" w16cid:durableId="1040321224">
    <w:abstractNumId w:val="8"/>
  </w:num>
  <w:num w:numId="3" w16cid:durableId="1253397961">
    <w:abstractNumId w:val="15"/>
  </w:num>
  <w:num w:numId="4" w16cid:durableId="1395542913">
    <w:abstractNumId w:val="12"/>
  </w:num>
  <w:num w:numId="5" w16cid:durableId="1446998308">
    <w:abstractNumId w:val="13"/>
  </w:num>
  <w:num w:numId="6" w16cid:durableId="1483153833">
    <w:abstractNumId w:val="5"/>
  </w:num>
  <w:num w:numId="7" w16cid:durableId="1511989199">
    <w:abstractNumId w:val="11"/>
  </w:num>
  <w:num w:numId="8" w16cid:durableId="1545869232">
    <w:abstractNumId w:val="14"/>
  </w:num>
  <w:num w:numId="9" w16cid:durableId="1745879923">
    <w:abstractNumId w:val="18"/>
  </w:num>
  <w:num w:numId="10" w16cid:durableId="1885024867">
    <w:abstractNumId w:val="7"/>
  </w:num>
  <w:num w:numId="11" w16cid:durableId="1896310760">
    <w:abstractNumId w:val="9"/>
  </w:num>
  <w:num w:numId="12" w16cid:durableId="195123420">
    <w:abstractNumId w:val="17"/>
  </w:num>
  <w:num w:numId="13" w16cid:durableId="2065760888">
    <w:abstractNumId w:val="0"/>
  </w:num>
  <w:num w:numId="14" w16cid:durableId="430318509">
    <w:abstractNumId w:val="3"/>
  </w:num>
  <w:num w:numId="15" w16cid:durableId="515001198">
    <w:abstractNumId w:val="2"/>
  </w:num>
  <w:num w:numId="16" w16cid:durableId="67852819">
    <w:abstractNumId w:val="10"/>
  </w:num>
  <w:num w:numId="17" w16cid:durableId="681515238">
    <w:abstractNumId w:val="1"/>
  </w:num>
  <w:num w:numId="18" w16cid:durableId="818110430">
    <w:abstractNumId w:val="16"/>
  </w:num>
  <w:num w:numId="19" w16cid:durableId="9048764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288DEA"/>
    <w:rsid w:val="00046625"/>
    <w:rsid w:val="0007749E"/>
    <w:rsid w:val="0017730D"/>
    <w:rsid w:val="002001F1"/>
    <w:rsid w:val="002FF322"/>
    <w:rsid w:val="00322F1B"/>
    <w:rsid w:val="003A732E"/>
    <w:rsid w:val="003B4E1C"/>
    <w:rsid w:val="00487122"/>
    <w:rsid w:val="004B6E35"/>
    <w:rsid w:val="005234EE"/>
    <w:rsid w:val="00565868"/>
    <w:rsid w:val="006A4840"/>
    <w:rsid w:val="006C2D08"/>
    <w:rsid w:val="007715D1"/>
    <w:rsid w:val="00877F46"/>
    <w:rsid w:val="009030AE"/>
    <w:rsid w:val="00952CFF"/>
    <w:rsid w:val="00961B52"/>
    <w:rsid w:val="009D4BF3"/>
    <w:rsid w:val="009F0369"/>
    <w:rsid w:val="00A27C21"/>
    <w:rsid w:val="00B54F38"/>
    <w:rsid w:val="00C19673"/>
    <w:rsid w:val="00CA2C85"/>
    <w:rsid w:val="00D46B3D"/>
    <w:rsid w:val="00DA2E48"/>
    <w:rsid w:val="00E43187"/>
    <w:rsid w:val="00EE735B"/>
    <w:rsid w:val="00F01C37"/>
    <w:rsid w:val="00F23F80"/>
    <w:rsid w:val="00F80168"/>
    <w:rsid w:val="00FACB5E"/>
    <w:rsid w:val="010FCA4E"/>
    <w:rsid w:val="014D6573"/>
    <w:rsid w:val="01AA1BD5"/>
    <w:rsid w:val="01DAC89C"/>
    <w:rsid w:val="0243872D"/>
    <w:rsid w:val="024FD5AF"/>
    <w:rsid w:val="02A5E186"/>
    <w:rsid w:val="02B430C8"/>
    <w:rsid w:val="02DD52B2"/>
    <w:rsid w:val="0325D6B6"/>
    <w:rsid w:val="03A734CA"/>
    <w:rsid w:val="03C18D4E"/>
    <w:rsid w:val="03CC87E0"/>
    <w:rsid w:val="03D90CEF"/>
    <w:rsid w:val="042EA004"/>
    <w:rsid w:val="043DD720"/>
    <w:rsid w:val="04426DC7"/>
    <w:rsid w:val="04605F23"/>
    <w:rsid w:val="04AFE4A3"/>
    <w:rsid w:val="04E9D06F"/>
    <w:rsid w:val="0521EDF9"/>
    <w:rsid w:val="05B3F0A7"/>
    <w:rsid w:val="0641D528"/>
    <w:rsid w:val="06D8B9BB"/>
    <w:rsid w:val="070CB2BD"/>
    <w:rsid w:val="079FD073"/>
    <w:rsid w:val="07C59EE4"/>
    <w:rsid w:val="07D50437"/>
    <w:rsid w:val="07D9A1C0"/>
    <w:rsid w:val="080841B1"/>
    <w:rsid w:val="081A1796"/>
    <w:rsid w:val="081BE74C"/>
    <w:rsid w:val="083782E2"/>
    <w:rsid w:val="086655B9"/>
    <w:rsid w:val="086AC9FB"/>
    <w:rsid w:val="087164A0"/>
    <w:rsid w:val="087E9633"/>
    <w:rsid w:val="090D24E1"/>
    <w:rsid w:val="0943B3B2"/>
    <w:rsid w:val="0945C2B3"/>
    <w:rsid w:val="097D83DE"/>
    <w:rsid w:val="098773BA"/>
    <w:rsid w:val="09B2AF06"/>
    <w:rsid w:val="0A6929F3"/>
    <w:rsid w:val="0AEDD098"/>
    <w:rsid w:val="0B1C315D"/>
    <w:rsid w:val="0B384349"/>
    <w:rsid w:val="0B6EEE3E"/>
    <w:rsid w:val="0B7BA30D"/>
    <w:rsid w:val="0B8D80F8"/>
    <w:rsid w:val="0BBC5A81"/>
    <w:rsid w:val="0BBEACF1"/>
    <w:rsid w:val="0C07E019"/>
    <w:rsid w:val="0C2E5E03"/>
    <w:rsid w:val="0C32B997"/>
    <w:rsid w:val="0C3FF188"/>
    <w:rsid w:val="0C539298"/>
    <w:rsid w:val="0C9CBB13"/>
    <w:rsid w:val="0DBAEA88"/>
    <w:rsid w:val="0E7EC30F"/>
    <w:rsid w:val="0EA7A78C"/>
    <w:rsid w:val="0EE566E9"/>
    <w:rsid w:val="0F20AD3C"/>
    <w:rsid w:val="0F770790"/>
    <w:rsid w:val="0F9E8470"/>
    <w:rsid w:val="0FA7481D"/>
    <w:rsid w:val="0FD79A15"/>
    <w:rsid w:val="10145D98"/>
    <w:rsid w:val="1022D107"/>
    <w:rsid w:val="103CF177"/>
    <w:rsid w:val="1077EC68"/>
    <w:rsid w:val="10AFAF4B"/>
    <w:rsid w:val="10CFE000"/>
    <w:rsid w:val="10F1343D"/>
    <w:rsid w:val="114CCAA9"/>
    <w:rsid w:val="1156ED5E"/>
    <w:rsid w:val="115A98F3"/>
    <w:rsid w:val="120AC37F"/>
    <w:rsid w:val="1251075C"/>
    <w:rsid w:val="12B1661F"/>
    <w:rsid w:val="12B7BC2D"/>
    <w:rsid w:val="12D02BD0"/>
    <w:rsid w:val="12E4CF33"/>
    <w:rsid w:val="131922F0"/>
    <w:rsid w:val="1325C53D"/>
    <w:rsid w:val="1380650B"/>
    <w:rsid w:val="1392E56C"/>
    <w:rsid w:val="141C31D1"/>
    <w:rsid w:val="146ADB2D"/>
    <w:rsid w:val="147009F5"/>
    <w:rsid w:val="14B92010"/>
    <w:rsid w:val="150B8771"/>
    <w:rsid w:val="15331DB8"/>
    <w:rsid w:val="157FDD7C"/>
    <w:rsid w:val="16141756"/>
    <w:rsid w:val="16791374"/>
    <w:rsid w:val="16DBF8A5"/>
    <w:rsid w:val="17474667"/>
    <w:rsid w:val="177CAE52"/>
    <w:rsid w:val="179E3287"/>
    <w:rsid w:val="17ECD5C8"/>
    <w:rsid w:val="18002501"/>
    <w:rsid w:val="182132B3"/>
    <w:rsid w:val="1869A54E"/>
    <w:rsid w:val="189DEB94"/>
    <w:rsid w:val="190D44C7"/>
    <w:rsid w:val="192F7590"/>
    <w:rsid w:val="19AD6686"/>
    <w:rsid w:val="19F2AE6C"/>
    <w:rsid w:val="1A122EEB"/>
    <w:rsid w:val="1A36D663"/>
    <w:rsid w:val="1A55D0BA"/>
    <w:rsid w:val="1A7D9780"/>
    <w:rsid w:val="1A8EEA35"/>
    <w:rsid w:val="1A9FE99B"/>
    <w:rsid w:val="1AA62DBF"/>
    <w:rsid w:val="1AB34BB8"/>
    <w:rsid w:val="1AC6D9BF"/>
    <w:rsid w:val="1AEEDF39"/>
    <w:rsid w:val="1AF289C7"/>
    <w:rsid w:val="1AF9F362"/>
    <w:rsid w:val="1B1AE6E7"/>
    <w:rsid w:val="1B552FFD"/>
    <w:rsid w:val="1BAE97D6"/>
    <w:rsid w:val="1C0E228C"/>
    <w:rsid w:val="1C2D7281"/>
    <w:rsid w:val="1C4BAA58"/>
    <w:rsid w:val="1C5ED6C5"/>
    <w:rsid w:val="1CD3BEE9"/>
    <w:rsid w:val="1D0F454B"/>
    <w:rsid w:val="1D68DB6C"/>
    <w:rsid w:val="1DAE373B"/>
    <w:rsid w:val="1DC48DCD"/>
    <w:rsid w:val="1DCB14E1"/>
    <w:rsid w:val="1DF04138"/>
    <w:rsid w:val="1DFDD4D6"/>
    <w:rsid w:val="1E11D38C"/>
    <w:rsid w:val="1E5727F8"/>
    <w:rsid w:val="1E7DE8A9"/>
    <w:rsid w:val="1E8E49CF"/>
    <w:rsid w:val="1EEF1DEF"/>
    <w:rsid w:val="1F3A36F8"/>
    <w:rsid w:val="1F9151B1"/>
    <w:rsid w:val="1F9A54B5"/>
    <w:rsid w:val="1FFEDA44"/>
    <w:rsid w:val="202A121C"/>
    <w:rsid w:val="20A880CA"/>
    <w:rsid w:val="21498242"/>
    <w:rsid w:val="21C7E5CC"/>
    <w:rsid w:val="228EBE10"/>
    <w:rsid w:val="22E7669F"/>
    <w:rsid w:val="22F2A279"/>
    <w:rsid w:val="231A9701"/>
    <w:rsid w:val="23288DEA"/>
    <w:rsid w:val="2362D0FF"/>
    <w:rsid w:val="23634604"/>
    <w:rsid w:val="2368082B"/>
    <w:rsid w:val="23DD0768"/>
    <w:rsid w:val="23FF36AD"/>
    <w:rsid w:val="240903BF"/>
    <w:rsid w:val="24721F88"/>
    <w:rsid w:val="24D0FFA5"/>
    <w:rsid w:val="2519FAA5"/>
    <w:rsid w:val="256F5FAB"/>
    <w:rsid w:val="2671F6E8"/>
    <w:rsid w:val="267D35FC"/>
    <w:rsid w:val="26F33527"/>
    <w:rsid w:val="271CDE69"/>
    <w:rsid w:val="275F83A5"/>
    <w:rsid w:val="276A9FF8"/>
    <w:rsid w:val="27811222"/>
    <w:rsid w:val="27B9102A"/>
    <w:rsid w:val="28C80853"/>
    <w:rsid w:val="28D0E01C"/>
    <w:rsid w:val="28DD2C65"/>
    <w:rsid w:val="293D4DCA"/>
    <w:rsid w:val="29B34EBC"/>
    <w:rsid w:val="29B9B61E"/>
    <w:rsid w:val="29DF3F1B"/>
    <w:rsid w:val="29FF1FBA"/>
    <w:rsid w:val="2A000CEF"/>
    <w:rsid w:val="2A4E97FD"/>
    <w:rsid w:val="2ADBC7C2"/>
    <w:rsid w:val="2AEFDBF3"/>
    <w:rsid w:val="2B0CC9CD"/>
    <w:rsid w:val="2B2BF112"/>
    <w:rsid w:val="2B2EE91F"/>
    <w:rsid w:val="2B4BA67B"/>
    <w:rsid w:val="2B6775CD"/>
    <w:rsid w:val="2B827F8C"/>
    <w:rsid w:val="2BAF045D"/>
    <w:rsid w:val="2BC12DD4"/>
    <w:rsid w:val="2BD08BD0"/>
    <w:rsid w:val="2C832179"/>
    <w:rsid w:val="2D3C6446"/>
    <w:rsid w:val="2D598B47"/>
    <w:rsid w:val="2E5D7B71"/>
    <w:rsid w:val="2EB4C0CB"/>
    <w:rsid w:val="2EBCD19A"/>
    <w:rsid w:val="2F5F50D0"/>
    <w:rsid w:val="2F75588B"/>
    <w:rsid w:val="2F8D5841"/>
    <w:rsid w:val="2FAB1AE6"/>
    <w:rsid w:val="2FB71E5B"/>
    <w:rsid w:val="300A9F76"/>
    <w:rsid w:val="305F9782"/>
    <w:rsid w:val="30EB2E6C"/>
    <w:rsid w:val="312FA212"/>
    <w:rsid w:val="3136C43D"/>
    <w:rsid w:val="31617DB6"/>
    <w:rsid w:val="316A31BC"/>
    <w:rsid w:val="3184BE2E"/>
    <w:rsid w:val="31E5549F"/>
    <w:rsid w:val="3222790C"/>
    <w:rsid w:val="328C13B2"/>
    <w:rsid w:val="32F47D47"/>
    <w:rsid w:val="330427B3"/>
    <w:rsid w:val="330C000E"/>
    <w:rsid w:val="3363C52A"/>
    <w:rsid w:val="33708A7E"/>
    <w:rsid w:val="33A3C3D9"/>
    <w:rsid w:val="33E0CE16"/>
    <w:rsid w:val="34355F90"/>
    <w:rsid w:val="343C4586"/>
    <w:rsid w:val="343C9FCC"/>
    <w:rsid w:val="349E234C"/>
    <w:rsid w:val="34C96D6F"/>
    <w:rsid w:val="35837A98"/>
    <w:rsid w:val="358E251A"/>
    <w:rsid w:val="359346AF"/>
    <w:rsid w:val="35FEBD63"/>
    <w:rsid w:val="361C4B02"/>
    <w:rsid w:val="3625C340"/>
    <w:rsid w:val="365016A0"/>
    <w:rsid w:val="366671A0"/>
    <w:rsid w:val="3683E09A"/>
    <w:rsid w:val="368F4E0A"/>
    <w:rsid w:val="369C3725"/>
    <w:rsid w:val="36C4201F"/>
    <w:rsid w:val="37196318"/>
    <w:rsid w:val="37307816"/>
    <w:rsid w:val="3742BD2D"/>
    <w:rsid w:val="3757CDC4"/>
    <w:rsid w:val="37A74E0C"/>
    <w:rsid w:val="37BE117B"/>
    <w:rsid w:val="382CFDE0"/>
    <w:rsid w:val="38811277"/>
    <w:rsid w:val="38A8A1BE"/>
    <w:rsid w:val="38E7423D"/>
    <w:rsid w:val="39CBD5AA"/>
    <w:rsid w:val="39EB1CA3"/>
    <w:rsid w:val="39F51734"/>
    <w:rsid w:val="3A041944"/>
    <w:rsid w:val="3A1D8C2A"/>
    <w:rsid w:val="3A769482"/>
    <w:rsid w:val="3A7A7CEA"/>
    <w:rsid w:val="3A967986"/>
    <w:rsid w:val="3AD981E4"/>
    <w:rsid w:val="3B37A8ED"/>
    <w:rsid w:val="3B4D57A8"/>
    <w:rsid w:val="3B5BC0DC"/>
    <w:rsid w:val="3BBD6798"/>
    <w:rsid w:val="3BCE48C8"/>
    <w:rsid w:val="3C2479E6"/>
    <w:rsid w:val="3C460D94"/>
    <w:rsid w:val="3C587FA7"/>
    <w:rsid w:val="3C7C6363"/>
    <w:rsid w:val="3CEA7EC0"/>
    <w:rsid w:val="3CECD4A7"/>
    <w:rsid w:val="3D0FBF81"/>
    <w:rsid w:val="3D0FC95F"/>
    <w:rsid w:val="3D2EBB55"/>
    <w:rsid w:val="3D760789"/>
    <w:rsid w:val="3DAF4F44"/>
    <w:rsid w:val="3E4BEE56"/>
    <w:rsid w:val="3E4F5BD1"/>
    <w:rsid w:val="3E542735"/>
    <w:rsid w:val="3E9AA38F"/>
    <w:rsid w:val="3EB0C116"/>
    <w:rsid w:val="3EB20019"/>
    <w:rsid w:val="3EF3D7A8"/>
    <w:rsid w:val="3F06F847"/>
    <w:rsid w:val="3F0B31EC"/>
    <w:rsid w:val="3F29B626"/>
    <w:rsid w:val="3F2B8734"/>
    <w:rsid w:val="3F5470BB"/>
    <w:rsid w:val="3FB266A0"/>
    <w:rsid w:val="3FD32FCD"/>
    <w:rsid w:val="400FC9D7"/>
    <w:rsid w:val="406C8E92"/>
    <w:rsid w:val="40E0CF99"/>
    <w:rsid w:val="40EF718D"/>
    <w:rsid w:val="411FAF2F"/>
    <w:rsid w:val="415D253D"/>
    <w:rsid w:val="41BB200F"/>
    <w:rsid w:val="41DF34DE"/>
    <w:rsid w:val="41E6C785"/>
    <w:rsid w:val="421CB9B9"/>
    <w:rsid w:val="4260034D"/>
    <w:rsid w:val="42DED71A"/>
    <w:rsid w:val="4301D760"/>
    <w:rsid w:val="437DFADB"/>
    <w:rsid w:val="4391C35F"/>
    <w:rsid w:val="43BB748A"/>
    <w:rsid w:val="43D90AE8"/>
    <w:rsid w:val="4495B309"/>
    <w:rsid w:val="44C670FA"/>
    <w:rsid w:val="463E6B94"/>
    <w:rsid w:val="464255D8"/>
    <w:rsid w:val="4648D98B"/>
    <w:rsid w:val="465405FA"/>
    <w:rsid w:val="46DC7EE9"/>
    <w:rsid w:val="470E4F38"/>
    <w:rsid w:val="471817A2"/>
    <w:rsid w:val="4797D37B"/>
    <w:rsid w:val="47FCD2B2"/>
    <w:rsid w:val="481D3E14"/>
    <w:rsid w:val="481DD526"/>
    <w:rsid w:val="48537321"/>
    <w:rsid w:val="486D2D3E"/>
    <w:rsid w:val="48DEEA0B"/>
    <w:rsid w:val="48EFCD33"/>
    <w:rsid w:val="4947E432"/>
    <w:rsid w:val="4987792A"/>
    <w:rsid w:val="499CDF22"/>
    <w:rsid w:val="49D13364"/>
    <w:rsid w:val="49EF8A90"/>
    <w:rsid w:val="4A846DEB"/>
    <w:rsid w:val="4A9F9D61"/>
    <w:rsid w:val="4ADA5334"/>
    <w:rsid w:val="4B9551B7"/>
    <w:rsid w:val="4BB61E30"/>
    <w:rsid w:val="4BD39368"/>
    <w:rsid w:val="4BE6CDFE"/>
    <w:rsid w:val="4C6BC26A"/>
    <w:rsid w:val="4C75CF93"/>
    <w:rsid w:val="4CA7F3B0"/>
    <w:rsid w:val="4D24E8D1"/>
    <w:rsid w:val="4D2AB937"/>
    <w:rsid w:val="4D2FDC51"/>
    <w:rsid w:val="4D45500B"/>
    <w:rsid w:val="4D52EFF1"/>
    <w:rsid w:val="4D5AE2A5"/>
    <w:rsid w:val="4DBBE166"/>
    <w:rsid w:val="4E7E92CB"/>
    <w:rsid w:val="4EB485DD"/>
    <w:rsid w:val="4F02E85D"/>
    <w:rsid w:val="4F128E38"/>
    <w:rsid w:val="4FA985AE"/>
    <w:rsid w:val="4FB0C48F"/>
    <w:rsid w:val="4FBA3252"/>
    <w:rsid w:val="4FBB12E4"/>
    <w:rsid w:val="4FC71A20"/>
    <w:rsid w:val="4FDFDB86"/>
    <w:rsid w:val="4FE3C784"/>
    <w:rsid w:val="5035F67E"/>
    <w:rsid w:val="50619E81"/>
    <w:rsid w:val="50790B02"/>
    <w:rsid w:val="50C4CBE6"/>
    <w:rsid w:val="5140F897"/>
    <w:rsid w:val="516F5120"/>
    <w:rsid w:val="51D3F325"/>
    <w:rsid w:val="52151B90"/>
    <w:rsid w:val="5246A38F"/>
    <w:rsid w:val="52ADE509"/>
    <w:rsid w:val="52EDA4EC"/>
    <w:rsid w:val="5304B78D"/>
    <w:rsid w:val="53187B68"/>
    <w:rsid w:val="536FD5B4"/>
    <w:rsid w:val="53C6DF27"/>
    <w:rsid w:val="53FA3711"/>
    <w:rsid w:val="5407EB7E"/>
    <w:rsid w:val="54426F4C"/>
    <w:rsid w:val="54733701"/>
    <w:rsid w:val="5485FE91"/>
    <w:rsid w:val="54EBB9D4"/>
    <w:rsid w:val="551566DF"/>
    <w:rsid w:val="5524377B"/>
    <w:rsid w:val="553B0EDB"/>
    <w:rsid w:val="558BB7B8"/>
    <w:rsid w:val="55EAB5E4"/>
    <w:rsid w:val="563197F4"/>
    <w:rsid w:val="5664B1CA"/>
    <w:rsid w:val="56BFB013"/>
    <w:rsid w:val="56D7C5C6"/>
    <w:rsid w:val="577F7737"/>
    <w:rsid w:val="579774A7"/>
    <w:rsid w:val="579FFEBD"/>
    <w:rsid w:val="57FEC91A"/>
    <w:rsid w:val="5804CEBB"/>
    <w:rsid w:val="58776DB4"/>
    <w:rsid w:val="58AFBEDB"/>
    <w:rsid w:val="58DF7399"/>
    <w:rsid w:val="58FB5109"/>
    <w:rsid w:val="5945367B"/>
    <w:rsid w:val="597D651E"/>
    <w:rsid w:val="598C016B"/>
    <w:rsid w:val="5A9B69EB"/>
    <w:rsid w:val="5AD6F163"/>
    <w:rsid w:val="5AE7EF36"/>
    <w:rsid w:val="5B7482F2"/>
    <w:rsid w:val="5B9A9602"/>
    <w:rsid w:val="5BD1D76A"/>
    <w:rsid w:val="5BE88E63"/>
    <w:rsid w:val="5BF8CB57"/>
    <w:rsid w:val="5C7FD35D"/>
    <w:rsid w:val="5C98D2F8"/>
    <w:rsid w:val="5CA36B1F"/>
    <w:rsid w:val="5D15C970"/>
    <w:rsid w:val="5D431E2B"/>
    <w:rsid w:val="5D52890C"/>
    <w:rsid w:val="5D5F2D09"/>
    <w:rsid w:val="5D5F96C5"/>
    <w:rsid w:val="5D701277"/>
    <w:rsid w:val="5DFC0417"/>
    <w:rsid w:val="5E92838E"/>
    <w:rsid w:val="5E9FF960"/>
    <w:rsid w:val="5ECF1BC0"/>
    <w:rsid w:val="5ED0B8D8"/>
    <w:rsid w:val="5ED2F053"/>
    <w:rsid w:val="5EE7ABCA"/>
    <w:rsid w:val="5F2D4583"/>
    <w:rsid w:val="5F36C635"/>
    <w:rsid w:val="5F411E7A"/>
    <w:rsid w:val="5F44EFF7"/>
    <w:rsid w:val="5F5370C2"/>
    <w:rsid w:val="5F5BE793"/>
    <w:rsid w:val="5F5D9744"/>
    <w:rsid w:val="5F62D547"/>
    <w:rsid w:val="5FC230AC"/>
    <w:rsid w:val="5FD4BA15"/>
    <w:rsid w:val="60059935"/>
    <w:rsid w:val="601B1A5A"/>
    <w:rsid w:val="60614A70"/>
    <w:rsid w:val="60718208"/>
    <w:rsid w:val="60F7085B"/>
    <w:rsid w:val="614548DA"/>
    <w:rsid w:val="61685D1A"/>
    <w:rsid w:val="6177E34F"/>
    <w:rsid w:val="618A2F66"/>
    <w:rsid w:val="6216165E"/>
    <w:rsid w:val="62232B30"/>
    <w:rsid w:val="622EB4EF"/>
    <w:rsid w:val="633E62E0"/>
    <w:rsid w:val="63AB185E"/>
    <w:rsid w:val="6403AFD2"/>
    <w:rsid w:val="640912D6"/>
    <w:rsid w:val="64B74241"/>
    <w:rsid w:val="64E5AE16"/>
    <w:rsid w:val="64E7C4DE"/>
    <w:rsid w:val="64E92A54"/>
    <w:rsid w:val="65302844"/>
    <w:rsid w:val="65D8A5CA"/>
    <w:rsid w:val="6620A518"/>
    <w:rsid w:val="662D4D72"/>
    <w:rsid w:val="6642473C"/>
    <w:rsid w:val="667A3232"/>
    <w:rsid w:val="668EB9E5"/>
    <w:rsid w:val="66978A61"/>
    <w:rsid w:val="66D6DD6C"/>
    <w:rsid w:val="66F06DB7"/>
    <w:rsid w:val="66F35BE7"/>
    <w:rsid w:val="67E98845"/>
    <w:rsid w:val="6826DBB0"/>
    <w:rsid w:val="6900AF6C"/>
    <w:rsid w:val="690B2E11"/>
    <w:rsid w:val="6919CA06"/>
    <w:rsid w:val="6968755D"/>
    <w:rsid w:val="69891213"/>
    <w:rsid w:val="69BFFB51"/>
    <w:rsid w:val="6A4359CC"/>
    <w:rsid w:val="6A469529"/>
    <w:rsid w:val="6A495766"/>
    <w:rsid w:val="6A5CFA8D"/>
    <w:rsid w:val="6A6F4383"/>
    <w:rsid w:val="6AC83458"/>
    <w:rsid w:val="6AD8E9A3"/>
    <w:rsid w:val="6AF87DBB"/>
    <w:rsid w:val="6B11BD38"/>
    <w:rsid w:val="6B54FEB9"/>
    <w:rsid w:val="6B55C71B"/>
    <w:rsid w:val="6BA9A11C"/>
    <w:rsid w:val="6BB6013B"/>
    <w:rsid w:val="6BE24B17"/>
    <w:rsid w:val="6BE3A9A3"/>
    <w:rsid w:val="6BFC7884"/>
    <w:rsid w:val="6C069957"/>
    <w:rsid w:val="6CE1A880"/>
    <w:rsid w:val="6D353D4B"/>
    <w:rsid w:val="6D38F903"/>
    <w:rsid w:val="6D4524D9"/>
    <w:rsid w:val="6D6AB75A"/>
    <w:rsid w:val="6D72795A"/>
    <w:rsid w:val="6D8C8867"/>
    <w:rsid w:val="6DC7F341"/>
    <w:rsid w:val="6E6D224F"/>
    <w:rsid w:val="6E7DF017"/>
    <w:rsid w:val="6E92867D"/>
    <w:rsid w:val="6EA5E998"/>
    <w:rsid w:val="6EFEF7D6"/>
    <w:rsid w:val="6F4BD7F5"/>
    <w:rsid w:val="6F9039A7"/>
    <w:rsid w:val="6FB5AA1E"/>
    <w:rsid w:val="7008DE43"/>
    <w:rsid w:val="708082CB"/>
    <w:rsid w:val="70B7F7BB"/>
    <w:rsid w:val="70B840C7"/>
    <w:rsid w:val="70C66F1E"/>
    <w:rsid w:val="710631A8"/>
    <w:rsid w:val="7132B2BA"/>
    <w:rsid w:val="71A4F82D"/>
    <w:rsid w:val="71DC7D55"/>
    <w:rsid w:val="721DC366"/>
    <w:rsid w:val="7255C9FC"/>
    <w:rsid w:val="727FA657"/>
    <w:rsid w:val="72861CFF"/>
    <w:rsid w:val="72CED241"/>
    <w:rsid w:val="72E87002"/>
    <w:rsid w:val="730769DF"/>
    <w:rsid w:val="731859F7"/>
    <w:rsid w:val="7321C2A1"/>
    <w:rsid w:val="7336C912"/>
    <w:rsid w:val="73541D47"/>
    <w:rsid w:val="739404A0"/>
    <w:rsid w:val="739FF794"/>
    <w:rsid w:val="73CC9060"/>
    <w:rsid w:val="73F6C048"/>
    <w:rsid w:val="74291669"/>
    <w:rsid w:val="74373CCD"/>
    <w:rsid w:val="746FAE17"/>
    <w:rsid w:val="7535E64C"/>
    <w:rsid w:val="754FC6C4"/>
    <w:rsid w:val="755A6F98"/>
    <w:rsid w:val="75AD92FD"/>
    <w:rsid w:val="75B3BF02"/>
    <w:rsid w:val="762833A0"/>
    <w:rsid w:val="7641101C"/>
    <w:rsid w:val="7653FB8F"/>
    <w:rsid w:val="768B596E"/>
    <w:rsid w:val="76A30416"/>
    <w:rsid w:val="770E3052"/>
    <w:rsid w:val="771C1CDE"/>
    <w:rsid w:val="7745205C"/>
    <w:rsid w:val="776F212E"/>
    <w:rsid w:val="7771F1DF"/>
    <w:rsid w:val="78C1A0F2"/>
    <w:rsid w:val="78DE28DA"/>
    <w:rsid w:val="78F45548"/>
    <w:rsid w:val="78F71F50"/>
    <w:rsid w:val="7960CE09"/>
    <w:rsid w:val="7A2DE809"/>
    <w:rsid w:val="7A334267"/>
    <w:rsid w:val="7A8018D8"/>
    <w:rsid w:val="7AEE32D5"/>
    <w:rsid w:val="7B52CB92"/>
    <w:rsid w:val="7B5B4B9D"/>
    <w:rsid w:val="7B7F98AE"/>
    <w:rsid w:val="7C738BE7"/>
    <w:rsid w:val="7C9F4A59"/>
    <w:rsid w:val="7CD14182"/>
    <w:rsid w:val="7D5B2E83"/>
    <w:rsid w:val="7D6545D0"/>
    <w:rsid w:val="7DB3EDA9"/>
    <w:rsid w:val="7DBE5E2F"/>
    <w:rsid w:val="7DFA557C"/>
    <w:rsid w:val="7E4989D2"/>
    <w:rsid w:val="7EB2B1BA"/>
    <w:rsid w:val="7ED39416"/>
    <w:rsid w:val="7ED872A8"/>
    <w:rsid w:val="7EEDC102"/>
    <w:rsid w:val="7F0457C9"/>
    <w:rsid w:val="7F5A5496"/>
    <w:rsid w:val="7F9767EF"/>
    <w:rsid w:val="7FA29B0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88DEA"/>
  <w15:chartTrackingRefBased/>
  <w15:docId w15:val="{3BA91A7F-114D-4E5C-80C3-A61FDD271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ECF1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ECF1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ECF1BC0"/>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90D44C7"/>
    <w:pPr>
      <w:tabs>
        <w:tab w:val="center" w:pos="4680"/>
        <w:tab w:val="right" w:pos="9360"/>
      </w:tabs>
      <w:spacing w:after="0" w:line="240" w:lineRule="auto"/>
    </w:pPr>
  </w:style>
  <w:style w:type="paragraph" w:styleId="Footer">
    <w:name w:val="footer"/>
    <w:basedOn w:val="Normal"/>
    <w:uiPriority w:val="99"/>
    <w:unhideWhenUsed/>
    <w:rsid w:val="190D44C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5ECF1BC0"/>
    <w:pPr>
      <w:ind w:left="720"/>
      <w:contextualSpacing/>
    </w:pPr>
  </w:style>
  <w:style w:type="character" w:styleId="Hyperlink">
    <w:name w:val="Hyperlink"/>
    <w:basedOn w:val="DefaultParagraphFont"/>
    <w:uiPriority w:val="99"/>
    <w:unhideWhenUsed/>
    <w:rsid w:val="5ECF1BC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mindfulonline.com/test-your-stress" TargetMode="External"/><Relationship Id="rId13" Type="http://schemas.openxmlformats.org/officeDocument/2006/relationships/hyperlink" Target="https://discovery.nationalarchives.gov.uk/details/c/F92389" TargetMode="External"/><Relationship Id="rId18" Type="http://schemas.openxmlformats.org/officeDocument/2006/relationships/hyperlink" Target="https://whatworkswellbeing.org/resources/insights-and-reflections-on-the-warwick-edinburgh-mental-wellbeing-scales-wemwb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educationsupport.org.uk/resources/for-organisations/research/teacher-wellbeing-index/" TargetMode="External"/><Relationship Id="rId12" Type="http://schemas.openxmlformats.org/officeDocument/2006/relationships/hyperlink" Target="https://www.hiddenlives.org.uk" TargetMode="External"/><Relationship Id="rId17" Type="http://schemas.openxmlformats.org/officeDocument/2006/relationships/hyperlink" Target="https://www.simplypsychology.org/attention-restoration-theory" TargetMode="External"/><Relationship Id="rId2" Type="http://schemas.openxmlformats.org/officeDocument/2006/relationships/styles" Target="styles.xml"/><Relationship Id="rId16" Type="http://schemas.openxmlformats.org/officeDocument/2006/relationships/hyperlink" Target="https://www.salisburyhealthcarehistory.uk" TargetMode="External"/><Relationship Id="rId20" Type="http://schemas.openxmlformats.org/officeDocument/2006/relationships/hyperlink" Target="https://www.who.int/publications/i/item/978924005305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support.org.uk/news-and-events/news/teacher-wellbeing-index-2022-record-numbers-plan-to-leave-profession-as-mental-health-suffer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penpsychometrics.org" TargetMode="External"/><Relationship Id="rId23" Type="http://schemas.openxmlformats.org/officeDocument/2006/relationships/fontTable" Target="fontTable.xml"/><Relationship Id="rId10" Type="http://schemas.openxmlformats.org/officeDocument/2006/relationships/hyperlink" Target="https://www.sustainablehealthcare.org.uk/green-social-prescribing" TargetMode="External"/><Relationship Id="rId19" Type="http://schemas.openxmlformats.org/officeDocument/2006/relationships/hyperlink" Target="https://www.nationalarchives.gov.uk" TargetMode="External"/><Relationship Id="rId4" Type="http://schemas.openxmlformats.org/officeDocument/2006/relationships/webSettings" Target="webSettings.xml"/><Relationship Id="rId9" Type="http://schemas.openxmlformats.org/officeDocument/2006/relationships/hyperlink" Target="https://www.britannica.com/science/biophilia-hypothesis" TargetMode="External"/><Relationship Id="rId14" Type="http://schemas.openxmlformats.org/officeDocument/2006/relationships/hyperlink" Target="https://www.frontiersin.org/articles/10.3389/fpsyg.2013.00813/ful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51</Pages>
  <Words>15598</Words>
  <Characters>88909</Characters>
  <Application>Microsoft Office Word</Application>
  <DocSecurity>0</DocSecurity>
  <Lines>740</Lines>
  <Paragraphs>208</Paragraphs>
  <ScaleCrop>false</ScaleCrop>
  <Company/>
  <LinksUpToDate>false</LinksUpToDate>
  <CharactersWithSpaces>104299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Hopkins (2431376)</dc:creator>
  <cp:keywords/>
  <dc:description/>
  <cp:lastModifiedBy>ceri davies</cp:lastModifiedBy>
  <cp:revision>2</cp:revision>
  <dcterms:created xsi:type="dcterms:W3CDTF">2026-04-08T08:08:00Z</dcterms:created>
  <dcterms:modified xsi:type="dcterms:W3CDTF">2026-04-08T08:08:00Z</dcterms:modified>
</cp:coreProperties>
</file>