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062F9" w14:textId="77777777" w:rsidR="003D3C4B" w:rsidRDefault="003D3C4B"/>
    <w:p w14:paraId="2051AD5F" w14:textId="77777777" w:rsidR="003D3C4B" w:rsidRDefault="003D3C4B"/>
    <w:p w14:paraId="7874D0DA" w14:textId="77777777" w:rsidR="003D3C4B" w:rsidRDefault="003D3C4B"/>
    <w:p w14:paraId="347D3601" w14:textId="77777777" w:rsidR="003D3C4B" w:rsidRDefault="003D3C4B"/>
    <w:p w14:paraId="428D931D" w14:textId="77777777" w:rsidR="003D3C4B" w:rsidRDefault="003D3C4B"/>
    <w:p w14:paraId="4C5195B4" w14:textId="77777777" w:rsidR="003D3C4B" w:rsidRDefault="001A413E">
      <w:pPr>
        <w:spacing w:after="240"/>
        <w:jc w:val="center"/>
      </w:pPr>
      <w:r>
        <w:rPr>
          <w:b/>
          <w:color w:val="17365D"/>
          <w:sz w:val="48"/>
        </w:rPr>
        <w:t>ORGANISATIONAL CULTURE</w:t>
      </w:r>
    </w:p>
    <w:p w14:paraId="70E8EFE2" w14:textId="77777777" w:rsidR="003D3C4B" w:rsidRDefault="001A413E">
      <w:pPr>
        <w:spacing w:after="600"/>
        <w:jc w:val="center"/>
      </w:pPr>
      <w:r>
        <w:rPr>
          <w:color w:val="2F6F73"/>
          <w:sz w:val="30"/>
        </w:rPr>
        <w:t>Toyota: Culture, Structure, Adaptation and Performance</w:t>
      </w:r>
    </w:p>
    <w:p w14:paraId="3347949C" w14:textId="77777777" w:rsidR="003D3C4B" w:rsidRDefault="001A413E">
      <w:pPr>
        <w:jc w:val="center"/>
      </w:pPr>
      <w:r>
        <w:rPr>
          <w:b/>
          <w:sz w:val="24"/>
        </w:rPr>
        <w:t>LCLM5005</w:t>
      </w:r>
    </w:p>
    <w:p w14:paraId="5C1CE08A" w14:textId="77777777" w:rsidR="003D3C4B" w:rsidRDefault="003D3C4B"/>
    <w:tbl>
      <w:tblPr>
        <w:tblW w:w="6200" w:type="dxa"/>
        <w:jc w:val="cente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1900"/>
        <w:gridCol w:w="4300"/>
      </w:tblGrid>
      <w:tr w:rsidR="003D3C4B" w14:paraId="0C503B0E" w14:textId="77777777">
        <w:trPr>
          <w:jc w:val="center"/>
        </w:trPr>
        <w:tc>
          <w:tcPr>
            <w:tcW w:w="1900" w:type="dxa"/>
            <w:tcMar>
              <w:top w:w="100" w:type="dxa"/>
              <w:left w:w="120" w:type="dxa"/>
              <w:bottom w:w="100" w:type="dxa"/>
              <w:right w:w="120" w:type="dxa"/>
            </w:tcMar>
            <w:vAlign w:val="center"/>
          </w:tcPr>
          <w:p w14:paraId="5ADEECFE" w14:textId="77777777" w:rsidR="003D3C4B" w:rsidRDefault="001A413E">
            <w:pPr>
              <w:spacing w:after="0"/>
              <w:jc w:val="left"/>
            </w:pPr>
            <w:r>
              <w:rPr>
                <w:b/>
                <w:color w:val="5B6573"/>
                <w:sz w:val="21"/>
              </w:rPr>
              <w:t>Student</w:t>
            </w:r>
          </w:p>
        </w:tc>
        <w:tc>
          <w:tcPr>
            <w:tcW w:w="4300" w:type="dxa"/>
            <w:tcMar>
              <w:top w:w="100" w:type="dxa"/>
              <w:left w:w="120" w:type="dxa"/>
              <w:bottom w:w="100" w:type="dxa"/>
              <w:right w:w="120" w:type="dxa"/>
            </w:tcMar>
            <w:vAlign w:val="center"/>
          </w:tcPr>
          <w:p w14:paraId="3536A477" w14:textId="77777777" w:rsidR="003D3C4B" w:rsidRDefault="001A413E">
            <w:pPr>
              <w:spacing w:after="0"/>
              <w:jc w:val="left"/>
            </w:pPr>
            <w:r>
              <w:rPr>
                <w:sz w:val="21"/>
              </w:rPr>
              <w:t>Yuliia Bublyk</w:t>
            </w:r>
          </w:p>
        </w:tc>
      </w:tr>
      <w:tr w:rsidR="003D3C4B" w14:paraId="07151542" w14:textId="77777777">
        <w:trPr>
          <w:jc w:val="center"/>
        </w:trPr>
        <w:tc>
          <w:tcPr>
            <w:tcW w:w="1900" w:type="dxa"/>
            <w:tcMar>
              <w:top w:w="100" w:type="dxa"/>
              <w:left w:w="120" w:type="dxa"/>
              <w:bottom w:w="100" w:type="dxa"/>
              <w:right w:w="120" w:type="dxa"/>
            </w:tcMar>
            <w:vAlign w:val="center"/>
          </w:tcPr>
          <w:p w14:paraId="7CF6490C" w14:textId="77777777" w:rsidR="003D3C4B" w:rsidRDefault="001A413E">
            <w:pPr>
              <w:spacing w:after="0"/>
              <w:jc w:val="left"/>
            </w:pPr>
            <w:r>
              <w:rPr>
                <w:b/>
                <w:color w:val="5B6573"/>
                <w:sz w:val="21"/>
              </w:rPr>
              <w:t>Student ID</w:t>
            </w:r>
          </w:p>
        </w:tc>
        <w:tc>
          <w:tcPr>
            <w:tcW w:w="4300" w:type="dxa"/>
            <w:tcMar>
              <w:top w:w="100" w:type="dxa"/>
              <w:left w:w="120" w:type="dxa"/>
              <w:bottom w:w="100" w:type="dxa"/>
              <w:right w:w="120" w:type="dxa"/>
            </w:tcMar>
            <w:vAlign w:val="center"/>
          </w:tcPr>
          <w:p w14:paraId="0F5D3DB5" w14:textId="77777777" w:rsidR="003D3C4B" w:rsidRDefault="001A413E">
            <w:pPr>
              <w:spacing w:after="0"/>
              <w:jc w:val="left"/>
            </w:pPr>
            <w:r>
              <w:rPr>
                <w:sz w:val="21"/>
              </w:rPr>
              <w:t>2417171</w:t>
            </w:r>
          </w:p>
        </w:tc>
      </w:tr>
      <w:tr w:rsidR="003D3C4B" w14:paraId="54D5E47A" w14:textId="77777777">
        <w:trPr>
          <w:jc w:val="center"/>
        </w:trPr>
        <w:tc>
          <w:tcPr>
            <w:tcW w:w="1900" w:type="dxa"/>
            <w:tcMar>
              <w:top w:w="100" w:type="dxa"/>
              <w:left w:w="120" w:type="dxa"/>
              <w:bottom w:w="100" w:type="dxa"/>
              <w:right w:w="120" w:type="dxa"/>
            </w:tcMar>
            <w:vAlign w:val="center"/>
          </w:tcPr>
          <w:p w14:paraId="4EDD49E9" w14:textId="77777777" w:rsidR="003D3C4B" w:rsidRDefault="001A413E">
            <w:pPr>
              <w:spacing w:after="0"/>
              <w:jc w:val="left"/>
            </w:pPr>
            <w:r>
              <w:rPr>
                <w:b/>
                <w:color w:val="5B6573"/>
                <w:sz w:val="21"/>
              </w:rPr>
              <w:t>Lecturer</w:t>
            </w:r>
          </w:p>
        </w:tc>
        <w:tc>
          <w:tcPr>
            <w:tcW w:w="4300" w:type="dxa"/>
            <w:tcMar>
              <w:top w:w="100" w:type="dxa"/>
              <w:left w:w="120" w:type="dxa"/>
              <w:bottom w:w="100" w:type="dxa"/>
              <w:right w:w="120" w:type="dxa"/>
            </w:tcMar>
            <w:vAlign w:val="center"/>
          </w:tcPr>
          <w:p w14:paraId="1A694DAF" w14:textId="77777777" w:rsidR="003D3C4B" w:rsidRDefault="001A413E">
            <w:pPr>
              <w:spacing w:after="0"/>
              <w:jc w:val="left"/>
            </w:pPr>
            <w:r>
              <w:rPr>
                <w:sz w:val="21"/>
              </w:rPr>
              <w:t>Christopher Osborne</w:t>
            </w:r>
          </w:p>
        </w:tc>
      </w:tr>
      <w:tr w:rsidR="003D3C4B" w14:paraId="0D894D99" w14:textId="77777777">
        <w:trPr>
          <w:jc w:val="center"/>
        </w:trPr>
        <w:tc>
          <w:tcPr>
            <w:tcW w:w="1900" w:type="dxa"/>
            <w:tcMar>
              <w:top w:w="100" w:type="dxa"/>
              <w:left w:w="120" w:type="dxa"/>
              <w:bottom w:w="100" w:type="dxa"/>
              <w:right w:w="120" w:type="dxa"/>
            </w:tcMar>
            <w:vAlign w:val="center"/>
          </w:tcPr>
          <w:p w14:paraId="2CAAF51D" w14:textId="77777777" w:rsidR="003D3C4B" w:rsidRDefault="001A413E">
            <w:pPr>
              <w:spacing w:after="0"/>
              <w:jc w:val="left"/>
            </w:pPr>
            <w:r>
              <w:rPr>
                <w:b/>
                <w:color w:val="5B6573"/>
                <w:sz w:val="21"/>
              </w:rPr>
              <w:t>Submission</w:t>
            </w:r>
          </w:p>
        </w:tc>
        <w:tc>
          <w:tcPr>
            <w:tcW w:w="4300" w:type="dxa"/>
            <w:tcMar>
              <w:top w:w="100" w:type="dxa"/>
              <w:left w:w="120" w:type="dxa"/>
              <w:bottom w:w="100" w:type="dxa"/>
              <w:right w:w="120" w:type="dxa"/>
            </w:tcMar>
            <w:vAlign w:val="center"/>
          </w:tcPr>
          <w:p w14:paraId="358A1661" w14:textId="77777777" w:rsidR="003D3C4B" w:rsidRDefault="001A413E">
            <w:pPr>
              <w:spacing w:after="0"/>
              <w:jc w:val="left"/>
            </w:pPr>
            <w:r>
              <w:rPr>
                <w:sz w:val="21"/>
              </w:rPr>
              <w:t>Formal report</w:t>
            </w:r>
          </w:p>
        </w:tc>
      </w:tr>
    </w:tbl>
    <w:p w14:paraId="6772AF8F" w14:textId="77777777" w:rsidR="003D3C4B" w:rsidRDefault="001A413E">
      <w:r>
        <w:br w:type="page"/>
      </w:r>
    </w:p>
    <w:p w14:paraId="35C5FE01" w14:textId="77777777" w:rsidR="003D3C4B" w:rsidRDefault="001A413E">
      <w:pPr>
        <w:pStyle w:val="1"/>
      </w:pPr>
      <w:r>
        <w:t>Table of Contents</w:t>
      </w:r>
    </w:p>
    <w:p w14:paraId="07AE4C46" w14:textId="77777777" w:rsidR="003D3C4B" w:rsidRDefault="001A413E">
      <w:pPr>
        <w:tabs>
          <w:tab w:val="right" w:leader="dot" w:pos="9288"/>
        </w:tabs>
        <w:spacing w:after="160"/>
      </w:pPr>
      <w:r>
        <w:t>1. Introduction</w:t>
      </w:r>
      <w:r>
        <w:rPr>
          <w:b/>
          <w:color w:val="17365D"/>
        </w:rPr>
        <w:tab/>
        <w:t>3</w:t>
      </w:r>
    </w:p>
    <w:p w14:paraId="44B0E016" w14:textId="77777777" w:rsidR="003D3C4B" w:rsidRDefault="001A413E">
      <w:pPr>
        <w:tabs>
          <w:tab w:val="right" w:leader="dot" w:pos="9288"/>
        </w:tabs>
        <w:spacing w:after="160"/>
      </w:pPr>
      <w:r>
        <w:t>2. Organisational Culture at Toyota</w:t>
      </w:r>
      <w:r>
        <w:rPr>
          <w:b/>
          <w:color w:val="17365D"/>
        </w:rPr>
        <w:tab/>
        <w:t>3</w:t>
      </w:r>
    </w:p>
    <w:p w14:paraId="509190D8" w14:textId="77777777" w:rsidR="003D3C4B" w:rsidRDefault="001A413E">
      <w:pPr>
        <w:tabs>
          <w:tab w:val="right" w:leader="dot" w:pos="9288"/>
        </w:tabs>
        <w:spacing w:after="160"/>
      </w:pPr>
      <w:r>
        <w:t>3. Influence on Structure and Decision-Making</w:t>
      </w:r>
      <w:r>
        <w:rPr>
          <w:b/>
          <w:color w:val="17365D"/>
        </w:rPr>
        <w:tab/>
        <w:t>4</w:t>
      </w:r>
    </w:p>
    <w:p w14:paraId="7B6E9B09" w14:textId="77777777" w:rsidR="003D3C4B" w:rsidRDefault="001A413E">
      <w:pPr>
        <w:tabs>
          <w:tab w:val="right" w:leader="dot" w:pos="9288"/>
        </w:tabs>
        <w:spacing w:after="160"/>
      </w:pPr>
      <w:r>
        <w:t>4. Identifying the Prevailing Culture: Theory Application</w:t>
      </w:r>
      <w:r>
        <w:rPr>
          <w:b/>
          <w:color w:val="17365D"/>
        </w:rPr>
        <w:tab/>
        <w:t>5</w:t>
      </w:r>
    </w:p>
    <w:p w14:paraId="5D3EB00A" w14:textId="77777777" w:rsidR="003D3C4B" w:rsidRDefault="001A413E">
      <w:pPr>
        <w:tabs>
          <w:tab w:val="right" w:leader="dot" w:pos="9288"/>
        </w:tabs>
        <w:spacing w:after="160"/>
      </w:pPr>
      <w:r>
        <w:t>5. Leveraging Culture to Adapt to the External Environment</w:t>
      </w:r>
      <w:r>
        <w:rPr>
          <w:b/>
          <w:color w:val="17365D"/>
        </w:rPr>
        <w:tab/>
        <w:t>6</w:t>
      </w:r>
    </w:p>
    <w:p w14:paraId="48F44E91" w14:textId="77777777" w:rsidR="003D3C4B" w:rsidRDefault="001A413E">
      <w:pPr>
        <w:tabs>
          <w:tab w:val="right" w:leader="dot" w:pos="9288"/>
        </w:tabs>
        <w:spacing w:after="160"/>
      </w:pPr>
      <w:r>
        <w:t>6. Culture as Barrier or Enabler: Financial and Non-Financial Practices</w:t>
      </w:r>
      <w:r>
        <w:rPr>
          <w:b/>
          <w:color w:val="17365D"/>
        </w:rPr>
        <w:tab/>
        <w:t>7</w:t>
      </w:r>
    </w:p>
    <w:p w14:paraId="5F76EFD5" w14:textId="77777777" w:rsidR="003D3C4B" w:rsidRDefault="001A413E">
      <w:pPr>
        <w:tabs>
          <w:tab w:val="right" w:leader="dot" w:pos="9288"/>
        </w:tabs>
        <w:spacing w:after="160"/>
      </w:pPr>
      <w:r>
        <w:t>7. Competitor Benchmark</w:t>
      </w:r>
      <w:r>
        <w:rPr>
          <w:b/>
          <w:color w:val="17365D"/>
        </w:rPr>
        <w:tab/>
        <w:t>8</w:t>
      </w:r>
    </w:p>
    <w:p w14:paraId="70DBB271" w14:textId="77777777" w:rsidR="003D3C4B" w:rsidRDefault="001A413E">
      <w:pPr>
        <w:tabs>
          <w:tab w:val="right" w:leader="dot" w:pos="9288"/>
        </w:tabs>
        <w:spacing w:after="160"/>
      </w:pPr>
      <w:r>
        <w:t>8. Impact on Performance and Recommendations</w:t>
      </w:r>
      <w:r>
        <w:rPr>
          <w:b/>
          <w:color w:val="17365D"/>
        </w:rPr>
        <w:tab/>
        <w:t>8</w:t>
      </w:r>
    </w:p>
    <w:p w14:paraId="375980C1" w14:textId="77777777" w:rsidR="003D3C4B" w:rsidRDefault="001A413E">
      <w:pPr>
        <w:tabs>
          <w:tab w:val="right" w:leader="dot" w:pos="9288"/>
        </w:tabs>
        <w:spacing w:after="160"/>
      </w:pPr>
      <w:r>
        <w:t>9. Conclusion</w:t>
      </w:r>
      <w:r>
        <w:rPr>
          <w:b/>
          <w:color w:val="17365D"/>
        </w:rPr>
        <w:tab/>
        <w:t>9</w:t>
      </w:r>
    </w:p>
    <w:p w14:paraId="7FAD2E92" w14:textId="77777777" w:rsidR="003D3C4B" w:rsidRDefault="001A413E">
      <w:pPr>
        <w:tabs>
          <w:tab w:val="right" w:leader="dot" w:pos="9288"/>
        </w:tabs>
        <w:spacing w:after="160"/>
      </w:pPr>
      <w:r>
        <w:t>References</w:t>
      </w:r>
      <w:r>
        <w:rPr>
          <w:b/>
          <w:color w:val="17365D"/>
        </w:rPr>
        <w:tab/>
        <w:t>10</w:t>
      </w:r>
    </w:p>
    <w:p w14:paraId="31E09BAA" w14:textId="77777777" w:rsidR="003D3C4B" w:rsidRDefault="001A413E">
      <w:r>
        <w:br w:type="page"/>
      </w:r>
    </w:p>
    <w:p w14:paraId="10C08F91" w14:textId="77777777" w:rsidR="003D3C4B" w:rsidRDefault="001A413E">
      <w:pPr>
        <w:pStyle w:val="1"/>
      </w:pPr>
      <w:r>
        <w:t>1. Introduction</w:t>
      </w:r>
    </w:p>
    <w:p w14:paraId="46507A1A" w14:textId="77777777" w:rsidR="003D3C4B" w:rsidRDefault="001A413E">
      <w:r>
        <w:t>Mullins and Christy (2016) argue that organisational culture—shared assumptions about “how things are done”—pervades structure, decisions, motivation, control and satisfaction, while globalisation makes the integration of national and professional differences increasingly difficult. Toyota is an instructive case because its culture is unusually explicit and operationalised. The Toyota Way, Toyota Production System (TPS), kaizen, respect for people and genchi genbutsu connect values to routines, authority an</w:t>
      </w:r>
      <w:r>
        <w:t>d performance. Yet certification irregularities disclosed in 2024 show that a celebrated culture can also create silence, overload and ceremonial compliance. This report therefore asks whether Toyota’s culture is predominantly an enabler or a barrier. It applies Schein, Hofstede and Handy, relates culture to structure and environmental adaptation, compares Toyota with Volkswagen, Honda, Ford and Hyundai, and evaluates financial and non-financial practices. The analysis uses academic literature and recent co</w:t>
      </w:r>
      <w:r>
        <w:t>rporate evidence, treating reported outcomes as indicators rather than proof of simple cultural causation.</w:t>
      </w:r>
    </w:p>
    <w:p w14:paraId="18691BC7" w14:textId="77777777" w:rsidR="003D3C4B" w:rsidRDefault="001A413E">
      <w:pPr>
        <w:pStyle w:val="1"/>
      </w:pPr>
      <w:r>
        <w:t>2. Organisational Culture at Toyota</w:t>
      </w:r>
    </w:p>
    <w:p w14:paraId="135B5D17" w14:textId="77777777" w:rsidR="003D3C4B" w:rsidRDefault="001A413E">
      <w:r>
        <w:t>Toyota’s culture is best understood as a management system rather than a list of slogans. Its espoused foundation combines continuous improvement with respect for people. Continuous improvement is expressed through challenge, kaizen and genchi genbutsu (going to the actual place); respect is expressed through teamwork and respect for colleagues and partners (Liker, 2004). TPS translates these commitments into just-in-time flow and jidoka—building quality into the process and stopping when abnormality occurs</w:t>
      </w:r>
      <w:r>
        <w:t>. Standardised work is consequently not a rigid endpoint but the baseline from which teams expose waste, solve root causes and establish a better standard.</w:t>
      </w:r>
    </w:p>
    <w:p w14:paraId="330EECE2" w14:textId="77777777" w:rsidR="003D3C4B" w:rsidRDefault="001A413E">
      <w:r>
        <w:t>Daily practices reproduce these assumptions. Visual controls make deviations observable; andon enables frontline escalation; A3 reports impose disciplined problem definition; five-whys analysis privileges causes over blame; hoshin kanri aligns improvement priorities; and nemawashi builds support before formal approval. Toyota’s Creative Idea Suggestion System, launched in 1951, remains a mechanism for developing kaizen capability, with even a modest improvement able to earn ¥500 (Toyota Times, 2024). Histor</w:t>
      </w:r>
      <w:r>
        <w:t>ically, the scheme received more than 250,000 suggestions from about 43,000 employees in 1973 and adopted over 70%, illustrating broad participation rather than occasional “innovation events” (Toyota Motor Corporation, 1973). These routines create cultural control: employees monitor work against shared standards, reducing dependence on supervision.</w:t>
      </w:r>
    </w:p>
    <w:p w14:paraId="5EA27669" w14:textId="77777777" w:rsidR="003D3C4B" w:rsidRDefault="001A413E">
      <w:r>
        <w:t>The culture nevertheless contains tensions. “Respect” can mean psychological safety and coaching, but in a high power-distance, collectivist context it may also be interpreted as deference. “Challenge” favours ambitious targets, yet resource constraints and deadline pressure can make employees hide difficulties. Standardisation accelerates learning when deviations are surfaced; it becomes bureaucracy when compliance replaces inquiry. Toyota’s 2024 certification failures demonstrate this contradiction: metho</w:t>
      </w:r>
      <w:r>
        <w:t>ds inconsistent with regulatory requirements were used across several tests, and Japan’s regulator required fundamental reform (Toyota Motor Corporation, 2024a).</w:t>
      </w:r>
    </w:p>
    <w:p w14:paraId="19A591F5" w14:textId="77777777" w:rsidR="003D3C4B" w:rsidRDefault="001A413E">
      <w:r>
        <w:t>The prevailing pattern is therefore a strong clan–hierarchy hybrid. Long-term employment relationships, team problem-solving and leader-as-teacher practices create clan features; standard work, quality gates and tightly specified processes create hierarchy. A market dimension is visible in cost, quality and delivery targets, while adhocracy is growing in software and mobility. The central cultural capability is ambidexterity: preserving dependable routines while learning fast enough to redesign them. Toyota</w:t>
      </w:r>
      <w:r>
        <w:t>’s difficulty is that exploitation is deeply institutionalised whereas disruptive exploration is less naturally supported.</w:t>
      </w:r>
    </w:p>
    <w:p w14:paraId="7FDD287C" w14:textId="77777777" w:rsidR="003D3C4B" w:rsidRDefault="001A413E">
      <w:r>
        <w:t>Culture is also reinforced through selection and socialisation. Supervisors are promoted partly for their ability to teach problem-solving, not merely achieve output, and repeated reflection (hansei) turns mistakes into collective learning. Suppliers experience similar expectations through joint improvement activity. This density makes Toyota’s system hard to imitate and resilient across generations; it also means that an undesirable assumption can travel through the same powerful socialisation channels unl</w:t>
      </w:r>
      <w:r>
        <w:t>ess leaders deliberately test it.</w:t>
      </w:r>
    </w:p>
    <w:p w14:paraId="62671DFF" w14:textId="77777777" w:rsidR="003D3C4B" w:rsidRDefault="001A413E">
      <w:pPr>
        <w:pStyle w:val="1"/>
      </w:pPr>
      <w:r>
        <w:t>3. Influence on Structure and Decision-Making</w:t>
      </w:r>
    </w:p>
    <w:p w14:paraId="28F6B0B5" w14:textId="77777777" w:rsidR="003D3C4B" w:rsidRDefault="001A413E">
      <w:r>
        <w:t>Culture shapes Toyota’s structure by combining decentralised problem-solving with central strategic discipline. At operating level, small teams, group leaders and cross-functional quality circles are expected to solve abnormalities where value is created. This reflects genchi genbutsu: authority should move toward people with direct process knowledge. Product development likewise uses a chief-engineer system. The chief engineer integrates customer concept, engineering, manufacturing and commercial trade-off</w:t>
      </w:r>
      <w:r>
        <w:t>s across functions, creating strong horizontal coordination within an otherwise large functional and geographic enterprise (Morgan and Liker, 2006). Regional companies and product-centred business units increase responsiveness to local demand, but common TPS routines and the Toyota Way integrate the network.</w:t>
      </w:r>
    </w:p>
    <w:p w14:paraId="1AE5C6E7" w14:textId="77777777" w:rsidR="003D3C4B" w:rsidRDefault="001A413E">
      <w:r>
        <w:t>Decision-making follows a distinctive rhythm. Nemawashi involves informal consultation before a proposal reaches a formal forum; ringi-style circulation records agreement; A3 thinking makes evidence, alternatives and countermeasures visible; and hoshin kanri cascades strategic priorities through catchball dialogue. The result is often slow preparation but rapid implementation because disagreements are resolved upstream. This process also reduces rework and preserves organisational memory. In routine product</w:t>
      </w:r>
      <w:r>
        <w:t>ion, jidoka decentralises a critical decision: a worker can signal or stop the line when quality is at risk. Thus Toyota is not simply centralised or decentralised; decision rights vary with knowledge and risk.</w:t>
      </w:r>
    </w:p>
    <w:p w14:paraId="7C0C59C4" w14:textId="77777777" w:rsidR="003D3C4B" w:rsidRDefault="001A413E">
      <w:r>
        <w:t>The cultural benefits are substantial. Shared language lowers coordination costs across functions, suppliers and countries. Consensus improves commitment, while standardised facts discourage purely positional argument. Long-term supplier relationships support joint problem-solving rather than repeated price-only transactions. These mechanisms fit Mullins and Christy’s proposition that culture affects design, group behaviour and management control: behavioural norms substitute for some formal monitoring.</w:t>
      </w:r>
    </w:p>
    <w:p w14:paraId="00DCA9D8" w14:textId="77777777" w:rsidR="003D3C4B" w:rsidRDefault="001A413E">
      <w:r>
        <w:t>However, consensus can become conformity. Extensive consultation may delay digital or battery-electric decisions when technological windows are short. Seniority, implicit knowledge and Japanese-language networks can privilege insiders, weakening the voice of international specialists. “Go and see” is valuable, but a local observation can be over-weighted relative to platform data or regulatory expertise. Most importantly, an andon philosophy works only if employees can pull the metaphorical cord without car</w:t>
      </w:r>
      <w:r>
        <w:t>eer cost. The certification issues indicated unclear responsibility, insufficient management involvement and inadequate escalation. Toyota’s recurrence plan consequently assigned overall development decisions to the CTO, certification decisions to the Global Chief Quality Officer, and added second- and third-line audits (Toyota Motor Corporation, 2024b). This response confirms the core diagnosis: culture requires explicit governance where legal independence and assurance cannot safely rely on consensus alon</w:t>
      </w:r>
      <w:r>
        <w:t>e.</w:t>
      </w:r>
    </w:p>
    <w:p w14:paraId="2C6C7DB1" w14:textId="77777777" w:rsidR="003D3C4B" w:rsidRDefault="001A413E">
      <w:r>
        <w:t>The arrangement is best described as guided decentralisation. Headquarters sets purpose, capital boundaries and global quality expectations; vehicle companies and regions interpret customer needs; teams adjust the work. Its success depends less on boxes in an organisation chart than on lateral relationships and shared problem-solving competence. When expertise is disputed or regulation demands independence, however, a formal accountable owner must override informal consensus.</w:t>
      </w:r>
    </w:p>
    <w:p w14:paraId="591EA7F2" w14:textId="77777777" w:rsidR="003D3C4B" w:rsidRDefault="001A413E">
      <w:pPr>
        <w:pStyle w:val="1"/>
      </w:pPr>
      <w:r>
        <w:t>4. Identifying the Prevailing Culture: Theory Application</w:t>
      </w:r>
    </w:p>
    <w:p w14:paraId="081DE08C" w14:textId="77777777" w:rsidR="003D3C4B" w:rsidRDefault="001A413E">
      <w:r>
        <w:t>Schein’s (2017) three-level model distinguishes artefacts, espoused values and underlying assumptions. Toyota’s artefacts are highly visible: andon boards, kanban cards, obeya rooms, A3 documents, standardised work sheets, quality circles and leaders visiting the genba. Espoused values include the Toyota Way, “Customer First,” continuous improvement, respect for people and making ever-better cars. Beneath them lie assumptions that problems are valuable signals, quality should be created at source, people ca</w:t>
      </w:r>
      <w:r>
        <w:t>n develop through coached problem-solving, and long-term capability should take priority over short-term optimisation. Alignment across the three levels explains cultural strength. Certification misconduct, however, reveals a gap: if an artefact records approval while the underlying assumption becomes “meet the deadline,” the formal value of customer-first quality is decoupled from behaviour.</w:t>
      </w:r>
    </w:p>
    <w:p w14:paraId="7D3C0CC2" w14:textId="77777777" w:rsidR="003D3C4B" w:rsidRDefault="001A413E">
      <w:r>
        <w:t>Hofstede’s dimensions help interpret the national context but should not stereotype a global corporation. Japanese tendencies toward collectivism, uncertainty avoidance and longer-term orientation are consistent with team accountability, careful consensus, standardisation and patient capability-building (Hofstede, Hofstede and Minkov, 2010). Moderate-to-high power distance can support disciplined coaching yet inhibit upward challenge; masculinity may reinforce demanding performance norms. Toyota modifies th</w:t>
      </w:r>
      <w:r>
        <w:t>ese tendencies through andon, reflection and cross-functional dialogue. In subsidiaries, however, practices must be translated: direct challenge may be normal in the United States but face-threatening elsewhere, while individual reward can undermine collective kaizen. Hofstede explains contextual friction, not a deterministic “Japanese culture.”</w:t>
      </w:r>
    </w:p>
    <w:p w14:paraId="03C26DA2" w14:textId="77777777" w:rsidR="003D3C4B" w:rsidRDefault="001A413E">
      <w:r>
        <w:t>Handy’s (1993) types identify a dominant role/task mixture with person and power elements. Role culture appears in precise standards, formal responsibility and quality assurance. Task culture appears in cross-functional problem-solving, chief-engineer projects and temporary obeya teams. Power culture remains visible around influential senior leaders and the founding-family legacy, while person culture is weakest because collective purpose normally outranks individual autonomy. Handy therefore shows why Toyo</w:t>
      </w:r>
      <w:r>
        <w:t>ta can be both bureaucratic and participative.</w:t>
      </w:r>
    </w:p>
    <w:p w14:paraId="54F49CC4" w14:textId="77777777" w:rsidR="003D3C4B" w:rsidRDefault="001A413E">
      <w:r>
        <w:t>Cameron and Quinn’s (2011) Competing Values Framework sharpens the conclusion. Toyota combines clan (development, teamwork) and hierarchy (control, repeatability), with market pressure (cost, delivery) and selective adhocracy (software, hydrogen and mobility experimentation). The prevailing culture is a clan–hierarchy hybrid disciplined by market outcomes. Its effectiveness is contingent: stable, safety-critical production rewards hierarchy and kaizen; uncertain software ecosystems require more adhocracy. C</w:t>
      </w:r>
      <w:r>
        <w:t>ultural strength becomes rigidity when the same decision logic is applied to all domains. Toyota should preserve non-negotiable quality routines while differentiating governance for exploratory digital businesses.</w:t>
      </w:r>
    </w:p>
    <w:p w14:paraId="472EFEE4" w14:textId="77777777" w:rsidR="003D3C4B" w:rsidRDefault="001A413E">
      <w:r>
        <w:t>No single model fully captures Toyota. Schein explains depth, Hofstede contextual variation, Handy describes coordination, and Cameron–Quinn exposes competing demands. Their combined use avoids declaring one universal label. It also suggests a diagnostic test: if clan loyalty weakens challenge, hierarchy must protect independent voice; if hierarchy slows discovery, adhocracy must be deliberately created; if market pressure overwhelms learning, leaders must restore long-term purpose.</w:t>
      </w:r>
    </w:p>
    <w:p w14:paraId="70F55C0C" w14:textId="77777777" w:rsidR="003D3C4B" w:rsidRDefault="001A413E">
      <w:pPr>
        <w:pStyle w:val="1"/>
      </w:pPr>
      <w:r>
        <w:t>5. Leveraging Culture to Adapt to the External Environment</w:t>
      </w:r>
    </w:p>
    <w:p w14:paraId="0FD935CB" w14:textId="77777777" w:rsidR="003D3C4B" w:rsidRDefault="001A413E">
      <w:r>
        <w:t>Toyota leverages culture as a sensing-and-response system. Genchi genbutsu and regional responsibility bring customer, supplier and regulatory information into decisions; kaizen converts repeated shocks into revised standards; and long-term orientation sustains investments whose returns are uncertain. Supply disruptions provide a clear example. TPS is often caricatured as minimal inventory, yet its deeper logic is visibility and learning. After shocks, Toyota can classify critical components, collaborate wi</w:t>
      </w:r>
      <w:r>
        <w:t>th suppliers and selectively buffer vulnerabilities without abandoning flow principles. The culture therefore supports dynamic capabilities: sensing at the genba, seizing through cross-functional decisions and transforming through standardisation (Teece, 2007).</w:t>
      </w:r>
    </w:p>
    <w:p w14:paraId="1AF162C6" w14:textId="77777777" w:rsidR="003D3C4B" w:rsidRDefault="001A413E">
      <w:r>
        <w:t>Environmental regulation and uneven infrastructure are addressed through Toyota’s “multi-pathway” approach—hybrid, plug-in hybrid, battery-electric and fuel-cell options matched to regional energy systems and customer affordability. In FY2025, Toyota and Lexus sold 4.732 million electrified vehicles, 46.1% of sales, including 4.425 million hybrids but only 145,000 battery-electric vehicles (Toyota Motor Corporation, 2025a). Cumulative electrified sales reached 31.75 million; average new-vehicle CO₂ emission</w:t>
      </w:r>
      <w:r>
        <w:t>s were 32% below the 2010 level, global plant emissions were 34% below 2013, and renewable electricity adoption reached 36% (Toyota Motor Corporation, 2025b). These outcomes support the argument that pragmatic, incremental diffusion can reduce emissions at scale.</w:t>
      </w:r>
    </w:p>
    <w:p w14:paraId="3966F7FC" w14:textId="77777777" w:rsidR="003D3C4B" w:rsidRDefault="001A413E">
      <w:r>
        <w:t>The same culture also creates strategic risk. Multi-pathway reasoning may be genuine regional adaptation, but it can rationalise delayed commitment to battery-electric architectures, software-defined vehicles and faster ecosystem partnerships. Kaizen is strongest when a trajectory is broadly correct; it is less suited to choosing between discontinuous technologies. Toyota must therefore complement continuous improvement with options-based experimentation and explicit stop/scale criteria.</w:t>
      </w:r>
    </w:p>
    <w:p w14:paraId="3E443EE9" w14:textId="77777777" w:rsidR="003D3C4B" w:rsidRDefault="001A413E">
      <w:r>
        <w:t>Globalisation poses a social challenge as well as a market one. A coherent culture cannot mean exporting Japanese routines unchanged. Toyota needs stable principles—customer safety, problem visibility, respect, evidence—but locally adaptable practices for voice, rewards and decision speed. Its FY2025 people data show both investment and gaps: 494,681 training hours, ¥730 million in training cost, 60% of employees reporting purpose and fulfilment, and only 4.0% women among managers at Toyota Motor Corporatio</w:t>
      </w:r>
      <w:r>
        <w:t>n (Toyota Motor Corporation, 2025b). The figures suggest a capable learning infrastructure but insufficient diversity. External adaptation will improve when international, female and software perspectives have real authority, not merely representation.</w:t>
      </w:r>
    </w:p>
    <w:p w14:paraId="5B2E4B9B" w14:textId="77777777" w:rsidR="003D3C4B" w:rsidRDefault="001A413E">
      <w:r>
        <w:t>Political and economic volatility further tests this capability. Exchange rates, trade barriers and local-content rules can rapidly change the best production footprint. Toyota’s region-centred management and supplier partnerships enable localisation, while common standards preserve transferability. Yet resilience should not become indiscriminate redundancy. Scenario-based hoshin reviews should distinguish reversible buffers from long-lived commitments and should include external regulators, technology part</w:t>
      </w:r>
      <w:r>
        <w:t>ners and communities so that internal consensus does not filter out weak signals.</w:t>
      </w:r>
    </w:p>
    <w:p w14:paraId="1A1766C8" w14:textId="77777777" w:rsidR="003D3C4B" w:rsidRDefault="001A413E">
      <w:pPr>
        <w:pStyle w:val="1"/>
      </w:pPr>
      <w:r>
        <w:t>6. Culture as Barrier or Enabler: Financial and Non-Financial Practices</w:t>
      </w:r>
    </w:p>
    <w:p w14:paraId="0ECEC899" w14:textId="77777777" w:rsidR="003D3C4B" w:rsidRDefault="001A413E">
      <w:r>
        <w:t>On balance, Toyota’s culture is an enabler, but only conditionally. Its strongest enabling mechanism is the conversion of tacit values into repeatable practices. Standard work makes performance comparable; jidoka prevents defects from moving downstream; kaizen mobilises frontline knowledge; and respect-based coaching develops problem-solvers. This socio-technical configuration explains why “lean” tools copied without Toyota’s people system often underperform (Spear and Bowen, 1999). Financial outcomes are c</w:t>
      </w:r>
      <w:r>
        <w:t>onsistent with—not solely caused by—this advantage: FY2025 revenue was ¥48.037 trillion, operating income ¥4.796 trillion and operating margin 10.0%, on 9.362 million consolidated vehicle sales (Toyota Motor Corporation, 2025a).</w:t>
      </w:r>
    </w:p>
    <w:p w14:paraId="2DF24311" w14:textId="77777777" w:rsidR="003D3C4B" w:rsidRDefault="001A413E">
      <w:r>
        <w:t>Financial practices reinforce culture when they fund long horizons and share gains. Toyota reported FY2025 R&amp;D activity expenditure of ¥1.326 trillion and capital expenditure of ¥2.112 trillion, protecting capability despite cyclical pressure. For FY2026 it planned ¥245 billion of additional human-resource investment and ¥225 billion in growth areas, while increasing the full-year dividend to ¥95 per share (Toyota Motor Corporation, 2025a). The suggestion scheme’s ¥500 reward illustrates a different princip</w:t>
      </w:r>
      <w:r>
        <w:t>le: small payments recognise participation, but intrinsic ownership and rapid implementation remain more important than tournament-sized bonuses. Supplier development and cost-reduction activity can likewise produce mutual learning, although aggressive targets risk transferring pressure down the chain.</w:t>
      </w:r>
    </w:p>
    <w:p w14:paraId="4203A078" w14:textId="77777777" w:rsidR="003D3C4B" w:rsidRDefault="001A413E">
      <w:r>
        <w:t>Non-financial practices include team-leader coaching, A3 problem-solving, quality circles, genba visits, safety training and visible escalation. In 2024, Toyota recorded 494,681 training hours (6.9 per employee), 3,341 participants in hazardous-operation skills training and 70.2% satisfaction among shop-floor employees. Yet only 55% felt diversity and individuality were valued (Toyota Motor Corporation, 2025b). These indicators show why output metrics must be paired with voice and inclusion measures.</w:t>
      </w:r>
    </w:p>
    <w:p w14:paraId="202FE566" w14:textId="77777777" w:rsidR="003D3C4B" w:rsidRDefault="001A413E">
      <w:r>
        <w:t>The barrier case is serious. Strong identity may generate “not invented here” thinking, slow consensus and obedience to implicit priorities. Stretch targets can turn “no problem is a problem” into hiding bad news. The 2024 correction order over certification applications is direct counter-evidence to the belief that quality culture is self-enforcing. Toyota’s response—clearer authority, compliance training, legal supervision, internal audit and board reporting—is appropriate, but it adds controls after fail</w:t>
      </w:r>
      <w:r>
        <w:t>ure. The deeper remedy is psychological safety: employees must believe that stopping a programme, challenging a senior engineer or reporting regulatory ambiguity will be rewarded. Therefore culture is an enabler where voice, slack and independent assurance are present; without them, the same discipline becomes a barrier.</w:t>
      </w:r>
    </w:p>
    <w:p w14:paraId="688050AB" w14:textId="77777777" w:rsidR="003D3C4B" w:rsidRDefault="001A413E">
      <w:r>
        <w:t>Job satisfaction is affected by the same duality. Participation, mastery and visible improvement can generate meaning, but tightly timed work, overtime and continuous target pressure can reduce autonomy. Toyota reported 21.1 average monthly overtime hours and one work stoppage involving 4,318 person-days. Harmony should therefore not be assumed. A balanced cultural dashboard must combine productivity and defect data with workload, voice, inclusion and well-being indicators.</w:t>
      </w:r>
    </w:p>
    <w:p w14:paraId="1DA3AF6D" w14:textId="77777777" w:rsidR="003D3C4B" w:rsidRDefault="001A413E">
      <w:pPr>
        <w:pStyle w:val="1"/>
      </w:pPr>
      <w:r>
        <w:t>7. Competitor Benchmark</w:t>
      </w:r>
    </w:p>
    <w:p w14:paraId="2B8DB361" w14:textId="77777777" w:rsidR="003D3C4B" w:rsidRDefault="001A413E">
      <w:r>
        <w:t>Table 1 benchmarks recent full-year results and cultural operating tendencies. Periods and accounting bases differ, so the figures indicate strategic position rather than a league table of causal cultural effects. Operating margins are reported group measures; Ford uses adjusted EBIT margin.</w:t>
      </w:r>
    </w:p>
    <w:p w14:paraId="76274E5A" w14:textId="77777777" w:rsidR="003D3C4B" w:rsidRDefault="001A413E">
      <w:pPr>
        <w:spacing w:after="80"/>
      </w:pPr>
      <w:r>
        <w:rPr>
          <w:b/>
          <w:color w:val="17365D"/>
          <w:sz w:val="20"/>
        </w:rPr>
        <w:t>Table 1. Toyota and selected automotive competitors</w:t>
      </w:r>
    </w:p>
    <w:tbl>
      <w:tblPr>
        <w:tblW w:w="9060" w:type="dxa"/>
        <w:jc w:val="center"/>
        <w:tblBorders>
          <w:top w:val="single" w:sz="5" w:space="0" w:color="B7C4CC"/>
          <w:left w:val="single" w:sz="5" w:space="0" w:color="B7C4CC"/>
          <w:bottom w:val="single" w:sz="5" w:space="0" w:color="B7C4CC"/>
          <w:right w:val="single" w:sz="5" w:space="0" w:color="B7C4CC"/>
          <w:insideH w:val="single" w:sz="5" w:space="0" w:color="B7C4CC"/>
          <w:insideV w:val="single" w:sz="5" w:space="0" w:color="B7C4CC"/>
        </w:tblBorders>
        <w:tblLayout w:type="fixed"/>
        <w:tblLook w:val="04A0" w:firstRow="1" w:lastRow="0" w:firstColumn="1" w:lastColumn="0" w:noHBand="0" w:noVBand="1"/>
      </w:tblPr>
      <w:tblGrid>
        <w:gridCol w:w="1350"/>
        <w:gridCol w:w="1280"/>
        <w:gridCol w:w="1550"/>
        <w:gridCol w:w="2500"/>
        <w:gridCol w:w="2380"/>
      </w:tblGrid>
      <w:tr w:rsidR="003D3C4B" w14:paraId="6442EB0C" w14:textId="77777777">
        <w:trPr>
          <w:tblHeader/>
          <w:jc w:val="center"/>
        </w:trPr>
        <w:tc>
          <w:tcPr>
            <w:tcW w:w="1350" w:type="dxa"/>
            <w:shd w:val="clear" w:color="auto" w:fill="17365D"/>
            <w:tcMar>
              <w:top w:w="90" w:type="dxa"/>
              <w:left w:w="100" w:type="dxa"/>
              <w:bottom w:w="90" w:type="dxa"/>
              <w:right w:w="100" w:type="dxa"/>
            </w:tcMar>
            <w:vAlign w:val="center"/>
          </w:tcPr>
          <w:p w14:paraId="5CF5C2C9" w14:textId="77777777" w:rsidR="003D3C4B" w:rsidRDefault="001A413E">
            <w:pPr>
              <w:spacing w:after="0" w:line="240" w:lineRule="auto"/>
              <w:jc w:val="left"/>
            </w:pPr>
            <w:r>
              <w:rPr>
                <w:b/>
                <w:color w:val="FFFFFF"/>
                <w:sz w:val="16"/>
              </w:rPr>
              <w:t>Company / period</w:t>
            </w:r>
          </w:p>
        </w:tc>
        <w:tc>
          <w:tcPr>
            <w:tcW w:w="1280" w:type="dxa"/>
            <w:shd w:val="clear" w:color="auto" w:fill="17365D"/>
            <w:tcMar>
              <w:top w:w="90" w:type="dxa"/>
              <w:left w:w="100" w:type="dxa"/>
              <w:bottom w:w="90" w:type="dxa"/>
              <w:right w:w="100" w:type="dxa"/>
            </w:tcMar>
            <w:vAlign w:val="center"/>
          </w:tcPr>
          <w:p w14:paraId="5B3E8F08" w14:textId="77777777" w:rsidR="003D3C4B" w:rsidRDefault="001A413E">
            <w:pPr>
              <w:spacing w:after="0" w:line="240" w:lineRule="auto"/>
              <w:jc w:val="left"/>
            </w:pPr>
            <w:r>
              <w:rPr>
                <w:b/>
                <w:color w:val="FFFFFF"/>
                <w:sz w:val="16"/>
              </w:rPr>
              <w:t>Vehicle volume</w:t>
            </w:r>
          </w:p>
        </w:tc>
        <w:tc>
          <w:tcPr>
            <w:tcW w:w="1550" w:type="dxa"/>
            <w:shd w:val="clear" w:color="auto" w:fill="17365D"/>
            <w:tcMar>
              <w:top w:w="90" w:type="dxa"/>
              <w:left w:w="100" w:type="dxa"/>
              <w:bottom w:w="90" w:type="dxa"/>
              <w:right w:w="100" w:type="dxa"/>
            </w:tcMar>
            <w:vAlign w:val="center"/>
          </w:tcPr>
          <w:p w14:paraId="0A0202F9" w14:textId="77777777" w:rsidR="003D3C4B" w:rsidRDefault="001A413E">
            <w:pPr>
              <w:spacing w:after="0" w:line="240" w:lineRule="auto"/>
              <w:jc w:val="left"/>
            </w:pPr>
            <w:r>
              <w:rPr>
                <w:b/>
                <w:color w:val="FFFFFF"/>
                <w:sz w:val="16"/>
              </w:rPr>
              <w:t>Group profitability</w:t>
            </w:r>
          </w:p>
        </w:tc>
        <w:tc>
          <w:tcPr>
            <w:tcW w:w="2500" w:type="dxa"/>
            <w:shd w:val="clear" w:color="auto" w:fill="17365D"/>
            <w:tcMar>
              <w:top w:w="90" w:type="dxa"/>
              <w:left w:w="100" w:type="dxa"/>
              <w:bottom w:w="90" w:type="dxa"/>
              <w:right w:w="100" w:type="dxa"/>
            </w:tcMar>
            <w:vAlign w:val="center"/>
          </w:tcPr>
          <w:p w14:paraId="0A38AE80" w14:textId="77777777" w:rsidR="003D3C4B" w:rsidRDefault="001A413E">
            <w:pPr>
              <w:spacing w:after="0" w:line="240" w:lineRule="auto"/>
              <w:jc w:val="left"/>
            </w:pPr>
            <w:r>
              <w:rPr>
                <w:b/>
                <w:color w:val="FFFFFF"/>
                <w:sz w:val="16"/>
              </w:rPr>
              <w:t>Cultural operating tendency</w:t>
            </w:r>
          </w:p>
        </w:tc>
        <w:tc>
          <w:tcPr>
            <w:tcW w:w="2380" w:type="dxa"/>
            <w:shd w:val="clear" w:color="auto" w:fill="17365D"/>
            <w:tcMar>
              <w:top w:w="90" w:type="dxa"/>
              <w:left w:w="100" w:type="dxa"/>
              <w:bottom w:w="90" w:type="dxa"/>
              <w:right w:w="100" w:type="dxa"/>
            </w:tcMar>
            <w:vAlign w:val="center"/>
          </w:tcPr>
          <w:p w14:paraId="3B8B2623" w14:textId="77777777" w:rsidR="003D3C4B" w:rsidRDefault="001A413E">
            <w:pPr>
              <w:spacing w:after="0" w:line="240" w:lineRule="auto"/>
              <w:jc w:val="left"/>
            </w:pPr>
            <w:r>
              <w:rPr>
                <w:b/>
                <w:color w:val="FFFFFF"/>
                <w:sz w:val="16"/>
              </w:rPr>
              <w:t>Implication for Toyota</w:t>
            </w:r>
          </w:p>
        </w:tc>
      </w:tr>
      <w:tr w:rsidR="003D3C4B" w14:paraId="1D9E4596" w14:textId="77777777">
        <w:trPr>
          <w:jc w:val="center"/>
        </w:trPr>
        <w:tc>
          <w:tcPr>
            <w:tcW w:w="1350" w:type="dxa"/>
            <w:tcMar>
              <w:top w:w="90" w:type="dxa"/>
              <w:left w:w="100" w:type="dxa"/>
              <w:bottom w:w="90" w:type="dxa"/>
              <w:right w:w="100" w:type="dxa"/>
            </w:tcMar>
            <w:vAlign w:val="center"/>
          </w:tcPr>
          <w:p w14:paraId="76401F7F" w14:textId="77777777" w:rsidR="003D3C4B" w:rsidRDefault="001A413E">
            <w:pPr>
              <w:spacing w:after="0" w:line="240" w:lineRule="auto"/>
              <w:jc w:val="left"/>
            </w:pPr>
            <w:r>
              <w:rPr>
                <w:sz w:val="16"/>
              </w:rPr>
              <w:t>Toyota</w:t>
            </w:r>
            <w:r>
              <w:rPr>
                <w:sz w:val="16"/>
              </w:rPr>
              <w:br/>
              <w:t>FY ended Mar 2025</w:t>
            </w:r>
          </w:p>
        </w:tc>
        <w:tc>
          <w:tcPr>
            <w:tcW w:w="1280" w:type="dxa"/>
            <w:tcMar>
              <w:top w:w="90" w:type="dxa"/>
              <w:left w:w="100" w:type="dxa"/>
              <w:bottom w:w="90" w:type="dxa"/>
              <w:right w:w="100" w:type="dxa"/>
            </w:tcMar>
            <w:vAlign w:val="center"/>
          </w:tcPr>
          <w:p w14:paraId="150539CF" w14:textId="77777777" w:rsidR="003D3C4B" w:rsidRDefault="001A413E">
            <w:pPr>
              <w:spacing w:after="0" w:line="240" w:lineRule="auto"/>
              <w:jc w:val="left"/>
            </w:pPr>
            <w:r>
              <w:rPr>
                <w:sz w:val="16"/>
              </w:rPr>
              <w:t>9.362m consolidated sales</w:t>
            </w:r>
          </w:p>
        </w:tc>
        <w:tc>
          <w:tcPr>
            <w:tcW w:w="1550" w:type="dxa"/>
            <w:tcMar>
              <w:top w:w="90" w:type="dxa"/>
              <w:left w:w="100" w:type="dxa"/>
              <w:bottom w:w="90" w:type="dxa"/>
              <w:right w:w="100" w:type="dxa"/>
            </w:tcMar>
            <w:vAlign w:val="center"/>
          </w:tcPr>
          <w:p w14:paraId="0487789E" w14:textId="77777777" w:rsidR="003D3C4B" w:rsidRDefault="001A413E">
            <w:pPr>
              <w:spacing w:after="0" w:line="240" w:lineRule="auto"/>
              <w:jc w:val="left"/>
            </w:pPr>
            <w:r>
              <w:rPr>
                <w:sz w:val="16"/>
              </w:rPr>
              <w:t>¥48.037tn revenue; 10.0% operating margin</w:t>
            </w:r>
          </w:p>
        </w:tc>
        <w:tc>
          <w:tcPr>
            <w:tcW w:w="2500" w:type="dxa"/>
            <w:tcMar>
              <w:top w:w="90" w:type="dxa"/>
              <w:left w:w="100" w:type="dxa"/>
              <w:bottom w:w="90" w:type="dxa"/>
              <w:right w:w="100" w:type="dxa"/>
            </w:tcMar>
            <w:vAlign w:val="center"/>
          </w:tcPr>
          <w:p w14:paraId="5C2B04A3" w14:textId="77777777" w:rsidR="003D3C4B" w:rsidRDefault="001A413E">
            <w:pPr>
              <w:spacing w:after="0" w:line="240" w:lineRule="auto"/>
              <w:jc w:val="left"/>
            </w:pPr>
            <w:r>
              <w:rPr>
                <w:sz w:val="16"/>
              </w:rPr>
              <w:t>Clan–hierarchy; TPS, consensus, genba and long-term capability</w:t>
            </w:r>
          </w:p>
        </w:tc>
        <w:tc>
          <w:tcPr>
            <w:tcW w:w="2380" w:type="dxa"/>
            <w:tcMar>
              <w:top w:w="90" w:type="dxa"/>
              <w:left w:w="100" w:type="dxa"/>
              <w:bottom w:w="90" w:type="dxa"/>
              <w:right w:w="100" w:type="dxa"/>
            </w:tcMar>
            <w:vAlign w:val="center"/>
          </w:tcPr>
          <w:p w14:paraId="795DC6BD" w14:textId="77777777" w:rsidR="003D3C4B" w:rsidRDefault="001A413E">
            <w:pPr>
              <w:spacing w:after="0" w:line="240" w:lineRule="auto"/>
              <w:jc w:val="left"/>
            </w:pPr>
            <w:r>
              <w:rPr>
                <w:sz w:val="16"/>
              </w:rPr>
              <w:t>Best margin in this set; accelerate exploration and strengthen independent challenge.</w:t>
            </w:r>
          </w:p>
        </w:tc>
      </w:tr>
      <w:tr w:rsidR="003D3C4B" w14:paraId="3DE7378F" w14:textId="77777777">
        <w:trPr>
          <w:jc w:val="center"/>
        </w:trPr>
        <w:tc>
          <w:tcPr>
            <w:tcW w:w="1350" w:type="dxa"/>
            <w:shd w:val="clear" w:color="auto" w:fill="F5F7F9"/>
            <w:tcMar>
              <w:top w:w="90" w:type="dxa"/>
              <w:left w:w="100" w:type="dxa"/>
              <w:bottom w:w="90" w:type="dxa"/>
              <w:right w:w="100" w:type="dxa"/>
            </w:tcMar>
            <w:vAlign w:val="center"/>
          </w:tcPr>
          <w:p w14:paraId="5BE047CF" w14:textId="77777777" w:rsidR="003D3C4B" w:rsidRDefault="001A413E">
            <w:pPr>
              <w:spacing w:after="0" w:line="240" w:lineRule="auto"/>
              <w:jc w:val="left"/>
            </w:pPr>
            <w:r>
              <w:rPr>
                <w:sz w:val="16"/>
              </w:rPr>
              <w:t>Volkswagen Group</w:t>
            </w:r>
            <w:r>
              <w:rPr>
                <w:sz w:val="16"/>
              </w:rPr>
              <w:br/>
              <w:t>CY2024</w:t>
            </w:r>
          </w:p>
        </w:tc>
        <w:tc>
          <w:tcPr>
            <w:tcW w:w="1280" w:type="dxa"/>
            <w:shd w:val="clear" w:color="auto" w:fill="F5F7F9"/>
            <w:tcMar>
              <w:top w:w="90" w:type="dxa"/>
              <w:left w:w="100" w:type="dxa"/>
              <w:bottom w:w="90" w:type="dxa"/>
              <w:right w:w="100" w:type="dxa"/>
            </w:tcMar>
            <w:vAlign w:val="center"/>
          </w:tcPr>
          <w:p w14:paraId="462FB281" w14:textId="77777777" w:rsidR="003D3C4B" w:rsidRDefault="001A413E">
            <w:pPr>
              <w:spacing w:after="0" w:line="240" w:lineRule="auto"/>
              <w:jc w:val="left"/>
            </w:pPr>
            <w:r>
              <w:rPr>
                <w:sz w:val="16"/>
              </w:rPr>
              <w:t>9.0m vehicles sold</w:t>
            </w:r>
          </w:p>
        </w:tc>
        <w:tc>
          <w:tcPr>
            <w:tcW w:w="1550" w:type="dxa"/>
            <w:shd w:val="clear" w:color="auto" w:fill="F5F7F9"/>
            <w:tcMar>
              <w:top w:w="90" w:type="dxa"/>
              <w:left w:w="100" w:type="dxa"/>
              <w:bottom w:w="90" w:type="dxa"/>
              <w:right w:w="100" w:type="dxa"/>
            </w:tcMar>
            <w:vAlign w:val="center"/>
          </w:tcPr>
          <w:p w14:paraId="2EDFE4B1" w14:textId="77777777" w:rsidR="003D3C4B" w:rsidRDefault="001A413E">
            <w:pPr>
              <w:spacing w:after="0" w:line="240" w:lineRule="auto"/>
              <w:jc w:val="left"/>
            </w:pPr>
            <w:r>
              <w:rPr>
                <w:sz w:val="16"/>
              </w:rPr>
              <w:t>€324.7bn revenue; 5.9% operating margin</w:t>
            </w:r>
          </w:p>
        </w:tc>
        <w:tc>
          <w:tcPr>
            <w:tcW w:w="2500" w:type="dxa"/>
            <w:shd w:val="clear" w:color="auto" w:fill="F5F7F9"/>
            <w:tcMar>
              <w:top w:w="90" w:type="dxa"/>
              <w:left w:w="100" w:type="dxa"/>
              <w:bottom w:w="90" w:type="dxa"/>
              <w:right w:w="100" w:type="dxa"/>
            </w:tcMar>
            <w:vAlign w:val="center"/>
          </w:tcPr>
          <w:p w14:paraId="5E552E5E" w14:textId="77777777" w:rsidR="003D3C4B" w:rsidRDefault="001A413E">
            <w:pPr>
              <w:spacing w:after="0" w:line="240" w:lineRule="auto"/>
              <w:jc w:val="left"/>
            </w:pPr>
            <w:r>
              <w:rPr>
                <w:sz w:val="16"/>
              </w:rPr>
              <w:t>Multi-brand, engineering-led divisional federation with formal co-determination</w:t>
            </w:r>
          </w:p>
        </w:tc>
        <w:tc>
          <w:tcPr>
            <w:tcW w:w="2380" w:type="dxa"/>
            <w:shd w:val="clear" w:color="auto" w:fill="F5F7F9"/>
            <w:tcMar>
              <w:top w:w="90" w:type="dxa"/>
              <w:left w:w="100" w:type="dxa"/>
              <w:bottom w:w="90" w:type="dxa"/>
              <w:right w:w="100" w:type="dxa"/>
            </w:tcMar>
            <w:vAlign w:val="center"/>
          </w:tcPr>
          <w:p w14:paraId="04E0C4B6" w14:textId="77777777" w:rsidR="003D3C4B" w:rsidRDefault="001A413E">
            <w:pPr>
              <w:spacing w:after="0" w:line="240" w:lineRule="auto"/>
              <w:jc w:val="left"/>
            </w:pPr>
            <w:r>
              <w:rPr>
                <w:sz w:val="16"/>
              </w:rPr>
              <w:t>Toyota’s common operating language is an integration advantage; VW shows scale alone is insufficient.</w:t>
            </w:r>
          </w:p>
        </w:tc>
      </w:tr>
      <w:tr w:rsidR="003D3C4B" w14:paraId="4E31D0A2" w14:textId="77777777">
        <w:trPr>
          <w:jc w:val="center"/>
        </w:trPr>
        <w:tc>
          <w:tcPr>
            <w:tcW w:w="1350" w:type="dxa"/>
            <w:tcMar>
              <w:top w:w="90" w:type="dxa"/>
              <w:left w:w="100" w:type="dxa"/>
              <w:bottom w:w="90" w:type="dxa"/>
              <w:right w:w="100" w:type="dxa"/>
            </w:tcMar>
            <w:vAlign w:val="center"/>
          </w:tcPr>
          <w:p w14:paraId="6A4B40B0" w14:textId="77777777" w:rsidR="003D3C4B" w:rsidRDefault="001A413E">
            <w:pPr>
              <w:spacing w:after="0" w:line="240" w:lineRule="auto"/>
              <w:jc w:val="left"/>
            </w:pPr>
            <w:r>
              <w:rPr>
                <w:sz w:val="16"/>
              </w:rPr>
              <w:t>Honda</w:t>
            </w:r>
            <w:r>
              <w:rPr>
                <w:sz w:val="16"/>
              </w:rPr>
              <w:br/>
              <w:t>FY ended Mar 2025</w:t>
            </w:r>
          </w:p>
        </w:tc>
        <w:tc>
          <w:tcPr>
            <w:tcW w:w="1280" w:type="dxa"/>
            <w:tcMar>
              <w:top w:w="90" w:type="dxa"/>
              <w:left w:w="100" w:type="dxa"/>
              <w:bottom w:w="90" w:type="dxa"/>
              <w:right w:w="100" w:type="dxa"/>
            </w:tcMar>
            <w:vAlign w:val="center"/>
          </w:tcPr>
          <w:p w14:paraId="63FD94AD" w14:textId="77777777" w:rsidR="003D3C4B" w:rsidRDefault="001A413E">
            <w:pPr>
              <w:spacing w:after="0" w:line="240" w:lineRule="auto"/>
              <w:jc w:val="left"/>
            </w:pPr>
            <w:r>
              <w:rPr>
                <w:sz w:val="16"/>
              </w:rPr>
              <w:t>3.716m group auto sales</w:t>
            </w:r>
          </w:p>
        </w:tc>
        <w:tc>
          <w:tcPr>
            <w:tcW w:w="1550" w:type="dxa"/>
            <w:tcMar>
              <w:top w:w="90" w:type="dxa"/>
              <w:left w:w="100" w:type="dxa"/>
              <w:bottom w:w="90" w:type="dxa"/>
              <w:right w:w="100" w:type="dxa"/>
            </w:tcMar>
            <w:vAlign w:val="center"/>
          </w:tcPr>
          <w:p w14:paraId="123D8A8A" w14:textId="77777777" w:rsidR="003D3C4B" w:rsidRDefault="001A413E">
            <w:pPr>
              <w:spacing w:after="0" w:line="240" w:lineRule="auto"/>
              <w:jc w:val="left"/>
            </w:pPr>
            <w:r>
              <w:rPr>
                <w:sz w:val="16"/>
              </w:rPr>
              <w:t>¥21.689tn revenue; 5.6% group operating margin</w:t>
            </w:r>
          </w:p>
        </w:tc>
        <w:tc>
          <w:tcPr>
            <w:tcW w:w="2500" w:type="dxa"/>
            <w:tcMar>
              <w:top w:w="90" w:type="dxa"/>
              <w:left w:w="100" w:type="dxa"/>
              <w:bottom w:w="90" w:type="dxa"/>
              <w:right w:w="100" w:type="dxa"/>
            </w:tcMar>
            <w:vAlign w:val="center"/>
          </w:tcPr>
          <w:p w14:paraId="5DF893DE" w14:textId="77777777" w:rsidR="003D3C4B" w:rsidRDefault="001A413E">
            <w:pPr>
              <w:spacing w:after="0" w:line="240" w:lineRule="auto"/>
              <w:jc w:val="left"/>
            </w:pPr>
            <w:r>
              <w:rPr>
                <w:sz w:val="16"/>
              </w:rPr>
              <w:t>Engineer/innovation identity with more individual technical autonomy</w:t>
            </w:r>
          </w:p>
        </w:tc>
        <w:tc>
          <w:tcPr>
            <w:tcW w:w="2380" w:type="dxa"/>
            <w:tcMar>
              <w:top w:w="90" w:type="dxa"/>
              <w:left w:w="100" w:type="dxa"/>
              <w:bottom w:w="90" w:type="dxa"/>
              <w:right w:w="100" w:type="dxa"/>
            </w:tcMar>
            <w:vAlign w:val="center"/>
          </w:tcPr>
          <w:p w14:paraId="244D8D48" w14:textId="77777777" w:rsidR="003D3C4B" w:rsidRDefault="001A413E">
            <w:pPr>
              <w:spacing w:after="0" w:line="240" w:lineRule="auto"/>
              <w:jc w:val="left"/>
            </w:pPr>
            <w:r>
              <w:rPr>
                <w:sz w:val="16"/>
              </w:rPr>
              <w:t>Borrow speed and experimental autonomy while retaining Toyota’s cross-functional discipline.</w:t>
            </w:r>
          </w:p>
        </w:tc>
      </w:tr>
      <w:tr w:rsidR="003D3C4B" w14:paraId="025BF3AB" w14:textId="77777777">
        <w:trPr>
          <w:jc w:val="center"/>
        </w:trPr>
        <w:tc>
          <w:tcPr>
            <w:tcW w:w="1350" w:type="dxa"/>
            <w:shd w:val="clear" w:color="auto" w:fill="F5F7F9"/>
            <w:tcMar>
              <w:top w:w="90" w:type="dxa"/>
              <w:left w:w="100" w:type="dxa"/>
              <w:bottom w:w="90" w:type="dxa"/>
              <w:right w:w="100" w:type="dxa"/>
            </w:tcMar>
            <w:vAlign w:val="center"/>
          </w:tcPr>
          <w:p w14:paraId="681DA9A5" w14:textId="77777777" w:rsidR="003D3C4B" w:rsidRDefault="001A413E">
            <w:pPr>
              <w:spacing w:after="0" w:line="240" w:lineRule="auto"/>
              <w:jc w:val="left"/>
            </w:pPr>
            <w:r>
              <w:rPr>
                <w:sz w:val="16"/>
              </w:rPr>
              <w:t>Ford</w:t>
            </w:r>
            <w:r>
              <w:rPr>
                <w:sz w:val="16"/>
              </w:rPr>
              <w:br/>
              <w:t>CY2024</w:t>
            </w:r>
          </w:p>
        </w:tc>
        <w:tc>
          <w:tcPr>
            <w:tcW w:w="1280" w:type="dxa"/>
            <w:shd w:val="clear" w:color="auto" w:fill="F5F7F9"/>
            <w:tcMar>
              <w:top w:w="90" w:type="dxa"/>
              <w:left w:w="100" w:type="dxa"/>
              <w:bottom w:w="90" w:type="dxa"/>
              <w:right w:w="100" w:type="dxa"/>
            </w:tcMar>
            <w:vAlign w:val="center"/>
          </w:tcPr>
          <w:p w14:paraId="55021421" w14:textId="77777777" w:rsidR="003D3C4B" w:rsidRDefault="001A413E">
            <w:pPr>
              <w:spacing w:after="0" w:line="240" w:lineRule="auto"/>
              <w:jc w:val="left"/>
            </w:pPr>
            <w:r>
              <w:rPr>
                <w:sz w:val="16"/>
              </w:rPr>
              <w:t>4.47m wholesales (approx.)</w:t>
            </w:r>
          </w:p>
        </w:tc>
        <w:tc>
          <w:tcPr>
            <w:tcW w:w="1550" w:type="dxa"/>
            <w:shd w:val="clear" w:color="auto" w:fill="F5F7F9"/>
            <w:tcMar>
              <w:top w:w="90" w:type="dxa"/>
              <w:left w:w="100" w:type="dxa"/>
              <w:bottom w:w="90" w:type="dxa"/>
              <w:right w:w="100" w:type="dxa"/>
            </w:tcMar>
            <w:vAlign w:val="center"/>
          </w:tcPr>
          <w:p w14:paraId="4BCB1320" w14:textId="77777777" w:rsidR="003D3C4B" w:rsidRDefault="001A413E">
            <w:pPr>
              <w:spacing w:after="0" w:line="240" w:lineRule="auto"/>
              <w:jc w:val="left"/>
            </w:pPr>
            <w:r>
              <w:rPr>
                <w:sz w:val="16"/>
              </w:rPr>
              <w:t>$185bn revenue; 5.5% adjusted EBIT margin</w:t>
            </w:r>
          </w:p>
        </w:tc>
        <w:tc>
          <w:tcPr>
            <w:tcW w:w="2500" w:type="dxa"/>
            <w:shd w:val="clear" w:color="auto" w:fill="F5F7F9"/>
            <w:tcMar>
              <w:top w:w="90" w:type="dxa"/>
              <w:left w:w="100" w:type="dxa"/>
              <w:bottom w:w="90" w:type="dxa"/>
              <w:right w:w="100" w:type="dxa"/>
            </w:tcMar>
            <w:vAlign w:val="center"/>
          </w:tcPr>
          <w:p w14:paraId="48A983FF" w14:textId="77777777" w:rsidR="003D3C4B" w:rsidRDefault="001A413E">
            <w:pPr>
              <w:spacing w:after="0" w:line="240" w:lineRule="auto"/>
              <w:jc w:val="left"/>
            </w:pPr>
            <w:r>
              <w:rPr>
                <w:sz w:val="16"/>
              </w:rPr>
              <w:t>Purpose-led but segment-accountable; entrepreneurial ‘skunkworks’ approach to EVs</w:t>
            </w:r>
          </w:p>
        </w:tc>
        <w:tc>
          <w:tcPr>
            <w:tcW w:w="2380" w:type="dxa"/>
            <w:shd w:val="clear" w:color="auto" w:fill="F5F7F9"/>
            <w:tcMar>
              <w:top w:w="90" w:type="dxa"/>
              <w:left w:w="100" w:type="dxa"/>
              <w:bottom w:w="90" w:type="dxa"/>
              <w:right w:w="100" w:type="dxa"/>
            </w:tcMar>
            <w:vAlign w:val="center"/>
          </w:tcPr>
          <w:p w14:paraId="2A39B185" w14:textId="77777777" w:rsidR="003D3C4B" w:rsidRDefault="001A413E">
            <w:pPr>
              <w:spacing w:after="0" w:line="240" w:lineRule="auto"/>
              <w:jc w:val="left"/>
            </w:pPr>
            <w:r>
              <w:rPr>
                <w:sz w:val="16"/>
              </w:rPr>
              <w:t>Clear business accountability helps exploration, but quality and cross-segment learning remain essential.</w:t>
            </w:r>
          </w:p>
        </w:tc>
      </w:tr>
      <w:tr w:rsidR="003D3C4B" w14:paraId="2112425C" w14:textId="77777777">
        <w:trPr>
          <w:jc w:val="center"/>
        </w:trPr>
        <w:tc>
          <w:tcPr>
            <w:tcW w:w="1350" w:type="dxa"/>
            <w:tcMar>
              <w:top w:w="90" w:type="dxa"/>
              <w:left w:w="100" w:type="dxa"/>
              <w:bottom w:w="90" w:type="dxa"/>
              <w:right w:w="100" w:type="dxa"/>
            </w:tcMar>
            <w:vAlign w:val="center"/>
          </w:tcPr>
          <w:p w14:paraId="1C9F8B04" w14:textId="77777777" w:rsidR="003D3C4B" w:rsidRDefault="001A413E">
            <w:pPr>
              <w:spacing w:after="0" w:line="240" w:lineRule="auto"/>
              <w:jc w:val="left"/>
            </w:pPr>
            <w:r>
              <w:rPr>
                <w:sz w:val="16"/>
              </w:rPr>
              <w:t>Hyundai Motor</w:t>
            </w:r>
            <w:r>
              <w:rPr>
                <w:sz w:val="16"/>
              </w:rPr>
              <w:br/>
              <w:t>CY2024</w:t>
            </w:r>
          </w:p>
        </w:tc>
        <w:tc>
          <w:tcPr>
            <w:tcW w:w="1280" w:type="dxa"/>
            <w:tcMar>
              <w:top w:w="90" w:type="dxa"/>
              <w:left w:w="100" w:type="dxa"/>
              <w:bottom w:w="90" w:type="dxa"/>
              <w:right w:w="100" w:type="dxa"/>
            </w:tcMar>
            <w:vAlign w:val="center"/>
          </w:tcPr>
          <w:p w14:paraId="2FA4CC28" w14:textId="77777777" w:rsidR="003D3C4B" w:rsidRDefault="001A413E">
            <w:pPr>
              <w:spacing w:after="0" w:line="240" w:lineRule="auto"/>
              <w:jc w:val="left"/>
            </w:pPr>
            <w:r>
              <w:rPr>
                <w:sz w:val="16"/>
              </w:rPr>
              <w:t>4.142m global sales</w:t>
            </w:r>
          </w:p>
        </w:tc>
        <w:tc>
          <w:tcPr>
            <w:tcW w:w="1550" w:type="dxa"/>
            <w:tcMar>
              <w:top w:w="90" w:type="dxa"/>
              <w:left w:w="100" w:type="dxa"/>
              <w:bottom w:w="90" w:type="dxa"/>
              <w:right w:w="100" w:type="dxa"/>
            </w:tcMar>
            <w:vAlign w:val="center"/>
          </w:tcPr>
          <w:p w14:paraId="6038F1BF" w14:textId="77777777" w:rsidR="003D3C4B" w:rsidRDefault="001A413E">
            <w:pPr>
              <w:spacing w:after="0" w:line="240" w:lineRule="auto"/>
              <w:jc w:val="left"/>
            </w:pPr>
            <w:r>
              <w:rPr>
                <w:sz w:val="16"/>
              </w:rPr>
              <w:t>KRW175.2tn revenue; c.8.1% operating margin</w:t>
            </w:r>
          </w:p>
        </w:tc>
        <w:tc>
          <w:tcPr>
            <w:tcW w:w="2500" w:type="dxa"/>
            <w:tcMar>
              <w:top w:w="90" w:type="dxa"/>
              <w:left w:w="100" w:type="dxa"/>
              <w:bottom w:w="90" w:type="dxa"/>
              <w:right w:w="100" w:type="dxa"/>
            </w:tcMar>
            <w:vAlign w:val="center"/>
          </w:tcPr>
          <w:p w14:paraId="039F16B7" w14:textId="77777777" w:rsidR="003D3C4B" w:rsidRDefault="001A413E">
            <w:pPr>
              <w:spacing w:after="0" w:line="240" w:lineRule="auto"/>
              <w:jc w:val="left"/>
            </w:pPr>
            <w:r>
              <w:rPr>
                <w:sz w:val="16"/>
              </w:rPr>
              <w:t>Fast, centrally coordinated execution; design and technology transformation</w:t>
            </w:r>
          </w:p>
        </w:tc>
        <w:tc>
          <w:tcPr>
            <w:tcW w:w="2380" w:type="dxa"/>
            <w:tcMar>
              <w:top w:w="90" w:type="dxa"/>
              <w:left w:w="100" w:type="dxa"/>
              <w:bottom w:w="90" w:type="dxa"/>
              <w:right w:w="100" w:type="dxa"/>
            </w:tcMar>
            <w:vAlign w:val="center"/>
          </w:tcPr>
          <w:p w14:paraId="0937144B" w14:textId="77777777" w:rsidR="003D3C4B" w:rsidRDefault="001A413E">
            <w:pPr>
              <w:spacing w:after="0" w:line="240" w:lineRule="auto"/>
              <w:jc w:val="left"/>
            </w:pPr>
            <w:r>
              <w:rPr>
                <w:sz w:val="16"/>
              </w:rPr>
              <w:t>Toyota should match decision speed without importing excessive top-down dependence.</w:t>
            </w:r>
          </w:p>
        </w:tc>
      </w:tr>
    </w:tbl>
    <w:p w14:paraId="54889757" w14:textId="77777777" w:rsidR="003D3C4B" w:rsidRDefault="001A413E">
      <w:pPr>
        <w:pStyle w:val="TableSource"/>
      </w:pPr>
      <w:r>
        <w:t>Sources: Toyota Motor Corporation (2025a); Volkswagen Group (2025); Honda Motor Co. (2025); Ford Motor Company (2025); Hyundai Motor Company (2025a, 2025b). Volumes are not strictly comparable because consolidation and reporting definitions differ.</w:t>
      </w:r>
    </w:p>
    <w:p w14:paraId="1722CF3B" w14:textId="77777777" w:rsidR="003D3C4B" w:rsidRDefault="001A413E">
      <w:pPr>
        <w:pStyle w:val="1"/>
      </w:pPr>
      <w:r>
        <w:t>8. Impact on Performance and Recommendations</w:t>
      </w:r>
    </w:p>
    <w:p w14:paraId="2D74D01E" w14:textId="77777777" w:rsidR="003D3C4B" w:rsidRDefault="001A413E">
      <w:r>
        <w:t>Culture affects performance through quality, cost, innovation, resilience and legitimacy. Toyota’s 10.0% FY2025 operating margin exceeded the comparable reported group margins of Volkswagen (5.9%), Honda (5.6%) and Ford’s adjusted 5.5%, and was above Hyundai’s approximately 8.1%. Its 9.362 million consolidated vehicle sales also demonstrate scale. The evidence is compatible with TPS lowering waste and strengthening mix, pricing and value-chain earnings. Toyota’s 4.732 million electrified sales show cultural</w:t>
      </w:r>
      <w:r>
        <w:t xml:space="preserve"> competence in scaling established hybrid technology. Nevertheless, causality is not singular: exchange rates, product mix, finance operations and geography matter, while the decline in Toyota’s margin from 11.9% to 10.0% shows that cultural strength does not eliminate market or governance costs.</w:t>
      </w:r>
    </w:p>
    <w:p w14:paraId="7560E5E3" w14:textId="77777777" w:rsidR="003D3C4B" w:rsidRDefault="001A413E">
      <w:r>
        <w:t>The benchmark exposes strategic trade-offs. Volkswagen’s multi-brand scale is close to Toyota’s but its divisional complexity can slow integration. Honda’s engineering autonomy encourages invention, although its automobile margin was only 1.7% within a stronger diversified group result. Ford’s segment accountability creates transparency and entrepreneurial focus, but EV losses and quality costs reveal coordination challenges. Hyundai’s faster, top-down execution supports design and electrification speed, ye</w:t>
      </w:r>
      <w:r>
        <w:t>t centralisation can constrain dissent. Toyota’s advantage remains reliable execution; its relative weakness is radical digital speed and diversity of voice.</w:t>
      </w:r>
    </w:p>
    <w:p w14:paraId="21603140" w14:textId="77777777" w:rsidR="003D3C4B" w:rsidRDefault="001A413E">
      <w:r>
        <w:t>Four theory-informed recommendations follow. First, institutionalise psychological safety as an operating control. Drawing on Edmondson (1999), Toyota should track speak-up climate, time from abnormality to escalation and retaliation concerns by unit; leaders should reward “red” status disclosed early. This extends jidoka from machines to governance.</w:t>
      </w:r>
    </w:p>
    <w:p w14:paraId="024E1A6D" w14:textId="77777777" w:rsidR="003D3C4B" w:rsidRDefault="001A413E">
      <w:r>
        <w:t>Second, create structural ambidexterity. Separate exploratory software, battery and mobility teams from core production metrics, give them faster funding gates and external talent, but reconnect them through chief engineers and safety standards (O’Reilly and Tushman, 2013). Measure validated learning and cycle time, not only kaizen savings.</w:t>
      </w:r>
    </w:p>
    <w:p w14:paraId="09588797" w14:textId="77777777" w:rsidR="003D3C4B" w:rsidRDefault="001A413E">
      <w:r>
        <w:t>Third, strengthen independent certification assurance. Preserve Toyota problem-solving in the first line, but empower the Global Chief Quality Officer and legal supervisors to stop programmes without product-line approval. Publish quarterly leading indicators: unresolved rule interpretations, audit closure time and workload-to-capacity ratios.</w:t>
      </w:r>
    </w:p>
    <w:p w14:paraId="245663FB" w14:textId="77777777" w:rsidR="003D3C4B" w:rsidRDefault="001A413E">
      <w:r>
        <w:t>Fourth, globalise leadership pipelines. Link executive evaluation to inclusion, cross-regional rotations and sponsorship outcomes. Raise the female-manager metric from 4.0% through transparent promotion slates and succession targets, while adapting nemawashi so remote and minority voices enter before consensus hardens. Together these actions retain Toyota’s clan–hierarchy strengths while adding adhocracy, independence and constructive dissent.</w:t>
      </w:r>
    </w:p>
    <w:p w14:paraId="21466087" w14:textId="77777777" w:rsidR="003D3C4B" w:rsidRDefault="001A413E">
      <w:r>
        <w:t>Implementation should follow Toyota’s own PDCA logic. Establish FY2027 baselines, pilot the four changes in one vehicle programme and one software unit, review results quarterly, and scale only practices that improve both speed and speak-up outcomes. Board oversight should examine trade-offs rather than a composite culture score. This prevents the recommendations from becoming another symbolic initiative and makes cultural change observable in decisions, resource capacity and escalation behaviour.</w:t>
      </w:r>
    </w:p>
    <w:p w14:paraId="23F1E928" w14:textId="77777777" w:rsidR="003D3C4B" w:rsidRDefault="001A413E">
      <w:pPr>
        <w:pStyle w:val="1"/>
      </w:pPr>
      <w:r>
        <w:t>9. Conclusion</w:t>
      </w:r>
    </w:p>
    <w:p w14:paraId="128A7804" w14:textId="77777777" w:rsidR="003D3C4B" w:rsidRDefault="001A413E">
      <w:r>
        <w:t>Toyota substantiates Mullins and Christy’s argument that culture permeates organisational life. The Toyota Way and TPS shape a networked structure, distribute routine problem-solving to the genba, coordinate major decisions through evidence and consensus, and align motivation with continuous improvement. Schein reveals strong alignment between values and operating artefacts; Hofstede explains contextual tendencies; Handy and the Competing Values Framework identify a prevailing clan–hierarchy hybrid. This cu</w:t>
      </w:r>
      <w:r>
        <w:t>lture has enabled scale, a 10.0% FY2025 operating margin and broad hybrid diffusion, while training, suggestions and coaching build non-financial capability. However, certification failures show that strong culture can suppress escalation and convert demanding standards into compliance theatre. Toyota’s culture is therefore an enabler, not an automatic safeguard. Its future effectiveness depends on psychological safety, independent assurance, structural ambidexterity and more diverse global leadership. Pres</w:t>
      </w:r>
      <w:r>
        <w:t>erving kaizen while creating protected space for dissent and discontinuous innovation would make Toyota’s culture more adaptive, ethical and performance-sustaining.</w:t>
      </w:r>
    </w:p>
    <w:p w14:paraId="652AF06E" w14:textId="77777777" w:rsidR="003D3C4B" w:rsidRDefault="001A413E">
      <w:pPr>
        <w:pStyle w:val="1"/>
        <w:pageBreakBefore/>
      </w:pPr>
      <w:r>
        <w:t>References</w:t>
      </w:r>
    </w:p>
    <w:p>
      <w:pPr>
        <w:spacing w:after="120"/>
      </w:pPr>
      <w:r>
        <w:t>Cameron, K.S. and Quinn, R.E. (2011) Diagnosing and Changing Organizational Culture. 3rd edn. San Francisco: Jossey-Bass.</w:t>
      </w:r>
    </w:p>
    <w:p>
      <w:pPr>
        <w:spacing w:after="120"/>
      </w:pPr>
      <w:r>
        <w:t>Edmondson, A.C. (1999) ‘Psychological safety and learning behavior in work teams’, Administrative Science Quarterly, 44(2), pp. 350–383.</w:t>
      </w:r>
    </w:p>
    <w:p>
      <w:pPr>
        <w:spacing w:after="120"/>
      </w:pPr>
      <w:r>
        <w:t>Handy, C. (1993) Understanding Organizations. 4th edn. London: Penguin.</w:t>
      </w:r>
    </w:p>
    <w:p>
      <w:pPr>
        <w:spacing w:after="120"/>
      </w:pPr>
      <w:r>
        <w:t>Hofstede, G., Hofstede, G.J. and Minkov, M. (2010) Cultures and Organizations: Software of the Mind. 3rd edn. New York: McGraw-Hill.</w:t>
      </w:r>
    </w:p>
    <w:p>
      <w:pPr>
        <w:spacing w:after="120"/>
      </w:pPr>
      <w:r>
        <w:t>Liker, J.K. (2004) The Toyota Way: 14 Management Principles from the World’s Greatest Manufacturer. New York: McGraw-Hill.</w:t>
      </w:r>
    </w:p>
    <w:p>
      <w:pPr>
        <w:spacing w:after="120"/>
      </w:pPr>
      <w:r>
        <w:t>Mullins, L.J. and Christy, G. (2016) Management and Organisational Behaviour. 11th edn. Harlow: Pearson.</w:t>
      </w:r>
    </w:p>
    <w:p>
      <w:pPr>
        <w:spacing w:after="120"/>
      </w:pPr>
      <w:r>
        <w:t>O’Reilly, C.A. and Tushman, M.L. (2013) ‘Organizational ambidexterity: past, present, and future’, Academy of Management Perspectives, 27(4), pp. 324–338.</w:t>
      </w:r>
    </w:p>
    <w:p>
      <w:pPr>
        <w:spacing w:after="120"/>
      </w:pPr>
      <w:r>
        <w:t>Schein, E.H. and Schein, P.A. (2017) Organizational Culture and Leadership. 5th edn. Hoboken, NJ: Wiley.</w:t>
      </w:r>
    </w:p>
    <w:p>
      <w:pPr>
        <w:spacing w:after="120"/>
      </w:pPr>
      <w:r>
        <w:t>Spear, S. and Bowen, H.K. (1999) ‘Decoding the DNA of the Toyota Production System’, Harvard Business Review, 77(5), pp. 96–106.</w:t>
      </w:r>
    </w:p>
    <w:p>
      <w:pPr>
        <w:spacing w:after="120"/>
      </w:pPr>
      <w:r>
        <w:t>Teece, D.J. (2007) ‘Explicating dynamic capabilities: the nature and microfoundations of (sustainable) enterprise performance’, Strategic Management Journal, 28(13), pp. 1319–1350.</w:t>
      </w:r>
    </w:p>
    <w:p>
      <w:pPr>
        <w:spacing w:after="120"/>
      </w:pPr>
      <w:r>
        <w:t>Toyota Motor Corporation (2024) Toyota Submits Report on Measures to Prevent Recurrence. Available at: https://global.toyota/en/newsroom/corporate/41363981.html (Accessed: 10 August 2026).</w:t>
      </w:r>
    </w:p>
    <w:p>
      <w:pPr>
        <w:spacing w:after="120"/>
      </w:pPr>
      <w:r>
        <w:t>Toyota Motor Corporation (2025) FY2025 Financial Results. Available at: https://global.toyota/en/ir/financial-results/ (Accessed: 10 August 2026).</w:t>
      </w:r>
    </w:p>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9A5CE" w14:textId="77777777" w:rsidR="001A413E" w:rsidRDefault="001A413E">
      <w:pPr>
        <w:spacing w:after="0" w:line="240" w:lineRule="auto"/>
      </w:pPr>
      <w:r>
        <w:separator/>
      </w:r>
    </w:p>
  </w:endnote>
  <w:endnote w:type="continuationSeparator" w:id="0">
    <w:p w14:paraId="25DB3711" w14:textId="77777777" w:rsidR="001A413E" w:rsidRDefault="001A41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B2FA1" w14:textId="77777777" w:rsidR="003D3C4B" w:rsidRDefault="001A413E">
    <w:pPr>
      <w:pStyle w:val="a7"/>
      <w:jc w:val="center"/>
    </w:pPr>
    <w:r>
      <w:rPr>
        <w:color w:val="5B6573"/>
        <w:sz w:val="17"/>
      </w:rPr>
      <w:t xml:space="preserve">LCLM5005   •   Yuliia Bublyk   •   </w:t>
    </w:r>
    <w:r>
      <w:rPr>
        <w:color w:val="5B6573"/>
        <w:sz w:val="18"/>
      </w:rPr>
      <w:fldChar w:fldCharType="begin"/>
    </w:r>
    <w:r>
      <w:rPr>
        <w:color w:val="5B6573"/>
        <w:sz w:val="18"/>
      </w:rPr>
      <w:instrText xml:space="preserve"> PAGE </w:instrText>
    </w:r>
    <w:r>
      <w:rPr>
        <w:color w:val="5B6573"/>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CBA91" w14:textId="77777777" w:rsidR="001A413E" w:rsidRDefault="001A413E">
      <w:pPr>
        <w:spacing w:after="0" w:line="240" w:lineRule="auto"/>
      </w:pPr>
      <w:r>
        <w:separator/>
      </w:r>
    </w:p>
  </w:footnote>
  <w:footnote w:type="continuationSeparator" w:id="0">
    <w:p w14:paraId="4FAFDEB8" w14:textId="77777777" w:rsidR="001A413E" w:rsidRDefault="001A41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E1D34" w14:textId="77777777" w:rsidR="003D3C4B" w:rsidRDefault="001A413E">
    <w:pPr>
      <w:pStyle w:val="a5"/>
      <w:jc w:val="right"/>
    </w:pPr>
    <w:r>
      <w:rPr>
        <w:b/>
        <w:color w:val="5B6573"/>
        <w:sz w:val="17"/>
      </w:rPr>
      <w:t>ORGANISATIONAL CULTURE  |  TOYOTA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73093251">
    <w:abstractNumId w:val="8"/>
  </w:num>
  <w:num w:numId="2" w16cid:durableId="1944067571">
    <w:abstractNumId w:val="6"/>
  </w:num>
  <w:num w:numId="3" w16cid:durableId="918829581">
    <w:abstractNumId w:val="5"/>
  </w:num>
  <w:num w:numId="4" w16cid:durableId="1336764479">
    <w:abstractNumId w:val="4"/>
  </w:num>
  <w:num w:numId="5" w16cid:durableId="1363507227">
    <w:abstractNumId w:val="7"/>
  </w:num>
  <w:num w:numId="6" w16cid:durableId="2145389510">
    <w:abstractNumId w:val="3"/>
  </w:num>
  <w:num w:numId="7" w16cid:durableId="221138908">
    <w:abstractNumId w:val="2"/>
  </w:num>
  <w:num w:numId="8" w16cid:durableId="1545631531">
    <w:abstractNumId w:val="1"/>
  </w:num>
  <w:num w:numId="9" w16cid:durableId="170681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7"/>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A413E"/>
    <w:rsid w:val="0029639D"/>
    <w:rsid w:val="00326F90"/>
    <w:rsid w:val="003D3C4B"/>
    <w:rsid w:val="004A395A"/>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8CE223"/>
  <w14:defaultImageDpi w14:val="300"/>
  <w15:docId w15:val="{C28C5738-7827-3841-A777-896160C45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spacing w:after="120"/>
      <w:jc w:val="both"/>
    </w:pPr>
    <w:rPr>
      <w:rFonts w:ascii="Arial" w:hAnsi="Arial"/>
      <w:color w:val="000000"/>
    </w:rPr>
  </w:style>
  <w:style w:type="paragraph" w:styleId="1">
    <w:name w:val="heading 1"/>
    <w:basedOn w:val="a1"/>
    <w:next w:val="a1"/>
    <w:link w:val="10"/>
    <w:uiPriority w:val="9"/>
    <w:qFormat/>
    <w:rsid w:val="00FC693F"/>
    <w:pPr>
      <w:keepNext/>
      <w:keepLines/>
      <w:spacing w:before="280" w:after="140"/>
      <w:outlineLvl w:val="0"/>
    </w:pPr>
    <w:rPr>
      <w:rFonts w:asciiTheme="majorHAnsi" w:eastAsiaTheme="majorEastAsia" w:hAnsiTheme="majorHAnsi" w:cstheme="majorBidi"/>
      <w:b/>
      <w:bCs/>
      <w:color w:val="17365D"/>
      <w:sz w:val="30"/>
      <w:szCs w:val="28"/>
    </w:rPr>
  </w:style>
  <w:style w:type="paragraph" w:styleId="21">
    <w:name w:val="heading 2"/>
    <w:basedOn w:val="a1"/>
    <w:next w:val="a1"/>
    <w:link w:val="22"/>
    <w:uiPriority w:val="9"/>
    <w:unhideWhenUsed/>
    <w:qFormat/>
    <w:rsid w:val="00FC693F"/>
    <w:pPr>
      <w:keepNext/>
      <w:keepLines/>
      <w:spacing w:before="200" w:after="100"/>
      <w:outlineLvl w:val="1"/>
    </w:pPr>
    <w:rPr>
      <w:rFonts w:asciiTheme="majorHAnsi" w:eastAsiaTheme="majorEastAsia" w:hAnsiTheme="majorHAnsi" w:cstheme="majorBidi"/>
      <w:b/>
      <w:bCs/>
      <w:color w:val="2F6F73"/>
      <w:sz w:val="25"/>
      <w:szCs w:val="26"/>
    </w:rPr>
  </w:style>
  <w:style w:type="paragraph" w:styleId="31">
    <w:name w:val="heading 3"/>
    <w:basedOn w:val="a1"/>
    <w:next w:val="a1"/>
    <w:link w:val="32"/>
    <w:uiPriority w:val="9"/>
    <w:unhideWhenUsed/>
    <w:qFormat/>
    <w:rsid w:val="00FC693F"/>
    <w:pPr>
      <w:keepNext/>
      <w:keepLines/>
      <w:spacing w:before="160" w:after="80"/>
      <w:outlineLvl w:val="2"/>
    </w:pPr>
    <w:rPr>
      <w:rFonts w:asciiTheme="majorHAnsi" w:eastAsiaTheme="majorEastAsia" w:hAnsiTheme="majorHAnsi" w:cstheme="majorBidi"/>
      <w:b/>
      <w:bCs/>
      <w:color w:val="17365D"/>
      <w:sz w:val="23"/>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ind w:left="360"/>
      <w:contextualSpacing/>
    </w:pPr>
  </w:style>
  <w:style w:type="paragraph" w:styleId="26">
    <w:name w:val="List Continue 2"/>
    <w:basedOn w:val="a1"/>
    <w:uiPriority w:val="99"/>
    <w:unhideWhenUsed/>
    <w:rsid w:val="0029639D"/>
    <w:pPr>
      <w:ind w:left="720"/>
      <w:contextualSpacing/>
    </w:pPr>
  </w:style>
  <w:style w:type="paragraph" w:styleId="36">
    <w:name w:val="List Continue 3"/>
    <w:basedOn w:val="a1"/>
    <w:uiPriority w:val="99"/>
    <w:unhideWhenUsed/>
    <w:rsid w:val="0029639D"/>
    <w:pPr>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Source">
    <w:name w:val="Table Source"/>
    <w:pPr>
      <w:spacing w:before="80" w:after="140" w:line="240" w:lineRule="auto"/>
    </w:pPr>
    <w:rPr>
      <w:rFonts w:ascii="Arial" w:hAnsi="Arial"/>
      <w:i/>
      <w:color w:val="5B6573"/>
      <w:sz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4378</Words>
  <Characters>24956</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29276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Culture at Toyota</dc:title>
  <dc:subject>LCLM5005 formal report</dc:subject>
  <dc:creator>Yuliia Bublyk</dc:creator>
  <cp:keywords>Toyota, organisational culture, TPS, kaizen, decision-making</cp:keywords>
  <dc:description>generated by python-docx</dc:description>
  <cp:lastModifiedBy>olegbublik1982@gmail.com</cp:lastModifiedBy>
  <cp:revision>2</cp:revision>
  <dcterms:created xsi:type="dcterms:W3CDTF">2026-08-10T16:01:00Z</dcterms:created>
  <dcterms:modified xsi:type="dcterms:W3CDTF">2026-08-10T16:01:00Z</dcterms:modified>
  <cp:category/>
</cp:coreProperties>
</file>