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E0262" w14:textId="77777777" w:rsidR="000E1E74" w:rsidRDefault="000E1E74">
      <w:r>
        <w:t>Literary review</w:t>
      </w:r>
      <w:r w:rsidR="004519D3">
        <w:t xml:space="preserve">: </w:t>
      </w:r>
      <w:r>
        <w:t>‘</w:t>
      </w:r>
      <w:r w:rsidR="00E47EBF">
        <w:t>The M</w:t>
      </w:r>
      <w:r>
        <w:t>yth of Pompeii:</w:t>
      </w:r>
      <w:r w:rsidR="00E47EBF">
        <w:t xml:space="preserve"> Fragments, Frescos and the Visual i</w:t>
      </w:r>
      <w:r>
        <w:t>magination’</w:t>
      </w:r>
      <w:r w:rsidR="00D53A8E">
        <w:t xml:space="preserve"> written by Rosemary J. Barrow </w:t>
      </w:r>
    </w:p>
    <w:p w14:paraId="72BE3AF9" w14:textId="77777777" w:rsidR="001F1BA1" w:rsidRDefault="001F1BA1"/>
    <w:p w14:paraId="06E94657" w14:textId="73CAC04E" w:rsidR="00ED7820" w:rsidRDefault="00E47EBF">
      <w:r>
        <w:t>T</w:t>
      </w:r>
      <w:r w:rsidR="0031757E">
        <w:t>he ‘</w:t>
      </w:r>
      <w:r w:rsidR="00D66269">
        <w:t>M</w:t>
      </w:r>
      <w:r w:rsidR="0031757E">
        <w:t>yth of Pompeii’</w:t>
      </w:r>
      <w:r w:rsidR="00F31672">
        <w:t xml:space="preserve"> is part of the collection </w:t>
      </w:r>
      <w:r w:rsidR="0031757E">
        <w:t>‘</w:t>
      </w:r>
      <w:r w:rsidR="00D66269">
        <w:t>A Companion to Roman Art’</w:t>
      </w:r>
      <w:r w:rsidR="00D47408">
        <w:t xml:space="preserve">, which is part of the larger collection of </w:t>
      </w:r>
      <w:r w:rsidR="00613CE4">
        <w:t xml:space="preserve">the </w:t>
      </w:r>
      <w:r w:rsidR="00D47408">
        <w:t xml:space="preserve">Blackwell </w:t>
      </w:r>
      <w:proofErr w:type="gramStart"/>
      <w:r w:rsidR="00D47408">
        <w:t>companions</w:t>
      </w:r>
      <w:proofErr w:type="gramEnd"/>
      <w:r w:rsidR="00D47408">
        <w:t xml:space="preserve"> </w:t>
      </w:r>
      <w:r w:rsidR="00613CE4">
        <w:t xml:space="preserve">series </w:t>
      </w:r>
      <w:r w:rsidR="00D47408">
        <w:t>which cover a range of wide but specific topics</w:t>
      </w:r>
      <w:r w:rsidR="00154360">
        <w:t>.</w:t>
      </w:r>
      <w:r w:rsidR="00B64E29">
        <w:t xml:space="preserve"> The article is wri</w:t>
      </w:r>
      <w:r w:rsidR="00747ABF">
        <w:t xml:space="preserve">tten by Rosemary J. Barrow, </w:t>
      </w:r>
      <w:r w:rsidR="00613CE4">
        <w:t xml:space="preserve">who was </w:t>
      </w:r>
      <w:r w:rsidR="00747ABF">
        <w:t>professor of art history and classical reception studies at Roehampton university. Barrow introduces her article very clearly in the introduction and considers and covers the valuable role Pompeii plays in the modern wor</w:t>
      </w:r>
      <w:r w:rsidR="0012410B">
        <w:t>ld and its many interpretations; notably m</w:t>
      </w:r>
      <w:r w:rsidR="005E7BD0">
        <w:t xml:space="preserve">entioning popular works such as the ‘up Pompeii!’ movie released in 1970 and Robert Harris’s </w:t>
      </w:r>
      <w:r w:rsidR="00613CE4">
        <w:t xml:space="preserve">fictional </w:t>
      </w:r>
      <w:r w:rsidR="005E7BD0">
        <w:t>novel ‘Pompeii’</w:t>
      </w:r>
      <w:r w:rsidR="00D93FFB">
        <w:t>.</w:t>
      </w:r>
      <w:r w:rsidR="000448BE">
        <w:t xml:space="preserve"> </w:t>
      </w:r>
      <w:r w:rsidR="00D93FFB">
        <w:t xml:space="preserve">The </w:t>
      </w:r>
      <w:r w:rsidR="008946D5">
        <w:t>introduction</w:t>
      </w:r>
      <w:r w:rsidR="00613CE4">
        <w:t xml:space="preserve"> </w:t>
      </w:r>
      <w:r w:rsidR="00D93FFB">
        <w:t xml:space="preserve">clearly </w:t>
      </w:r>
      <w:r w:rsidR="005910F5">
        <w:t xml:space="preserve">states the focus of the article, the reception of </w:t>
      </w:r>
      <w:r w:rsidR="008B36BF">
        <w:t>Pompeiian</w:t>
      </w:r>
      <w:r w:rsidR="005910F5">
        <w:t xml:space="preserve"> wall paintings</w:t>
      </w:r>
      <w:r w:rsidR="004A2A10">
        <w:t xml:space="preserve"> and the reimagining of antiquity by successive generations. Barrow uses four vis</w:t>
      </w:r>
      <w:r w:rsidR="00E84DCF">
        <w:t>ual case studies in her exploration of her topic</w:t>
      </w:r>
      <w:r w:rsidR="0042583F">
        <w:t xml:space="preserve"> which provides the reader with clear evidence </w:t>
      </w:r>
      <w:r w:rsidR="00F51591">
        <w:t>and context to the article</w:t>
      </w:r>
      <w:r w:rsidR="00C462C3">
        <w:t xml:space="preserve"> which gives much further </w:t>
      </w:r>
      <w:r w:rsidR="00126B02">
        <w:t>explanation</w:t>
      </w:r>
      <w:r w:rsidR="00C462C3">
        <w:t xml:space="preserve"> on the title of the piece</w:t>
      </w:r>
      <w:r w:rsidR="00ED7820">
        <w:t xml:space="preserve">. </w:t>
      </w:r>
    </w:p>
    <w:p w14:paraId="3E3C3007" w14:textId="77777777" w:rsidR="000448BE" w:rsidRDefault="000448BE"/>
    <w:p w14:paraId="260B4DC4" w14:textId="5208CB03" w:rsidR="002467CF" w:rsidRDefault="000448BE">
      <w:r>
        <w:t xml:space="preserve">The article frequently uses evidence </w:t>
      </w:r>
      <w:r w:rsidR="00B71F4C">
        <w:t xml:space="preserve">for its points, both in the form of primary sources and archaeological. These are however not </w:t>
      </w:r>
      <w:r w:rsidR="0029195F">
        <w:t>referenced</w:t>
      </w:r>
      <w:r w:rsidR="00B71F4C">
        <w:t xml:space="preserve"> in text, and are only found at the very end of the text making it hard for a reader to use this article</w:t>
      </w:r>
      <w:r w:rsidR="00613CE4">
        <w:t xml:space="preserve"> as a reference point </w:t>
      </w:r>
      <w:proofErr w:type="gramStart"/>
      <w:r w:rsidR="00613CE4">
        <w:t>in itself and</w:t>
      </w:r>
      <w:proofErr w:type="gramEnd"/>
      <w:r w:rsidR="00B71F4C">
        <w:t xml:space="preserve"> to make easy use of the information </w:t>
      </w:r>
      <w:r w:rsidR="00EC13D8">
        <w:t>provided</w:t>
      </w:r>
      <w:r w:rsidR="00BF3D51">
        <w:t xml:space="preserve">. </w:t>
      </w:r>
      <w:r w:rsidR="002467CF">
        <w:t xml:space="preserve">For </w:t>
      </w:r>
      <w:proofErr w:type="gramStart"/>
      <w:r w:rsidR="002467CF">
        <w:t>example</w:t>
      </w:r>
      <w:proofErr w:type="gramEnd"/>
      <w:r w:rsidR="002467CF">
        <w:t xml:space="preserve"> </w:t>
      </w:r>
      <w:r w:rsidR="00527053">
        <w:t xml:space="preserve">Burrows </w:t>
      </w:r>
      <w:r w:rsidR="002467CF">
        <w:t xml:space="preserve">discussion of the rediscoveries of Pompeii and </w:t>
      </w:r>
      <w:r w:rsidR="00527053">
        <w:t>Herculaneum</w:t>
      </w:r>
      <w:r w:rsidR="002467CF">
        <w:t xml:space="preserve"> offers the use of </w:t>
      </w:r>
      <w:r w:rsidR="00527053">
        <w:t>archaeological evidence and also addresses the issues classists face regarding remakes of the ancient works – that these works were contextually (18</w:t>
      </w:r>
      <w:r w:rsidR="00527053" w:rsidRPr="00527053">
        <w:rPr>
          <w:vertAlign w:val="superscript"/>
        </w:rPr>
        <w:t>th</w:t>
      </w:r>
      <w:r w:rsidR="00527053">
        <w:t xml:space="preserve"> C) were considered to be of better artistic integrity than the or</w:t>
      </w:r>
      <w:r w:rsidR="00613CE4">
        <w:t>iginals which were seen as dull.</w:t>
      </w:r>
      <w:r w:rsidR="00527053">
        <w:t xml:space="preserve"> Burrows notes that with the ‘enhancement’ being the focus of the endeavour, and not with the preservation of ancient art, Burrows makes an </w:t>
      </w:r>
      <w:r w:rsidR="00613CE4">
        <w:t>ever-valid</w:t>
      </w:r>
      <w:r w:rsidR="00527053">
        <w:t xml:space="preserve"> comment on the modern emphasis of the sustainability of ancient art</w:t>
      </w:r>
      <w:r w:rsidR="00613CE4">
        <w:t xml:space="preserve">. The author </w:t>
      </w:r>
      <w:r w:rsidR="00484D2F">
        <w:t>later in the piece discusses the alteration of the original works, by changing the pieces she notes</w:t>
      </w:r>
      <w:r w:rsidR="00613CE4">
        <w:t xml:space="preserve">, </w:t>
      </w:r>
      <w:r w:rsidR="00484D2F">
        <w:t xml:space="preserve">throughout the wider scale of the essay that the artist projects their own interpretation onto the newly ‘enhanced’ fresco, often this would correlate with other popular or fashionable styles at the time. </w:t>
      </w:r>
      <w:r w:rsidR="00BF3D51">
        <w:t xml:space="preserve">The primary sources however are quite easy to make use of as the quotes are set </w:t>
      </w:r>
      <w:r w:rsidR="00B83425">
        <w:t>aside</w:t>
      </w:r>
      <w:r w:rsidR="00BF3D51">
        <w:t xml:space="preserve"> in separate paragraphs in a slightly smaller font size which serves only to highlight the intended text and make it easily noticeable, the </w:t>
      </w:r>
      <w:r w:rsidR="00B83425">
        <w:t>reference</w:t>
      </w:r>
      <w:r w:rsidR="00676FA2">
        <w:t xml:space="preserve"> for these quotes are at the</w:t>
      </w:r>
      <w:r w:rsidR="00B83425">
        <w:t xml:space="preserve"> bottom of the quote itself which makes the reference easily usable in one’s own work</w:t>
      </w:r>
      <w:r w:rsidR="00613CE4">
        <w:t xml:space="preserve"> if this is in fact the purpose of the reader, if being read for pleasure makes an easy link to further reading on the topic</w:t>
      </w:r>
      <w:r w:rsidR="00B83425">
        <w:t xml:space="preserve">. </w:t>
      </w:r>
      <w:r w:rsidR="002467CF">
        <w:t xml:space="preserve"> </w:t>
      </w:r>
    </w:p>
    <w:p w14:paraId="1AB32E26" w14:textId="77777777" w:rsidR="00527053" w:rsidRDefault="00527053"/>
    <w:p w14:paraId="66FE2864" w14:textId="6CF6A719" w:rsidR="00672E6F" w:rsidRDefault="00672E6F">
      <w:r>
        <w:t>I find the case studies to be too many in number and that perhaps a more focused</w:t>
      </w:r>
      <w:r w:rsidR="00613CE4">
        <w:t xml:space="preserve"> take on the regimentation</w:t>
      </w:r>
      <w:r w:rsidR="00FA5834">
        <w:t xml:space="preserve"> of art</w:t>
      </w:r>
      <w:r>
        <w:t xml:space="preserve"> </w:t>
      </w:r>
      <w:r w:rsidR="00C15600">
        <w:t xml:space="preserve">and </w:t>
      </w:r>
      <w:r w:rsidR="00FA5834">
        <w:t xml:space="preserve">I also feel more relevant art works would have proved Burrows point better, and that those of more vague or lesser roman influence would have been better left out as they do nothing other than potentially disprove Burrows main point. The case studies of clearer connections such as that of Alma-Tadema and Fellini could have been </w:t>
      </w:r>
      <w:r w:rsidR="00F03CDE">
        <w:t xml:space="preserve">of more in depth and would perhaps </w:t>
      </w:r>
      <w:r w:rsidR="00613CE4">
        <w:t>have</w:t>
      </w:r>
      <w:r w:rsidR="00F03CDE">
        <w:t xml:space="preserve"> allowed the author to provide a clearer conclusion to their point.</w:t>
      </w:r>
    </w:p>
    <w:p w14:paraId="3F607432" w14:textId="77777777" w:rsidR="00672E6F" w:rsidRDefault="00672E6F"/>
    <w:p w14:paraId="72568345" w14:textId="77777777" w:rsidR="00527053" w:rsidRDefault="00D66DC5">
      <w:r>
        <w:t>Just like the larger companion the article is part of</w:t>
      </w:r>
      <w:r w:rsidR="00817172">
        <w:t>,</w:t>
      </w:r>
      <w:r>
        <w:t xml:space="preserve"> there is no conclusion to this piece </w:t>
      </w:r>
      <w:r w:rsidR="00817172">
        <w:t>which to me</w:t>
      </w:r>
      <w:r w:rsidR="00484D2F">
        <w:t>,</w:t>
      </w:r>
      <w:r w:rsidR="00817172">
        <w:t xml:space="preserve"> leaves a slightly hollow gap to any article</w:t>
      </w:r>
      <w:r w:rsidR="00B57080">
        <w:t>, especially one of this length. This missing and incredibly crucial piece of the article creates a lack of closure and more importantly</w:t>
      </w:r>
      <w:r w:rsidR="00D704DD">
        <w:t xml:space="preserve"> leaves the article lacking a connection to the </w:t>
      </w:r>
      <w:r w:rsidR="0004247D">
        <w:t>piece’s</w:t>
      </w:r>
      <w:r w:rsidR="00D704DD">
        <w:t xml:space="preserve"> larger context, and the </w:t>
      </w:r>
      <w:r w:rsidR="004617BD">
        <w:t xml:space="preserve">wider discussion </w:t>
      </w:r>
      <w:r w:rsidR="004617BD">
        <w:lastRenderedPageBreak/>
        <w:t xml:space="preserve">this brings. </w:t>
      </w:r>
      <w:r w:rsidR="002666E8">
        <w:t>This said</w:t>
      </w:r>
      <w:r w:rsidR="0004247D">
        <w:t>,</w:t>
      </w:r>
      <w:r w:rsidR="002666E8">
        <w:t xml:space="preserve"> each of the case studies Burrow </w:t>
      </w:r>
      <w:r w:rsidR="0004247D">
        <w:t xml:space="preserve">has used is presented with a clear introductory and contextual paragraph and is concluded with a statement </w:t>
      </w:r>
      <w:r w:rsidR="00903262">
        <w:t>that ends the case study with a sense of finality and relates to the study on a wider context.</w:t>
      </w:r>
    </w:p>
    <w:p w14:paraId="7BF6D77D" w14:textId="77777777" w:rsidR="001920BD" w:rsidRDefault="001920BD"/>
    <w:p w14:paraId="47B5C621" w14:textId="77777777" w:rsidR="001920BD" w:rsidRDefault="001920BD">
      <w:bookmarkStart w:id="0" w:name="_GoBack"/>
      <w:bookmarkEnd w:id="0"/>
    </w:p>
    <w:sectPr w:rsidR="001920BD" w:rsidSect="00E0240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E74"/>
    <w:rsid w:val="0004247D"/>
    <w:rsid w:val="000448BE"/>
    <w:rsid w:val="000E1E74"/>
    <w:rsid w:val="0012410B"/>
    <w:rsid w:val="00126B02"/>
    <w:rsid w:val="00154360"/>
    <w:rsid w:val="00165354"/>
    <w:rsid w:val="001920BD"/>
    <w:rsid w:val="001F1BA1"/>
    <w:rsid w:val="002467CF"/>
    <w:rsid w:val="002666E8"/>
    <w:rsid w:val="0029195F"/>
    <w:rsid w:val="0031757E"/>
    <w:rsid w:val="0042583F"/>
    <w:rsid w:val="004519D3"/>
    <w:rsid w:val="004617BD"/>
    <w:rsid w:val="00484D2F"/>
    <w:rsid w:val="004A2A10"/>
    <w:rsid w:val="004E7F28"/>
    <w:rsid w:val="004F4041"/>
    <w:rsid w:val="00527053"/>
    <w:rsid w:val="005910F5"/>
    <w:rsid w:val="005E7BD0"/>
    <w:rsid w:val="00613CE4"/>
    <w:rsid w:val="00672E6F"/>
    <w:rsid w:val="00676FA2"/>
    <w:rsid w:val="00747ABF"/>
    <w:rsid w:val="00817172"/>
    <w:rsid w:val="008946D5"/>
    <w:rsid w:val="008B36BF"/>
    <w:rsid w:val="00903262"/>
    <w:rsid w:val="00946D41"/>
    <w:rsid w:val="00A0789E"/>
    <w:rsid w:val="00B43167"/>
    <w:rsid w:val="00B57080"/>
    <w:rsid w:val="00B64E29"/>
    <w:rsid w:val="00B71F4C"/>
    <w:rsid w:val="00B83425"/>
    <w:rsid w:val="00BC2A2F"/>
    <w:rsid w:val="00BF3D51"/>
    <w:rsid w:val="00C15600"/>
    <w:rsid w:val="00C462C3"/>
    <w:rsid w:val="00D47408"/>
    <w:rsid w:val="00D53A8E"/>
    <w:rsid w:val="00D66269"/>
    <w:rsid w:val="00D66DC5"/>
    <w:rsid w:val="00D704DD"/>
    <w:rsid w:val="00D93FFB"/>
    <w:rsid w:val="00E02405"/>
    <w:rsid w:val="00E47EBF"/>
    <w:rsid w:val="00E84DCF"/>
    <w:rsid w:val="00EB7D3A"/>
    <w:rsid w:val="00EC13D8"/>
    <w:rsid w:val="00ED7820"/>
    <w:rsid w:val="00F03CDE"/>
    <w:rsid w:val="00F31672"/>
    <w:rsid w:val="00F51591"/>
    <w:rsid w:val="00FA583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1AA9E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2</Pages>
  <Words>597</Words>
  <Characters>3406</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2</cp:revision>
  <dcterms:created xsi:type="dcterms:W3CDTF">2017-12-04T20:49:00Z</dcterms:created>
  <dcterms:modified xsi:type="dcterms:W3CDTF">2017-12-05T10:28:00Z</dcterms:modified>
</cp:coreProperties>
</file>