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721DB5" w14:textId="77777777" w:rsidR="00DA10A8" w:rsidRDefault="00DA10A8">
      <w:pPr>
        <w:widowControl w:val="0"/>
        <w:pBdr>
          <w:top w:val="nil"/>
          <w:left w:val="nil"/>
          <w:bottom w:val="nil"/>
          <w:right w:val="nil"/>
          <w:between w:val="nil"/>
        </w:pBdr>
        <w:spacing w:after="0"/>
        <w:rPr>
          <w:rFonts w:ascii="Arial" w:eastAsia="Arial" w:hAnsi="Arial" w:cs="Arial"/>
          <w:color w:val="000000"/>
        </w:rPr>
      </w:pPr>
    </w:p>
    <w:tbl>
      <w:tblPr>
        <w:tblStyle w:val="a"/>
        <w:tblW w:w="9576" w:type="dxa"/>
        <w:jc w:val="center"/>
        <w:tblLayout w:type="fixed"/>
        <w:tblLook w:val="0400" w:firstRow="0" w:lastRow="0" w:firstColumn="0" w:lastColumn="0" w:noHBand="0" w:noVBand="1"/>
      </w:tblPr>
      <w:tblGrid>
        <w:gridCol w:w="9576"/>
      </w:tblGrid>
      <w:tr w:rsidR="00DA10A8" w14:paraId="19AF06BD" w14:textId="77777777">
        <w:trPr>
          <w:trHeight w:val="2880"/>
          <w:jc w:val="center"/>
        </w:trPr>
        <w:tc>
          <w:tcPr>
            <w:tcW w:w="9576" w:type="dxa"/>
          </w:tcPr>
          <w:p w14:paraId="2DEA89A3" w14:textId="77777777" w:rsidR="00DA10A8" w:rsidRDefault="00DA10A8">
            <w:pPr>
              <w:pBdr>
                <w:top w:val="nil"/>
                <w:left w:val="nil"/>
                <w:bottom w:val="nil"/>
                <w:right w:val="nil"/>
                <w:between w:val="nil"/>
              </w:pBdr>
              <w:spacing w:after="0" w:line="240" w:lineRule="auto"/>
              <w:jc w:val="center"/>
              <w:rPr>
                <w:rFonts w:ascii="Cambria" w:eastAsia="Cambria" w:hAnsi="Cambria" w:cs="Cambria"/>
                <w:smallCaps/>
                <w:color w:val="000000"/>
              </w:rPr>
            </w:pPr>
          </w:p>
        </w:tc>
      </w:tr>
      <w:tr w:rsidR="00DA10A8" w14:paraId="6B15FBA0" w14:textId="77777777">
        <w:trPr>
          <w:trHeight w:val="1440"/>
          <w:jc w:val="center"/>
        </w:trPr>
        <w:tc>
          <w:tcPr>
            <w:tcW w:w="9576" w:type="dxa"/>
            <w:tcBorders>
              <w:bottom w:val="single" w:sz="4" w:space="0" w:color="4F81BD"/>
            </w:tcBorders>
            <w:vAlign w:val="center"/>
          </w:tcPr>
          <w:p w14:paraId="6AA22FF0" w14:textId="77777777" w:rsidR="00DA10A8" w:rsidRDefault="00000000">
            <w:pPr>
              <w:pBdr>
                <w:top w:val="nil"/>
                <w:left w:val="nil"/>
                <w:bottom w:val="nil"/>
                <w:right w:val="nil"/>
                <w:between w:val="nil"/>
              </w:pBdr>
              <w:spacing w:after="0" w:line="240" w:lineRule="auto"/>
              <w:jc w:val="center"/>
              <w:rPr>
                <w:rFonts w:ascii="Cambria" w:eastAsia="Cambria" w:hAnsi="Cambria" w:cs="Cambria"/>
                <w:color w:val="000000"/>
                <w:sz w:val="80"/>
                <w:szCs w:val="80"/>
              </w:rPr>
            </w:pPr>
            <w:bookmarkStart w:id="0" w:name="_Hlk194269290"/>
            <w:r>
              <w:rPr>
                <w:b/>
                <w:color w:val="000000"/>
                <w:sz w:val="48"/>
                <w:szCs w:val="48"/>
              </w:rPr>
              <w:t>Critically Reflecting on Methods of Quality Assurance in Early Years Education</w:t>
            </w:r>
          </w:p>
        </w:tc>
      </w:tr>
      <w:tr w:rsidR="00DA10A8" w14:paraId="083B0D02" w14:textId="77777777">
        <w:trPr>
          <w:trHeight w:val="720"/>
          <w:jc w:val="center"/>
        </w:trPr>
        <w:tc>
          <w:tcPr>
            <w:tcW w:w="9576" w:type="dxa"/>
            <w:tcBorders>
              <w:top w:val="single" w:sz="4" w:space="0" w:color="4F81BD"/>
            </w:tcBorders>
            <w:vAlign w:val="center"/>
          </w:tcPr>
          <w:p w14:paraId="4563297A" w14:textId="77777777" w:rsidR="00DA10A8" w:rsidRDefault="00000000">
            <w:pPr>
              <w:pBdr>
                <w:top w:val="nil"/>
                <w:left w:val="nil"/>
                <w:bottom w:val="nil"/>
                <w:right w:val="nil"/>
                <w:between w:val="nil"/>
              </w:pBdr>
              <w:spacing w:after="0" w:line="240" w:lineRule="auto"/>
              <w:jc w:val="center"/>
              <w:rPr>
                <w:color w:val="000000"/>
                <w:sz w:val="32"/>
                <w:szCs w:val="32"/>
              </w:rPr>
            </w:pPr>
            <w:r>
              <w:rPr>
                <w:color w:val="000000"/>
                <w:sz w:val="32"/>
                <w:szCs w:val="32"/>
              </w:rPr>
              <w:t>Part 2 – Reflective Report</w:t>
            </w:r>
          </w:p>
        </w:tc>
      </w:tr>
      <w:bookmarkEnd w:id="0"/>
      <w:tr w:rsidR="00DA10A8" w14:paraId="1E81B48A" w14:textId="77777777">
        <w:trPr>
          <w:trHeight w:val="360"/>
          <w:jc w:val="center"/>
        </w:trPr>
        <w:tc>
          <w:tcPr>
            <w:tcW w:w="9576" w:type="dxa"/>
            <w:vAlign w:val="center"/>
          </w:tcPr>
          <w:p w14:paraId="5C6EB77A" w14:textId="77777777" w:rsidR="00DA10A8" w:rsidRDefault="00DA10A8">
            <w:pPr>
              <w:pBdr>
                <w:top w:val="nil"/>
                <w:left w:val="nil"/>
                <w:bottom w:val="nil"/>
                <w:right w:val="nil"/>
                <w:between w:val="nil"/>
              </w:pBdr>
              <w:spacing w:after="0" w:line="240" w:lineRule="auto"/>
              <w:jc w:val="center"/>
              <w:rPr>
                <w:color w:val="000000"/>
              </w:rPr>
            </w:pPr>
          </w:p>
        </w:tc>
      </w:tr>
      <w:tr w:rsidR="00DA10A8" w14:paraId="6F0844F3" w14:textId="77777777">
        <w:trPr>
          <w:trHeight w:val="360"/>
          <w:jc w:val="center"/>
        </w:trPr>
        <w:tc>
          <w:tcPr>
            <w:tcW w:w="9576" w:type="dxa"/>
            <w:vAlign w:val="center"/>
          </w:tcPr>
          <w:p w14:paraId="70F7D737" w14:textId="77777777" w:rsidR="00DA10A8" w:rsidRDefault="00DA10A8">
            <w:pPr>
              <w:pBdr>
                <w:top w:val="nil"/>
                <w:left w:val="nil"/>
                <w:bottom w:val="nil"/>
                <w:right w:val="nil"/>
                <w:between w:val="nil"/>
              </w:pBdr>
              <w:spacing w:after="0" w:line="240" w:lineRule="auto"/>
              <w:jc w:val="center"/>
              <w:rPr>
                <w:b/>
                <w:color w:val="000000"/>
              </w:rPr>
            </w:pPr>
          </w:p>
        </w:tc>
      </w:tr>
      <w:tr w:rsidR="00DA10A8" w14:paraId="0499A05A" w14:textId="77777777">
        <w:trPr>
          <w:trHeight w:val="360"/>
          <w:jc w:val="center"/>
        </w:trPr>
        <w:tc>
          <w:tcPr>
            <w:tcW w:w="9576" w:type="dxa"/>
            <w:vAlign w:val="center"/>
          </w:tcPr>
          <w:p w14:paraId="2B4A14BE" w14:textId="77777777" w:rsidR="00DA10A8" w:rsidRDefault="00DA10A8">
            <w:pPr>
              <w:pBdr>
                <w:top w:val="nil"/>
                <w:left w:val="nil"/>
                <w:bottom w:val="nil"/>
                <w:right w:val="nil"/>
                <w:between w:val="nil"/>
              </w:pBdr>
              <w:spacing w:after="0" w:line="240" w:lineRule="auto"/>
              <w:jc w:val="center"/>
              <w:rPr>
                <w:b/>
                <w:color w:val="000000"/>
              </w:rPr>
            </w:pPr>
          </w:p>
          <w:p w14:paraId="540A773E" w14:textId="77777777" w:rsidR="00DA10A8" w:rsidRDefault="00DA10A8">
            <w:pPr>
              <w:pBdr>
                <w:top w:val="nil"/>
                <w:left w:val="nil"/>
                <w:bottom w:val="nil"/>
                <w:right w:val="nil"/>
                <w:between w:val="nil"/>
              </w:pBdr>
              <w:spacing w:after="0" w:line="240" w:lineRule="auto"/>
              <w:jc w:val="center"/>
              <w:rPr>
                <w:b/>
                <w:color w:val="000000"/>
              </w:rPr>
            </w:pPr>
          </w:p>
          <w:p w14:paraId="308D6489" w14:textId="77777777" w:rsidR="00DA10A8" w:rsidRDefault="00DA10A8">
            <w:pPr>
              <w:pBdr>
                <w:top w:val="nil"/>
                <w:left w:val="nil"/>
                <w:bottom w:val="nil"/>
                <w:right w:val="nil"/>
                <w:between w:val="nil"/>
              </w:pBdr>
              <w:spacing w:after="0" w:line="240" w:lineRule="auto"/>
              <w:jc w:val="center"/>
              <w:rPr>
                <w:b/>
                <w:color w:val="000000"/>
              </w:rPr>
            </w:pPr>
          </w:p>
          <w:p w14:paraId="3B569B89" w14:textId="77777777" w:rsidR="00DA10A8" w:rsidRDefault="00DA10A8" w:rsidP="00847D8B">
            <w:pPr>
              <w:pBdr>
                <w:top w:val="nil"/>
                <w:left w:val="nil"/>
                <w:bottom w:val="nil"/>
                <w:right w:val="nil"/>
                <w:between w:val="nil"/>
              </w:pBdr>
              <w:spacing w:after="0" w:line="240" w:lineRule="auto"/>
              <w:rPr>
                <w:b/>
                <w:color w:val="000000"/>
              </w:rPr>
            </w:pPr>
          </w:p>
        </w:tc>
      </w:tr>
    </w:tbl>
    <w:p w14:paraId="14A95E69" w14:textId="77777777" w:rsidR="00DA10A8" w:rsidRDefault="00DA10A8"/>
    <w:p w14:paraId="4097A116" w14:textId="77777777" w:rsidR="00DA10A8" w:rsidRDefault="00DA10A8"/>
    <w:tbl>
      <w:tblPr>
        <w:tblStyle w:val="a0"/>
        <w:tblpPr w:leftFromText="187" w:rightFromText="187" w:vertAnchor="page" w:horzAnchor="margin" w:tblpXSpec="center" w:tblpYSpec="bottom"/>
        <w:tblW w:w="9576" w:type="dxa"/>
        <w:tblLayout w:type="fixed"/>
        <w:tblLook w:val="0400" w:firstRow="0" w:lastRow="0" w:firstColumn="0" w:lastColumn="0" w:noHBand="0" w:noVBand="1"/>
      </w:tblPr>
      <w:tblGrid>
        <w:gridCol w:w="9576"/>
      </w:tblGrid>
      <w:tr w:rsidR="00DA10A8" w14:paraId="1B05B2FD" w14:textId="77777777">
        <w:tc>
          <w:tcPr>
            <w:tcW w:w="9576" w:type="dxa"/>
          </w:tcPr>
          <w:p w14:paraId="140B92A6" w14:textId="77777777" w:rsidR="00DA10A8" w:rsidRDefault="00DA10A8">
            <w:pPr>
              <w:pBdr>
                <w:top w:val="nil"/>
                <w:left w:val="nil"/>
                <w:bottom w:val="nil"/>
                <w:right w:val="nil"/>
                <w:between w:val="nil"/>
              </w:pBdr>
              <w:spacing w:after="0" w:line="240" w:lineRule="auto"/>
              <w:rPr>
                <w:color w:val="000000"/>
              </w:rPr>
            </w:pPr>
          </w:p>
        </w:tc>
      </w:tr>
    </w:tbl>
    <w:p w14:paraId="44B04EBB" w14:textId="77777777" w:rsidR="00DA10A8" w:rsidRDefault="00DA10A8"/>
    <w:p w14:paraId="3AC925F7" w14:textId="77777777" w:rsidR="00DA10A8" w:rsidRDefault="00000000">
      <w:pPr>
        <w:rPr>
          <w:smallCaps/>
          <w:color w:val="0000FF"/>
          <w:u w:val="single"/>
        </w:rPr>
      </w:pPr>
      <w:r>
        <w:br w:type="page"/>
      </w:r>
    </w:p>
    <w:p w14:paraId="51C239E3" w14:textId="77777777" w:rsidR="00DA10A8" w:rsidRDefault="00000000">
      <w:pPr>
        <w:pStyle w:val="Heading1"/>
        <w:spacing w:before="0" w:after="240"/>
        <w:jc w:val="center"/>
        <w:rPr>
          <w:sz w:val="32"/>
          <w:szCs w:val="32"/>
        </w:rPr>
      </w:pPr>
      <w:r>
        <w:rPr>
          <w:sz w:val="32"/>
          <w:szCs w:val="32"/>
        </w:rPr>
        <w:lastRenderedPageBreak/>
        <w:t>TABLE OF CONTENT</w:t>
      </w:r>
    </w:p>
    <w:sdt>
      <w:sdtPr>
        <w:rPr>
          <w:rFonts w:ascii="Cambria" w:eastAsia="Cambria" w:hAnsi="Cambria" w:cs="Cambria"/>
          <w:b/>
          <w:color w:val="366091"/>
          <w:sz w:val="28"/>
          <w:szCs w:val="28"/>
        </w:rPr>
        <w:id w:val="-160233153"/>
        <w:docPartObj>
          <w:docPartGallery w:val="Table of Contents"/>
          <w:docPartUnique/>
        </w:docPartObj>
      </w:sdtPr>
      <w:sdtContent>
        <w:p w14:paraId="2333AC68" w14:textId="77777777" w:rsidR="00DA10A8" w:rsidRDefault="00000000">
          <w:pPr>
            <w:pBdr>
              <w:top w:val="nil"/>
              <w:left w:val="nil"/>
              <w:bottom w:val="nil"/>
              <w:right w:val="nil"/>
              <w:between w:val="nil"/>
            </w:pBdr>
            <w:tabs>
              <w:tab w:val="left" w:pos="440"/>
              <w:tab w:val="right" w:leader="dot" w:pos="9350"/>
            </w:tabs>
            <w:spacing w:before="120" w:after="120"/>
            <w:rPr>
              <w:color w:val="000000"/>
            </w:rPr>
          </w:pPr>
          <w:r>
            <w:fldChar w:fldCharType="begin"/>
          </w:r>
          <w:r>
            <w:instrText xml:space="preserve"> TOC \h \u \z \t "Heading 1,1,Heading 2,2,Heading 3,3,"</w:instrText>
          </w:r>
          <w:r>
            <w:fldChar w:fldCharType="separate"/>
          </w:r>
          <w:bookmarkStart w:id="1" w:name="_Hlk194269339"/>
          <w:r>
            <w:fldChar w:fldCharType="begin"/>
          </w:r>
          <w:r>
            <w:instrText>HYPERLINK \l "_2pt0rmbmey55" \h</w:instrText>
          </w:r>
          <w:r>
            <w:fldChar w:fldCharType="separate"/>
          </w:r>
          <w:r>
            <w:rPr>
              <w:b/>
              <w:smallCaps/>
              <w:color w:val="000000"/>
            </w:rPr>
            <w:t>1.</w:t>
          </w:r>
          <w:r>
            <w:fldChar w:fldCharType="end"/>
          </w:r>
          <w:hyperlink w:anchor="_2pt0rmbmey55">
            <w:r>
              <w:rPr>
                <w:color w:val="000000"/>
              </w:rPr>
              <w:tab/>
            </w:r>
          </w:hyperlink>
          <w:r>
            <w:fldChar w:fldCharType="begin"/>
          </w:r>
          <w:r>
            <w:instrText xml:space="preserve"> PAGEREF _2pt0rmbmey55 \h </w:instrText>
          </w:r>
          <w:r>
            <w:fldChar w:fldCharType="separate"/>
          </w:r>
          <w:r>
            <w:rPr>
              <w:b/>
              <w:smallCaps/>
              <w:color w:val="000000"/>
            </w:rPr>
            <w:t>Introduction</w:t>
          </w:r>
          <w:r>
            <w:rPr>
              <w:b/>
              <w:smallCaps/>
              <w:color w:val="000000"/>
            </w:rPr>
            <w:tab/>
            <w:t>2</w:t>
          </w:r>
          <w:r>
            <w:fldChar w:fldCharType="end"/>
          </w:r>
        </w:p>
        <w:p w14:paraId="1069DDB0" w14:textId="77777777" w:rsidR="00DA10A8" w:rsidRDefault="00000000">
          <w:pPr>
            <w:pBdr>
              <w:top w:val="nil"/>
              <w:left w:val="nil"/>
              <w:bottom w:val="nil"/>
              <w:right w:val="nil"/>
              <w:between w:val="nil"/>
            </w:pBdr>
            <w:tabs>
              <w:tab w:val="left" w:pos="440"/>
              <w:tab w:val="right" w:leader="dot" w:pos="9350"/>
            </w:tabs>
            <w:spacing w:before="120" w:after="120"/>
            <w:rPr>
              <w:color w:val="000000"/>
            </w:rPr>
          </w:pPr>
          <w:hyperlink w:anchor="_gh797m7m8mef">
            <w:r>
              <w:rPr>
                <w:b/>
                <w:smallCaps/>
                <w:color w:val="000000"/>
              </w:rPr>
              <w:t>2.</w:t>
            </w:r>
          </w:hyperlink>
          <w:hyperlink w:anchor="_gh797m7m8mef">
            <w:r>
              <w:rPr>
                <w:color w:val="000000"/>
              </w:rPr>
              <w:tab/>
            </w:r>
          </w:hyperlink>
          <w:r>
            <w:fldChar w:fldCharType="begin"/>
          </w:r>
          <w:r>
            <w:instrText xml:space="preserve"> PAGEREF _gh797m7m8mef \h </w:instrText>
          </w:r>
          <w:r>
            <w:fldChar w:fldCharType="separate"/>
          </w:r>
          <w:r>
            <w:rPr>
              <w:b/>
              <w:smallCaps/>
              <w:color w:val="000000"/>
            </w:rPr>
            <w:t>The Role of Quality Assurance in Early Years Education</w:t>
          </w:r>
          <w:r>
            <w:rPr>
              <w:b/>
              <w:smallCaps/>
              <w:color w:val="000000"/>
            </w:rPr>
            <w:tab/>
            <w:t>2</w:t>
          </w:r>
          <w:r>
            <w:fldChar w:fldCharType="end"/>
          </w:r>
        </w:p>
        <w:p w14:paraId="486A5C7D" w14:textId="77777777" w:rsidR="00DA10A8" w:rsidRDefault="00000000">
          <w:pPr>
            <w:pBdr>
              <w:top w:val="nil"/>
              <w:left w:val="nil"/>
              <w:bottom w:val="nil"/>
              <w:right w:val="nil"/>
              <w:between w:val="nil"/>
            </w:pBdr>
            <w:tabs>
              <w:tab w:val="left" w:pos="440"/>
              <w:tab w:val="right" w:leader="dot" w:pos="9350"/>
            </w:tabs>
            <w:spacing w:before="120" w:after="120"/>
            <w:rPr>
              <w:color w:val="000000"/>
            </w:rPr>
          </w:pPr>
          <w:hyperlink w:anchor="_v23pyehf1gxq">
            <w:r>
              <w:rPr>
                <w:b/>
                <w:smallCaps/>
                <w:color w:val="000000"/>
              </w:rPr>
              <w:t>3.</w:t>
            </w:r>
          </w:hyperlink>
          <w:hyperlink w:anchor="_v23pyehf1gxq">
            <w:r>
              <w:rPr>
                <w:color w:val="000000"/>
              </w:rPr>
              <w:tab/>
            </w:r>
          </w:hyperlink>
          <w:r>
            <w:fldChar w:fldCharType="begin"/>
          </w:r>
          <w:r>
            <w:instrText xml:space="preserve"> PAGEREF _v23pyehf1gxq \h </w:instrText>
          </w:r>
          <w:r>
            <w:fldChar w:fldCharType="separate"/>
          </w:r>
          <w:r>
            <w:rPr>
              <w:b/>
              <w:smallCaps/>
              <w:color w:val="000000"/>
            </w:rPr>
            <w:t>Method 1: NDNA Quality Counts Scheme</w:t>
          </w:r>
          <w:r>
            <w:rPr>
              <w:b/>
              <w:smallCaps/>
              <w:color w:val="000000"/>
            </w:rPr>
            <w:tab/>
            <w:t>3</w:t>
          </w:r>
          <w:r>
            <w:fldChar w:fldCharType="end"/>
          </w:r>
        </w:p>
        <w:p w14:paraId="336B000D" w14:textId="77777777" w:rsidR="00DA10A8" w:rsidRDefault="00000000">
          <w:pPr>
            <w:pBdr>
              <w:top w:val="nil"/>
              <w:left w:val="nil"/>
              <w:bottom w:val="nil"/>
              <w:right w:val="nil"/>
              <w:between w:val="nil"/>
            </w:pBdr>
            <w:tabs>
              <w:tab w:val="right" w:leader="dot" w:pos="9350"/>
            </w:tabs>
            <w:spacing w:after="0"/>
            <w:ind w:left="220"/>
            <w:rPr>
              <w:color w:val="000000"/>
            </w:rPr>
          </w:pPr>
          <w:hyperlink w:anchor="_x0rzwjw6a1ut">
            <w:r>
              <w:rPr>
                <w:smallCaps/>
                <w:color w:val="000000"/>
              </w:rPr>
              <w:t>3.1 Advantages of NDNA Quality Counts</w:t>
            </w:r>
            <w:r>
              <w:rPr>
                <w:smallCaps/>
                <w:color w:val="000000"/>
              </w:rPr>
              <w:tab/>
              <w:t>4</w:t>
            </w:r>
          </w:hyperlink>
        </w:p>
        <w:p w14:paraId="2AEDC7FE" w14:textId="77777777" w:rsidR="00DA10A8" w:rsidRDefault="00000000">
          <w:pPr>
            <w:pBdr>
              <w:top w:val="nil"/>
              <w:left w:val="nil"/>
              <w:bottom w:val="nil"/>
              <w:right w:val="nil"/>
              <w:between w:val="nil"/>
            </w:pBdr>
            <w:tabs>
              <w:tab w:val="right" w:leader="dot" w:pos="9350"/>
            </w:tabs>
            <w:spacing w:after="0"/>
            <w:ind w:left="220"/>
            <w:rPr>
              <w:color w:val="000000"/>
            </w:rPr>
          </w:pPr>
          <w:hyperlink w:anchor="_dqyid79ycxx4">
            <w:r>
              <w:rPr>
                <w:smallCaps/>
                <w:color w:val="000000"/>
              </w:rPr>
              <w:t>3.2 Limitations of NDNA Quality Counts</w:t>
            </w:r>
            <w:r>
              <w:rPr>
                <w:smallCaps/>
                <w:color w:val="000000"/>
              </w:rPr>
              <w:tab/>
              <w:t>4</w:t>
            </w:r>
          </w:hyperlink>
        </w:p>
        <w:p w14:paraId="7F1E29DF" w14:textId="77777777" w:rsidR="00DA10A8" w:rsidRDefault="00000000">
          <w:pPr>
            <w:pBdr>
              <w:top w:val="nil"/>
              <w:left w:val="nil"/>
              <w:bottom w:val="nil"/>
              <w:right w:val="nil"/>
              <w:between w:val="nil"/>
            </w:pBdr>
            <w:tabs>
              <w:tab w:val="left" w:pos="440"/>
              <w:tab w:val="right" w:leader="dot" w:pos="9350"/>
            </w:tabs>
            <w:spacing w:before="120" w:after="120"/>
            <w:rPr>
              <w:color w:val="000000"/>
            </w:rPr>
          </w:pPr>
          <w:hyperlink w:anchor="_fw7vmueii8g9">
            <w:r>
              <w:rPr>
                <w:b/>
                <w:smallCaps/>
                <w:color w:val="000000"/>
              </w:rPr>
              <w:t>4.</w:t>
            </w:r>
          </w:hyperlink>
          <w:hyperlink w:anchor="_fw7vmueii8g9">
            <w:r>
              <w:rPr>
                <w:color w:val="000000"/>
              </w:rPr>
              <w:tab/>
            </w:r>
          </w:hyperlink>
          <w:r>
            <w:fldChar w:fldCharType="begin"/>
          </w:r>
          <w:r>
            <w:instrText xml:space="preserve"> PAGEREF _fw7vmueii8g9 \h </w:instrText>
          </w:r>
          <w:r>
            <w:fldChar w:fldCharType="separate"/>
          </w:r>
          <w:r>
            <w:rPr>
              <w:b/>
              <w:smallCaps/>
              <w:color w:val="000000"/>
            </w:rPr>
            <w:t>Method 2: Early Childhood Environment Rating Scale (ECERS)</w:t>
          </w:r>
          <w:r>
            <w:rPr>
              <w:b/>
              <w:smallCaps/>
              <w:color w:val="000000"/>
            </w:rPr>
            <w:tab/>
            <w:t>5</w:t>
          </w:r>
          <w:r>
            <w:fldChar w:fldCharType="end"/>
          </w:r>
        </w:p>
        <w:p w14:paraId="43393E9B" w14:textId="77777777" w:rsidR="00DA10A8" w:rsidRDefault="00000000">
          <w:pPr>
            <w:pBdr>
              <w:top w:val="nil"/>
              <w:left w:val="nil"/>
              <w:bottom w:val="nil"/>
              <w:right w:val="nil"/>
              <w:between w:val="nil"/>
            </w:pBdr>
            <w:tabs>
              <w:tab w:val="right" w:leader="dot" w:pos="9350"/>
            </w:tabs>
            <w:spacing w:after="0"/>
            <w:ind w:left="220"/>
            <w:rPr>
              <w:color w:val="000000"/>
            </w:rPr>
          </w:pPr>
          <w:hyperlink w:anchor="_tuvw93xspdrj">
            <w:r>
              <w:rPr>
                <w:smallCaps/>
                <w:color w:val="000000"/>
              </w:rPr>
              <w:t>4.1 Advantages of ECERS</w:t>
            </w:r>
            <w:r>
              <w:rPr>
                <w:smallCaps/>
                <w:color w:val="000000"/>
              </w:rPr>
              <w:tab/>
              <w:t>5</w:t>
            </w:r>
          </w:hyperlink>
        </w:p>
        <w:p w14:paraId="06239E0C" w14:textId="77777777" w:rsidR="00DA10A8" w:rsidRDefault="00000000">
          <w:pPr>
            <w:pBdr>
              <w:top w:val="nil"/>
              <w:left w:val="nil"/>
              <w:bottom w:val="nil"/>
              <w:right w:val="nil"/>
              <w:between w:val="nil"/>
            </w:pBdr>
            <w:tabs>
              <w:tab w:val="right" w:leader="dot" w:pos="9350"/>
            </w:tabs>
            <w:spacing w:after="0"/>
            <w:ind w:left="220"/>
            <w:rPr>
              <w:color w:val="000000"/>
            </w:rPr>
          </w:pPr>
          <w:hyperlink w:anchor="_w7y8n47rwa2t">
            <w:r>
              <w:rPr>
                <w:smallCaps/>
                <w:color w:val="000000"/>
              </w:rPr>
              <w:t>4.2 Limitations of ECERS</w:t>
            </w:r>
            <w:r>
              <w:rPr>
                <w:smallCaps/>
                <w:color w:val="000000"/>
              </w:rPr>
              <w:tab/>
              <w:t>6</w:t>
            </w:r>
          </w:hyperlink>
        </w:p>
        <w:p w14:paraId="1F72EEC1" w14:textId="77777777" w:rsidR="00DA10A8" w:rsidRDefault="00000000">
          <w:pPr>
            <w:pBdr>
              <w:top w:val="nil"/>
              <w:left w:val="nil"/>
              <w:bottom w:val="nil"/>
              <w:right w:val="nil"/>
              <w:between w:val="nil"/>
            </w:pBdr>
            <w:tabs>
              <w:tab w:val="left" w:pos="440"/>
              <w:tab w:val="right" w:leader="dot" w:pos="9350"/>
            </w:tabs>
            <w:spacing w:before="120" w:after="120"/>
            <w:rPr>
              <w:color w:val="000000"/>
            </w:rPr>
          </w:pPr>
          <w:hyperlink w:anchor="_uvg8p3cq7og7">
            <w:r>
              <w:rPr>
                <w:b/>
                <w:smallCaps/>
                <w:color w:val="000000"/>
              </w:rPr>
              <w:t>5.</w:t>
            </w:r>
          </w:hyperlink>
          <w:hyperlink w:anchor="_uvg8p3cq7og7">
            <w:r>
              <w:rPr>
                <w:color w:val="000000"/>
              </w:rPr>
              <w:tab/>
            </w:r>
          </w:hyperlink>
          <w:r>
            <w:fldChar w:fldCharType="begin"/>
          </w:r>
          <w:r>
            <w:instrText xml:space="preserve"> PAGEREF _uvg8p3cq7og7 \h </w:instrText>
          </w:r>
          <w:r>
            <w:fldChar w:fldCharType="separate"/>
          </w:r>
          <w:r>
            <w:rPr>
              <w:b/>
              <w:smallCaps/>
              <w:color w:val="000000"/>
            </w:rPr>
            <w:t>Comparative Analysis of NDNA Quality Counts Scheme and ECERS</w:t>
          </w:r>
          <w:r>
            <w:rPr>
              <w:b/>
              <w:smallCaps/>
              <w:color w:val="000000"/>
            </w:rPr>
            <w:tab/>
            <w:t>7</w:t>
          </w:r>
          <w:r>
            <w:fldChar w:fldCharType="end"/>
          </w:r>
        </w:p>
        <w:p w14:paraId="173E2507" w14:textId="77777777" w:rsidR="00DA10A8" w:rsidRDefault="00000000">
          <w:pPr>
            <w:pBdr>
              <w:top w:val="nil"/>
              <w:left w:val="nil"/>
              <w:bottom w:val="nil"/>
              <w:right w:val="nil"/>
              <w:between w:val="nil"/>
            </w:pBdr>
            <w:tabs>
              <w:tab w:val="left" w:pos="440"/>
              <w:tab w:val="right" w:leader="dot" w:pos="9350"/>
            </w:tabs>
            <w:spacing w:before="120" w:after="120"/>
            <w:rPr>
              <w:color w:val="000000"/>
            </w:rPr>
          </w:pPr>
          <w:hyperlink w:anchor="_lj8g0m99pnxt">
            <w:r>
              <w:rPr>
                <w:b/>
                <w:smallCaps/>
                <w:color w:val="000000"/>
              </w:rPr>
              <w:t>6.</w:t>
            </w:r>
          </w:hyperlink>
          <w:hyperlink w:anchor="_lj8g0m99pnxt">
            <w:r>
              <w:rPr>
                <w:color w:val="000000"/>
              </w:rPr>
              <w:tab/>
            </w:r>
          </w:hyperlink>
          <w:r>
            <w:fldChar w:fldCharType="begin"/>
          </w:r>
          <w:r>
            <w:instrText xml:space="preserve"> PAGEREF _lj8g0m99pnxt \h </w:instrText>
          </w:r>
          <w:r>
            <w:fldChar w:fldCharType="separate"/>
          </w:r>
          <w:r>
            <w:rPr>
              <w:b/>
              <w:smallCaps/>
              <w:color w:val="000000"/>
            </w:rPr>
            <w:t>Implications for Improving Quality in Early Years Education</w:t>
          </w:r>
          <w:r>
            <w:rPr>
              <w:b/>
              <w:smallCaps/>
              <w:color w:val="000000"/>
            </w:rPr>
            <w:tab/>
            <w:t>7</w:t>
          </w:r>
          <w:r>
            <w:fldChar w:fldCharType="end"/>
          </w:r>
        </w:p>
        <w:p w14:paraId="461F38E3" w14:textId="77777777" w:rsidR="00DA10A8" w:rsidRDefault="00000000">
          <w:pPr>
            <w:pBdr>
              <w:top w:val="nil"/>
              <w:left w:val="nil"/>
              <w:bottom w:val="nil"/>
              <w:right w:val="nil"/>
              <w:between w:val="nil"/>
            </w:pBdr>
            <w:tabs>
              <w:tab w:val="right" w:leader="dot" w:pos="9350"/>
            </w:tabs>
            <w:spacing w:after="0"/>
            <w:ind w:left="220"/>
            <w:rPr>
              <w:color w:val="000000"/>
            </w:rPr>
          </w:pPr>
          <w:hyperlink w:anchor="_ggb29x5dctyh">
            <w:r>
              <w:rPr>
                <w:smallCaps/>
                <w:color w:val="000000"/>
              </w:rPr>
              <w:t>6.1 What Information is Needed to Improve the Provision?</w:t>
            </w:r>
            <w:r>
              <w:rPr>
                <w:smallCaps/>
                <w:color w:val="000000"/>
              </w:rPr>
              <w:tab/>
              <w:t>7</w:t>
            </w:r>
          </w:hyperlink>
        </w:p>
        <w:p w14:paraId="36D630E9" w14:textId="77777777" w:rsidR="00DA10A8" w:rsidRDefault="00000000">
          <w:pPr>
            <w:pBdr>
              <w:top w:val="nil"/>
              <w:left w:val="nil"/>
              <w:bottom w:val="nil"/>
              <w:right w:val="nil"/>
              <w:between w:val="nil"/>
            </w:pBdr>
            <w:tabs>
              <w:tab w:val="right" w:leader="dot" w:pos="9350"/>
            </w:tabs>
            <w:spacing w:after="0"/>
            <w:ind w:left="220"/>
            <w:rPr>
              <w:color w:val="000000"/>
            </w:rPr>
          </w:pPr>
          <w:hyperlink w:anchor="_esduemgftujb">
            <w:r>
              <w:rPr>
                <w:smallCaps/>
                <w:color w:val="000000"/>
              </w:rPr>
              <w:t>6.2 Do NDNA and ECERS Provide This Information?</w:t>
            </w:r>
            <w:r>
              <w:rPr>
                <w:smallCaps/>
                <w:color w:val="000000"/>
              </w:rPr>
              <w:tab/>
              <w:t>8</w:t>
            </w:r>
          </w:hyperlink>
        </w:p>
        <w:p w14:paraId="521F2952" w14:textId="77777777" w:rsidR="00DA10A8" w:rsidRDefault="00000000">
          <w:pPr>
            <w:pBdr>
              <w:top w:val="nil"/>
              <w:left w:val="nil"/>
              <w:bottom w:val="nil"/>
              <w:right w:val="nil"/>
              <w:between w:val="nil"/>
            </w:pBdr>
            <w:tabs>
              <w:tab w:val="right" w:leader="dot" w:pos="9350"/>
            </w:tabs>
            <w:spacing w:after="0"/>
            <w:ind w:left="220"/>
            <w:rPr>
              <w:color w:val="000000"/>
            </w:rPr>
          </w:pPr>
          <w:hyperlink w:anchor="_msasonw5nm1k">
            <w:r>
              <w:rPr>
                <w:smallCaps/>
                <w:color w:val="000000"/>
              </w:rPr>
              <w:t>6.3 What Do These Methods Tell Us?</w:t>
            </w:r>
            <w:r>
              <w:rPr>
                <w:smallCaps/>
                <w:color w:val="000000"/>
              </w:rPr>
              <w:tab/>
              <w:t>8</w:t>
            </w:r>
          </w:hyperlink>
        </w:p>
        <w:p w14:paraId="1080FDFE" w14:textId="77777777" w:rsidR="00DA10A8" w:rsidRDefault="00000000">
          <w:pPr>
            <w:pBdr>
              <w:top w:val="nil"/>
              <w:left w:val="nil"/>
              <w:bottom w:val="nil"/>
              <w:right w:val="nil"/>
              <w:between w:val="nil"/>
            </w:pBdr>
            <w:tabs>
              <w:tab w:val="left" w:pos="440"/>
              <w:tab w:val="right" w:leader="dot" w:pos="9350"/>
            </w:tabs>
            <w:spacing w:before="120" w:after="120"/>
            <w:rPr>
              <w:color w:val="000000"/>
            </w:rPr>
          </w:pPr>
          <w:hyperlink w:anchor="_kmmo919bfzhl">
            <w:r>
              <w:rPr>
                <w:b/>
                <w:smallCaps/>
                <w:color w:val="000000"/>
              </w:rPr>
              <w:t>7.</w:t>
            </w:r>
          </w:hyperlink>
          <w:hyperlink w:anchor="_kmmo919bfzhl">
            <w:r>
              <w:rPr>
                <w:color w:val="000000"/>
              </w:rPr>
              <w:tab/>
            </w:r>
          </w:hyperlink>
          <w:r>
            <w:fldChar w:fldCharType="begin"/>
          </w:r>
          <w:r>
            <w:instrText xml:space="preserve"> PAGEREF _kmmo919bfzhl \h </w:instrText>
          </w:r>
          <w:r>
            <w:fldChar w:fldCharType="separate"/>
          </w:r>
          <w:r>
            <w:rPr>
              <w:b/>
              <w:smallCaps/>
              <w:color w:val="000000"/>
            </w:rPr>
            <w:t>Conclusion</w:t>
          </w:r>
          <w:r>
            <w:rPr>
              <w:b/>
              <w:smallCaps/>
              <w:color w:val="000000"/>
            </w:rPr>
            <w:tab/>
            <w:t>9</w:t>
          </w:r>
          <w:r>
            <w:fldChar w:fldCharType="end"/>
          </w:r>
        </w:p>
        <w:bookmarkEnd w:id="1"/>
        <w:p w14:paraId="3F9CAC86" w14:textId="77777777" w:rsidR="00DA10A8" w:rsidRDefault="00000000">
          <w:pPr>
            <w:pBdr>
              <w:top w:val="nil"/>
              <w:left w:val="nil"/>
              <w:bottom w:val="nil"/>
              <w:right w:val="nil"/>
              <w:between w:val="nil"/>
            </w:pBdr>
            <w:tabs>
              <w:tab w:val="right" w:leader="dot" w:pos="9350"/>
            </w:tabs>
            <w:spacing w:before="120" w:after="120"/>
            <w:rPr>
              <w:color w:val="000000"/>
            </w:rPr>
          </w:pPr>
          <w:r>
            <w:fldChar w:fldCharType="begin"/>
          </w:r>
          <w:r>
            <w:instrText>HYPERLINK \l "_ptd6v7nbizzx" \h</w:instrText>
          </w:r>
          <w:r>
            <w:fldChar w:fldCharType="separate"/>
          </w:r>
          <w:r>
            <w:rPr>
              <w:b/>
              <w:smallCaps/>
              <w:color w:val="000000"/>
            </w:rPr>
            <w:t>References</w:t>
          </w:r>
          <w:r>
            <w:rPr>
              <w:b/>
              <w:smallCaps/>
              <w:color w:val="000000"/>
            </w:rPr>
            <w:tab/>
            <w:t>10</w:t>
          </w:r>
          <w:r>
            <w:fldChar w:fldCharType="end"/>
          </w:r>
        </w:p>
        <w:p w14:paraId="789373CF" w14:textId="77777777" w:rsidR="00DA10A8" w:rsidRDefault="00000000">
          <w:pPr>
            <w:pStyle w:val="Heading1"/>
            <w:spacing w:before="0"/>
            <w:rPr>
              <w:sz w:val="32"/>
              <w:szCs w:val="32"/>
            </w:rPr>
          </w:pPr>
          <w:r>
            <w:fldChar w:fldCharType="end"/>
          </w:r>
        </w:p>
      </w:sdtContent>
    </w:sdt>
    <w:p w14:paraId="4BCEB1F4" w14:textId="77777777" w:rsidR="00DA10A8" w:rsidRDefault="00000000">
      <w:pPr>
        <w:rPr>
          <w:color w:val="366091"/>
        </w:rPr>
      </w:pPr>
      <w:r>
        <w:br w:type="page"/>
      </w:r>
    </w:p>
    <w:p w14:paraId="538DAAE4" w14:textId="77777777" w:rsidR="00DA10A8" w:rsidRDefault="00000000">
      <w:pPr>
        <w:pStyle w:val="Heading1"/>
        <w:numPr>
          <w:ilvl w:val="0"/>
          <w:numId w:val="1"/>
        </w:numPr>
        <w:spacing w:before="0"/>
        <w:rPr>
          <w:sz w:val="32"/>
          <w:szCs w:val="32"/>
        </w:rPr>
      </w:pPr>
      <w:bookmarkStart w:id="2" w:name="_2pt0rmbmey55" w:colFirst="0" w:colLast="0"/>
      <w:bookmarkEnd w:id="2"/>
      <w:r>
        <w:rPr>
          <w:sz w:val="32"/>
          <w:szCs w:val="32"/>
        </w:rPr>
        <w:lastRenderedPageBreak/>
        <w:t>Introduction</w:t>
      </w:r>
    </w:p>
    <w:p w14:paraId="7CE1D114" w14:textId="77777777" w:rsidR="00DA10A8" w:rsidRDefault="00000000">
      <w:pPr>
        <w:spacing w:before="280" w:after="280" w:line="360" w:lineRule="auto"/>
        <w:jc w:val="both"/>
        <w:rPr>
          <w:sz w:val="24"/>
          <w:szCs w:val="24"/>
        </w:rPr>
      </w:pPr>
      <w:r>
        <w:rPr>
          <w:sz w:val="24"/>
          <w:szCs w:val="24"/>
        </w:rPr>
        <w:t>The term quality of early years education describes the extent to which an early childhood service enables a child to develop in a stimulating, enriching, and safe environment that promotes children’s cognitive, social, emotional, and physical development (Pianta, Downer, and Hamre, 2016). Key areas of quality in this context include staff qualifications and development, organization and management, leadership, teaching and learning approaches, and relationships between educators and children (Sylva et al., 2004). However, it also embraces aspects such as safety, integration, and involving parents to give children the best possible start in life.</w:t>
      </w:r>
    </w:p>
    <w:p w14:paraId="7E1EEDD0" w14:textId="77777777" w:rsidR="00DA10A8" w:rsidRDefault="00000000">
      <w:pPr>
        <w:spacing w:before="280" w:after="280" w:line="360" w:lineRule="auto"/>
        <w:jc w:val="both"/>
        <w:rPr>
          <w:sz w:val="24"/>
          <w:szCs w:val="24"/>
        </w:rPr>
      </w:pPr>
      <w:r>
        <w:rPr>
          <w:sz w:val="24"/>
          <w:szCs w:val="24"/>
        </w:rPr>
        <w:t>Quality is one of the key components that define early childhood education and care. Multiple studies have provided evidence suggesting that children who attend high-quality early childhood education and care settings achieve better academic results, improved language acquisition, and enhanced social competence and emotional well-being (Melhuish et al., 2015). These advantages also persist into later childhood, with long-term impacts including better educational achievements, improved job prospects, and reduced vulnerability to social exclusion (García et al., 2017). It is, therefore, important to address early years provision as an investment in people and their development.</w:t>
      </w:r>
    </w:p>
    <w:p w14:paraId="03964704" w14:textId="77777777" w:rsidR="00DA10A8" w:rsidRDefault="00000000">
      <w:pPr>
        <w:spacing w:before="280" w:after="280" w:line="360" w:lineRule="auto"/>
        <w:jc w:val="both"/>
        <w:rPr>
          <w:sz w:val="24"/>
          <w:szCs w:val="24"/>
        </w:rPr>
      </w:pPr>
      <w:r>
        <w:rPr>
          <w:sz w:val="24"/>
          <w:szCs w:val="24"/>
        </w:rPr>
        <w:t>While having legal standards like the Early Years Foundation Stage (EYFS) to adhere to is helpful, excellence goes beyond simply implementing those guidelines. Organizations and settings can adopt voluntary quality assurance (QA) frameworks like the NDNA Quality Counts Scheme and the Early Childhood Environment Rating Scale (ECERS) to enhance structured approaches to continuous improvement. These practices help settings measure progress, identify areas for improvement, and refine practices based on research. Implementing such QA mechanisms enables early years providers to ensure they offer environments that meet every child’s developmental needs.</w:t>
      </w:r>
    </w:p>
    <w:p w14:paraId="372F2112" w14:textId="77777777" w:rsidR="00DA10A8" w:rsidRDefault="00000000">
      <w:pPr>
        <w:pStyle w:val="Heading1"/>
        <w:numPr>
          <w:ilvl w:val="0"/>
          <w:numId w:val="1"/>
        </w:numPr>
        <w:tabs>
          <w:tab w:val="left" w:pos="180"/>
        </w:tabs>
        <w:spacing w:before="0"/>
        <w:rPr>
          <w:sz w:val="32"/>
          <w:szCs w:val="32"/>
        </w:rPr>
      </w:pPr>
      <w:bookmarkStart w:id="3" w:name="_gh797m7m8mef" w:colFirst="0" w:colLast="0"/>
      <w:bookmarkStart w:id="4" w:name="_Hlk194267283"/>
      <w:bookmarkEnd w:id="3"/>
      <w:r>
        <w:rPr>
          <w:sz w:val="32"/>
          <w:szCs w:val="32"/>
        </w:rPr>
        <w:lastRenderedPageBreak/>
        <w:t>The Role of Quality Assurance in Early Years Education</w:t>
      </w:r>
    </w:p>
    <w:bookmarkEnd w:id="4"/>
    <w:p w14:paraId="2614875B" w14:textId="77777777" w:rsidR="00DA10A8" w:rsidRDefault="00000000">
      <w:pPr>
        <w:spacing w:before="280" w:after="280" w:line="360" w:lineRule="auto"/>
        <w:jc w:val="both"/>
        <w:rPr>
          <w:sz w:val="24"/>
          <w:szCs w:val="24"/>
        </w:rPr>
      </w:pPr>
      <w:r>
        <w:rPr>
          <w:sz w:val="24"/>
          <w:szCs w:val="24"/>
        </w:rPr>
        <w:t>Quality assurance (QA) in early childhood education focuses on the continuous and deliberate enhancement of the quality of care and learning for young children. Unlike basic regulatory compliance, QA goes beyond to ensure continuous quality improvement through structured evaluation, feedback mechanisms, and professional development (</w:t>
      </w:r>
      <w:proofErr w:type="spellStart"/>
      <w:r>
        <w:rPr>
          <w:sz w:val="24"/>
          <w:szCs w:val="24"/>
        </w:rPr>
        <w:t>Oktarina</w:t>
      </w:r>
      <w:proofErr w:type="spellEnd"/>
      <w:r>
        <w:rPr>
          <w:sz w:val="24"/>
          <w:szCs w:val="24"/>
        </w:rPr>
        <w:t xml:space="preserve"> et al., 2023). Various dimensions are encompassed, such as curriculum effectiveness, staff training, leadership quality, child well-being, and parental involvement. Transforming QA strategies becomes a robust mechanism for creating environments that cultivate holistic development and produce lifelong learning outcomes (Adlerstein Grimberg and Cortazar, 2022).</w:t>
      </w:r>
    </w:p>
    <w:p w14:paraId="7C998366" w14:textId="77777777" w:rsidR="00DA10A8" w:rsidRDefault="00000000">
      <w:pPr>
        <w:spacing w:before="280" w:after="280" w:line="360" w:lineRule="auto"/>
        <w:jc w:val="both"/>
        <w:rPr>
          <w:sz w:val="24"/>
          <w:szCs w:val="24"/>
        </w:rPr>
      </w:pPr>
      <w:r>
        <w:rPr>
          <w:sz w:val="24"/>
          <w:szCs w:val="24"/>
        </w:rPr>
        <w:t>Continuous improvement is one of the major functions of QA, promoted through internally and externally based assessments of progress. The NDNA Quality Counts Scheme and the Early Childhood Environment Rating Scale (ECERS) are tools that enable settings to assess strengths and weaknesses systematically to align teaching methods, resources, and policies with best practices (Butler, 2017). Regular assessment and feedback cycles help to iteratively improve both educators and children.</w:t>
      </w:r>
    </w:p>
    <w:p w14:paraId="2852DBFD" w14:textId="77777777" w:rsidR="00DA10A8" w:rsidRDefault="00000000">
      <w:pPr>
        <w:spacing w:line="360" w:lineRule="auto"/>
        <w:jc w:val="both"/>
        <w:rPr>
          <w:sz w:val="24"/>
          <w:szCs w:val="24"/>
        </w:rPr>
      </w:pPr>
      <w:r>
        <w:rPr>
          <w:sz w:val="24"/>
          <w:szCs w:val="24"/>
        </w:rPr>
        <w:t>Additionally, QA’s contribution to child development ensures learning environments are engaging, safe, and developmentally appropriate (</w:t>
      </w:r>
      <w:proofErr w:type="spellStart"/>
      <w:r>
        <w:rPr>
          <w:sz w:val="24"/>
          <w:szCs w:val="24"/>
        </w:rPr>
        <w:t>Wehachart</w:t>
      </w:r>
      <w:proofErr w:type="spellEnd"/>
      <w:r>
        <w:rPr>
          <w:sz w:val="24"/>
          <w:szCs w:val="24"/>
        </w:rPr>
        <w:t>, 2025). High-quality settings foster cognitive, social, and emotional growth, which promotes better school readiness and favorable future academic outcomes (Melhuish et al., 2015). In addition, it brings important roles to school staff training and leadership development since it motivates educators to ongoing professional learning. To create the mentioned culture, further encourage staff, and teach them the efficient approach to pedagogical activities, strong leadership is needed (Asamoah et al., 2025).</w:t>
      </w:r>
      <w:r>
        <w:t xml:space="preserve"> </w:t>
      </w:r>
      <w:proofErr w:type="gramStart"/>
      <w:r>
        <w:rPr>
          <w:sz w:val="24"/>
          <w:szCs w:val="24"/>
        </w:rPr>
        <w:t>Last but not least</w:t>
      </w:r>
      <w:proofErr w:type="gramEnd"/>
      <w:r>
        <w:rPr>
          <w:sz w:val="24"/>
          <w:szCs w:val="24"/>
        </w:rPr>
        <w:t>, QA encourages parental participation—when families are assured of quality education for their young ones, they actively participate in their learning process.</w:t>
      </w:r>
    </w:p>
    <w:p w14:paraId="0DCE3D2C" w14:textId="77777777" w:rsidR="00DA10A8" w:rsidRDefault="00000000">
      <w:pPr>
        <w:pStyle w:val="Heading1"/>
        <w:numPr>
          <w:ilvl w:val="0"/>
          <w:numId w:val="1"/>
        </w:numPr>
        <w:spacing w:before="0"/>
        <w:rPr>
          <w:sz w:val="32"/>
          <w:szCs w:val="32"/>
        </w:rPr>
      </w:pPr>
      <w:bookmarkStart w:id="5" w:name="_v23pyehf1gxq" w:colFirst="0" w:colLast="0"/>
      <w:bookmarkEnd w:id="5"/>
      <w:r>
        <w:rPr>
          <w:sz w:val="32"/>
          <w:szCs w:val="32"/>
        </w:rPr>
        <w:lastRenderedPageBreak/>
        <w:t>Method 1: NDNA Quality Counts Scheme</w:t>
      </w:r>
    </w:p>
    <w:p w14:paraId="3C0D86AB" w14:textId="77777777" w:rsidR="00DA10A8" w:rsidRDefault="00000000">
      <w:pPr>
        <w:spacing w:before="280" w:after="280" w:line="360" w:lineRule="auto"/>
        <w:jc w:val="both"/>
        <w:rPr>
          <w:sz w:val="24"/>
          <w:szCs w:val="24"/>
        </w:rPr>
      </w:pPr>
      <w:r>
        <w:rPr>
          <w:sz w:val="24"/>
          <w:szCs w:val="24"/>
        </w:rPr>
        <w:t>The Quality Counts Scheme is a quality assurance procedure operated and developed by NDNA that settings can utilize to enhance their services beyond mandated standards. The system is voluntary, and accreditation concerns specific standards related to the development of nurseries, including childcare leadership, staff training, curriculum, child protection, welfare, and involvement of children and parent (NDNA, 2025). This scheme outlines a structured self-evaluation process to help nurseries continuously improve by adopting best practices in early years education based on the latest research.</w:t>
      </w:r>
    </w:p>
    <w:p w14:paraId="6DF4251C" w14:textId="77777777" w:rsidR="00DA10A8" w:rsidRDefault="00000000">
      <w:pPr>
        <w:spacing w:before="280" w:after="280" w:line="360" w:lineRule="auto"/>
        <w:jc w:val="both"/>
        <w:rPr>
          <w:sz w:val="24"/>
          <w:szCs w:val="24"/>
        </w:rPr>
      </w:pPr>
      <w:r>
        <w:rPr>
          <w:sz w:val="24"/>
          <w:szCs w:val="24"/>
        </w:rPr>
        <w:t>The tenets that form the foundation of NDNA Quality Counts are themes identified by their research team as effective, including leadership, learning spaces, culturally competent practice, and collaboration with families (NDNA, 2025). One of the study’s strengths is that, unlike most early years provision studies that address a single theme, this research took a multidimensional perspective. The framework provides guidance and offers solutions for addressing weaknesses identified within nurseries. Moreover, it fosters an appreciation among staff for professional growth, encouraging them to stay updated on current issues in early childhood education (Evans, 2012).</w:t>
      </w:r>
    </w:p>
    <w:p w14:paraId="4A409EF4" w14:textId="77777777" w:rsidR="00DA10A8" w:rsidRDefault="00000000">
      <w:pPr>
        <w:pStyle w:val="Heading2"/>
        <w:rPr>
          <w:sz w:val="28"/>
          <w:szCs w:val="28"/>
        </w:rPr>
      </w:pPr>
      <w:bookmarkStart w:id="6" w:name="_x0rzwjw6a1ut" w:colFirst="0" w:colLast="0"/>
      <w:bookmarkEnd w:id="6"/>
      <w:r>
        <w:rPr>
          <w:sz w:val="28"/>
          <w:szCs w:val="28"/>
        </w:rPr>
        <w:t>3.1 Advantages of NDNA Quality Counts</w:t>
      </w:r>
    </w:p>
    <w:p w14:paraId="2C1ED32E" w14:textId="77777777" w:rsidR="00DA10A8" w:rsidRDefault="00000000">
      <w:pPr>
        <w:spacing w:before="280" w:after="280" w:line="360" w:lineRule="auto"/>
        <w:jc w:val="both"/>
        <w:rPr>
          <w:sz w:val="24"/>
          <w:szCs w:val="24"/>
        </w:rPr>
      </w:pPr>
      <w:r>
        <w:rPr>
          <w:sz w:val="24"/>
          <w:szCs w:val="24"/>
        </w:rPr>
        <w:t xml:space="preserve">Ongoing professional development and self-reflection are strengths of using NDNA Quality Counts. Another vital aspect is that accreditation encompasses internal and external assessments, thus promoting a culture of organizational learning and change (Evans, 2012). Scientific evidence indicates that early </w:t>
      </w:r>
      <w:proofErr w:type="gramStart"/>
      <w:r>
        <w:rPr>
          <w:sz w:val="24"/>
          <w:szCs w:val="24"/>
        </w:rPr>
        <w:t>years</w:t>
      </w:r>
      <w:proofErr w:type="gramEnd"/>
      <w:r>
        <w:rPr>
          <w:sz w:val="24"/>
          <w:szCs w:val="24"/>
        </w:rPr>
        <w:t xml:space="preserve"> workers receive proficient training because it directly impacts the standard of educational outcomes in this field (Sylva et al., 2004).</w:t>
      </w:r>
    </w:p>
    <w:p w14:paraId="35984BB3" w14:textId="77777777" w:rsidR="00DA10A8" w:rsidRDefault="00000000">
      <w:pPr>
        <w:spacing w:before="280" w:after="280" w:line="360" w:lineRule="auto"/>
        <w:jc w:val="both"/>
        <w:rPr>
          <w:sz w:val="24"/>
          <w:szCs w:val="24"/>
        </w:rPr>
      </w:pPr>
      <w:r>
        <w:rPr>
          <w:sz w:val="24"/>
          <w:szCs w:val="24"/>
        </w:rPr>
        <w:t xml:space="preserve">Leadership combined with management stands as one of the essential strengths within the framework. Strategic decision-making, along with effective governance, serves to maintain high standards in early years settings. Thus, we advocate for leadership excellence (NDNA, 2025). </w:t>
      </w:r>
      <w:r>
        <w:rPr>
          <w:sz w:val="24"/>
          <w:szCs w:val="24"/>
        </w:rPr>
        <w:lastRenderedPageBreak/>
        <w:t>Additionally, the scheme supports parental involvement because collaborative educator-family work helps children develop (Melhuish et al., 2015).</w:t>
      </w:r>
    </w:p>
    <w:p w14:paraId="2E9CF083" w14:textId="77777777" w:rsidR="00DA10A8" w:rsidRDefault="00000000">
      <w:pPr>
        <w:pStyle w:val="Heading2"/>
        <w:rPr>
          <w:sz w:val="28"/>
          <w:szCs w:val="28"/>
        </w:rPr>
      </w:pPr>
      <w:bookmarkStart w:id="7" w:name="_dqyid79ycxx4" w:colFirst="0" w:colLast="0"/>
      <w:bookmarkEnd w:id="7"/>
      <w:r>
        <w:rPr>
          <w:sz w:val="28"/>
          <w:szCs w:val="28"/>
        </w:rPr>
        <w:t>3.2 Limitations of NDNA Quality Counts</w:t>
      </w:r>
    </w:p>
    <w:p w14:paraId="55C3AD4D" w14:textId="77777777" w:rsidR="00DA10A8" w:rsidRDefault="00000000">
      <w:pPr>
        <w:spacing w:before="280" w:after="280" w:line="360" w:lineRule="auto"/>
        <w:jc w:val="both"/>
        <w:rPr>
          <w:sz w:val="24"/>
          <w:szCs w:val="24"/>
        </w:rPr>
      </w:pPr>
      <w:r>
        <w:rPr>
          <w:sz w:val="24"/>
          <w:szCs w:val="24"/>
        </w:rPr>
        <w:t>The NDNA Quality Counts system provides various advantages for early years settings but also contains limitations that should be considered. The main difficulty with implementing ECR rests in its high resource demands as well as its financial requirements (</w:t>
      </w:r>
      <w:proofErr w:type="spellStart"/>
      <w:r>
        <w:rPr>
          <w:sz w:val="24"/>
          <w:szCs w:val="24"/>
        </w:rPr>
        <w:t>Rawstrone</w:t>
      </w:r>
      <w:proofErr w:type="spellEnd"/>
      <w:r>
        <w:rPr>
          <w:sz w:val="24"/>
          <w:szCs w:val="24"/>
        </w:rPr>
        <w:t>, 2015). The high expense needed for personnel training, alongside documentation preparation and external evaluation for accreditation, stands as a major obstacle for understaffed, budget-limited nurseries pursuing accreditation.</w:t>
      </w:r>
    </w:p>
    <w:p w14:paraId="4EDC4966" w14:textId="77777777" w:rsidR="00DA10A8" w:rsidRDefault="00DA10A8">
      <w:pPr>
        <w:spacing w:before="280" w:after="280" w:line="360" w:lineRule="auto"/>
        <w:rPr>
          <w:sz w:val="24"/>
          <w:szCs w:val="24"/>
        </w:rPr>
      </w:pPr>
    </w:p>
    <w:p w14:paraId="73F8B381" w14:textId="77777777" w:rsidR="00DA10A8" w:rsidRDefault="00000000">
      <w:pPr>
        <w:spacing w:before="280" w:after="280" w:line="360" w:lineRule="auto"/>
        <w:jc w:val="both"/>
        <w:rPr>
          <w:sz w:val="24"/>
          <w:szCs w:val="24"/>
        </w:rPr>
      </w:pPr>
      <w:r>
        <w:rPr>
          <w:sz w:val="24"/>
          <w:szCs w:val="24"/>
        </w:rPr>
        <w:t>When using self-assessment as a broad evaluation method through Quality Counts in 2025, you may encounter biased results. External audits produce measured results that serve as better indicators compared to subjective parent and staff reports of improvement. The framework covers general areas of early years education but lacks detailed direction regarding teaching strategies (Gurung and Schwartz, 2011), thus reducing its ability to impact educational methods.</w:t>
      </w:r>
    </w:p>
    <w:p w14:paraId="270B59D2" w14:textId="77777777" w:rsidR="00DA10A8" w:rsidRDefault="00000000">
      <w:pPr>
        <w:pStyle w:val="Heading1"/>
        <w:numPr>
          <w:ilvl w:val="0"/>
          <w:numId w:val="1"/>
        </w:numPr>
        <w:spacing w:before="0"/>
        <w:rPr>
          <w:sz w:val="32"/>
          <w:szCs w:val="32"/>
        </w:rPr>
      </w:pPr>
      <w:bookmarkStart w:id="8" w:name="_fw7vmueii8g9" w:colFirst="0" w:colLast="0"/>
      <w:bookmarkEnd w:id="8"/>
      <w:r>
        <w:rPr>
          <w:sz w:val="32"/>
          <w:szCs w:val="32"/>
        </w:rPr>
        <w:t>Method 2: Early Childhood Environment Rating Scale (ECERS)</w:t>
      </w:r>
    </w:p>
    <w:p w14:paraId="79818DCD" w14:textId="77777777" w:rsidR="00DA10A8" w:rsidRDefault="00000000">
      <w:pPr>
        <w:spacing w:before="280" w:after="280" w:line="360" w:lineRule="auto"/>
        <w:jc w:val="both"/>
        <w:rPr>
          <w:sz w:val="24"/>
          <w:szCs w:val="24"/>
        </w:rPr>
      </w:pPr>
      <w:r>
        <w:rPr>
          <w:sz w:val="24"/>
          <w:szCs w:val="24"/>
        </w:rPr>
        <w:t>The Early Childhood Environment Rating Scale (ECERS) stands as a primary assessment tool that professionals use to measure the overall learning space of early childhood facilities. Researchers Harms, Clifford, and Cryer (1998) created ECERS as an observational assessment system to evaluate various aspects of early childhood education quality, assessing space and furnishings, personal care, language and literacy, learning activities, interaction, program structure, and final evaluations of staff and parent provisions. The tool allows inspectors to conduct a comprehensive assessment of physical and social spaces and educational areas by identifying positive qualities and potential improvement opportunities (Harms, Clifford, and Cryer, 1998).</w:t>
      </w:r>
    </w:p>
    <w:p w14:paraId="7A29DA5E" w14:textId="77777777" w:rsidR="00DA10A8" w:rsidRDefault="00000000">
      <w:pPr>
        <w:spacing w:before="280" w:after="280" w:line="360" w:lineRule="auto"/>
        <w:jc w:val="both"/>
        <w:rPr>
          <w:sz w:val="24"/>
          <w:szCs w:val="24"/>
        </w:rPr>
      </w:pPr>
      <w:r>
        <w:rPr>
          <w:sz w:val="24"/>
          <w:szCs w:val="24"/>
        </w:rPr>
        <w:lastRenderedPageBreak/>
        <w:t>Developmental assessments according to the ECERS are conducted by trained external observers who use a standardized scoring system, ranging from level 1 for inadequacy to level 7 for excellence. ECERS functions as a beneficial instrument in research on quality alongside practice-based interventions at national and individual nursery scales, as it features systematic evaluation mechanisms that enable consistent quality assessments across various early childhood facilities. Empirical research defines the assessment framework of this tool, as it demonstrates best practice standards in early childhood educational frameworks (Gordon et al., 2013).</w:t>
      </w:r>
    </w:p>
    <w:p w14:paraId="32AB53BE" w14:textId="77777777" w:rsidR="00DA10A8" w:rsidRDefault="00000000">
      <w:pPr>
        <w:pStyle w:val="Heading2"/>
        <w:rPr>
          <w:sz w:val="28"/>
          <w:szCs w:val="28"/>
        </w:rPr>
      </w:pPr>
      <w:bookmarkStart w:id="9" w:name="_tuvw93xspdrj" w:colFirst="0" w:colLast="0"/>
      <w:bookmarkEnd w:id="9"/>
      <w:r>
        <w:rPr>
          <w:sz w:val="28"/>
          <w:szCs w:val="28"/>
        </w:rPr>
        <w:t>4.1 Advantages of ECERS</w:t>
      </w:r>
    </w:p>
    <w:p w14:paraId="71B862C8" w14:textId="77777777" w:rsidR="00DA10A8" w:rsidRDefault="00000000">
      <w:pPr>
        <w:spacing w:before="280" w:after="280" w:line="360" w:lineRule="auto"/>
        <w:jc w:val="both"/>
        <w:rPr>
          <w:sz w:val="24"/>
          <w:szCs w:val="24"/>
        </w:rPr>
      </w:pPr>
      <w:r>
        <w:rPr>
          <w:sz w:val="24"/>
          <w:szCs w:val="24"/>
        </w:rPr>
        <w:t xml:space="preserve">The main strength of ECERS lies in its systematic methodology, which allows for a comprehensive assessment of quality. The developers designed ECERS with broader assessment capabilities than other quality assurance methods that focus solely on staff education or curriculum development. ECERS analyzes multiple elements that contribute to an excellent early </w:t>
      </w:r>
      <w:proofErr w:type="gramStart"/>
      <w:r>
        <w:rPr>
          <w:sz w:val="24"/>
          <w:szCs w:val="24"/>
        </w:rPr>
        <w:t>years</w:t>
      </w:r>
      <w:proofErr w:type="gramEnd"/>
      <w:r>
        <w:rPr>
          <w:sz w:val="24"/>
          <w:szCs w:val="24"/>
        </w:rPr>
        <w:t xml:space="preserve"> educational setting (Harms, Clifford, and Cryer, 1998). Child outcomes are notably influenced by the strength of interactions between personnel and children, alongside accessible educational resources and the quality of physical learning conditions (Melhuish et al., 2015).</w:t>
      </w:r>
    </w:p>
    <w:p w14:paraId="49B28CCA" w14:textId="77777777" w:rsidR="00DA10A8" w:rsidRDefault="00000000">
      <w:pPr>
        <w:spacing w:before="280" w:after="280" w:line="360" w:lineRule="auto"/>
        <w:jc w:val="both"/>
        <w:rPr>
          <w:sz w:val="24"/>
          <w:szCs w:val="24"/>
        </w:rPr>
      </w:pPr>
      <w:r>
        <w:rPr>
          <w:sz w:val="24"/>
          <w:szCs w:val="24"/>
        </w:rPr>
        <w:t>ECERS has become a standard assessment tool worldwide, enabling effective quality comparisons across diverse geographical areas and contexts. A study-backed quality assessment system prevails, as researchers have validated it for several decades as a reliable evaluation instrument (Sylva et al., 2004). The assessment provides detailed feedback that practitioners can use to create targeted interventions to strengthen their provision areas (Harms et al., 1998).</w:t>
      </w:r>
    </w:p>
    <w:p w14:paraId="61CFFE38" w14:textId="77777777" w:rsidR="00DA10A8" w:rsidRDefault="00000000">
      <w:pPr>
        <w:pStyle w:val="Heading2"/>
        <w:rPr>
          <w:sz w:val="28"/>
          <w:szCs w:val="28"/>
        </w:rPr>
      </w:pPr>
      <w:bookmarkStart w:id="10" w:name="_w7y8n47rwa2t" w:colFirst="0" w:colLast="0"/>
      <w:bookmarkEnd w:id="10"/>
      <w:r>
        <w:rPr>
          <w:sz w:val="28"/>
          <w:szCs w:val="28"/>
        </w:rPr>
        <w:t>4.2 Limitations of ECERS</w:t>
      </w:r>
    </w:p>
    <w:p w14:paraId="03588636" w14:textId="77777777" w:rsidR="00DA10A8" w:rsidRDefault="00000000">
      <w:pPr>
        <w:spacing w:before="280" w:after="280" w:line="360" w:lineRule="auto"/>
        <w:jc w:val="both"/>
        <w:rPr>
          <w:sz w:val="24"/>
          <w:szCs w:val="24"/>
        </w:rPr>
      </w:pPr>
      <w:r>
        <w:rPr>
          <w:sz w:val="24"/>
          <w:szCs w:val="24"/>
        </w:rPr>
        <w:t>The use of ECERS provides numerous benefits, but the tool also exhibits specific limitations. The main drawback is that it is essentially based on external observation (Harms, Clifford, and Cryer, 1998). While the structured scoring system helps create consistency, reliability issues may arise when different observers evaluate the same setting (Gordon et al., 2013).</w:t>
      </w:r>
    </w:p>
    <w:p w14:paraId="76216D40" w14:textId="77777777" w:rsidR="00DA10A8" w:rsidRDefault="00000000">
      <w:pPr>
        <w:spacing w:before="280" w:after="280" w:line="360" w:lineRule="auto"/>
        <w:jc w:val="both"/>
        <w:rPr>
          <w:sz w:val="24"/>
          <w:szCs w:val="24"/>
        </w:rPr>
      </w:pPr>
      <w:r>
        <w:rPr>
          <w:sz w:val="24"/>
          <w:szCs w:val="24"/>
        </w:rPr>
        <w:lastRenderedPageBreak/>
        <w:t>Another limitation is that ECERS concentrates on environmental elements and excludes child development outcomes. It does not directly measure children’s progress, a crucial aspect of early years provision effectiveness (Harms, Clifford, and Cryer, 1998), but it does assess elements of interaction quality and activity planning. The assessment process is also slow and resource-intensive, requiring professional observers to make meticulous efforts. This can be difficult to implement in smaller settings where budgets and staff capacity are limited.</w:t>
      </w:r>
    </w:p>
    <w:p w14:paraId="7B6933D2" w14:textId="77777777" w:rsidR="00DA10A8" w:rsidRDefault="00000000">
      <w:pPr>
        <w:pStyle w:val="Heading1"/>
        <w:numPr>
          <w:ilvl w:val="0"/>
          <w:numId w:val="1"/>
        </w:numPr>
        <w:spacing w:line="360" w:lineRule="auto"/>
        <w:jc w:val="both"/>
        <w:rPr>
          <w:sz w:val="32"/>
          <w:szCs w:val="32"/>
        </w:rPr>
      </w:pPr>
      <w:bookmarkStart w:id="11" w:name="_uvg8p3cq7og7" w:colFirst="0" w:colLast="0"/>
      <w:bookmarkStart w:id="12" w:name="_Hlk194268039"/>
      <w:bookmarkEnd w:id="11"/>
      <w:r>
        <w:rPr>
          <w:sz w:val="32"/>
          <w:szCs w:val="32"/>
        </w:rPr>
        <w:t>Comparative Analysis of NDNA Quality Counts Scheme and ECERS</w:t>
      </w:r>
    </w:p>
    <w:tbl>
      <w:tblPr>
        <w:tblStyle w:val="a1"/>
        <w:tblW w:w="9576" w:type="dxa"/>
        <w:tblInd w:w="-108" w:type="dxa"/>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Layout w:type="fixed"/>
        <w:tblLook w:val="04A0" w:firstRow="1" w:lastRow="0" w:firstColumn="1" w:lastColumn="0" w:noHBand="0" w:noVBand="1"/>
      </w:tblPr>
      <w:tblGrid>
        <w:gridCol w:w="2178"/>
        <w:gridCol w:w="3600"/>
        <w:gridCol w:w="3798"/>
      </w:tblGrid>
      <w:tr w:rsidR="00DA10A8" w14:paraId="74BFCEE5" w14:textId="77777777" w:rsidTr="00DA10A8">
        <w:trPr>
          <w:cnfStyle w:val="100000000000" w:firstRow="1" w:lastRow="0" w:firstColumn="0" w:lastColumn="0" w:oddVBand="0" w:evenVBand="0" w:oddHBand="0"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2178" w:type="dxa"/>
            <w:vAlign w:val="center"/>
          </w:tcPr>
          <w:p w14:paraId="0DF5FDFF" w14:textId="77777777" w:rsidR="00DA10A8" w:rsidRDefault="00000000">
            <w:pPr>
              <w:spacing w:line="276" w:lineRule="auto"/>
              <w:jc w:val="center"/>
              <w:rPr>
                <w:sz w:val="28"/>
                <w:szCs w:val="28"/>
              </w:rPr>
            </w:pPr>
            <w:r>
              <w:rPr>
                <w:sz w:val="28"/>
                <w:szCs w:val="28"/>
              </w:rPr>
              <w:t>Criteria</w:t>
            </w:r>
          </w:p>
        </w:tc>
        <w:tc>
          <w:tcPr>
            <w:tcW w:w="3600" w:type="dxa"/>
            <w:vAlign w:val="center"/>
          </w:tcPr>
          <w:p w14:paraId="311DD91C" w14:textId="77777777" w:rsidR="00DA10A8" w:rsidRDefault="00000000">
            <w:pPr>
              <w:spacing w:line="276" w:lineRule="auto"/>
              <w:jc w:val="cente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NDNA</w:t>
            </w:r>
          </w:p>
        </w:tc>
        <w:tc>
          <w:tcPr>
            <w:tcW w:w="3798" w:type="dxa"/>
            <w:vAlign w:val="center"/>
          </w:tcPr>
          <w:p w14:paraId="611EC6DC" w14:textId="77777777" w:rsidR="00DA10A8" w:rsidRDefault="00000000">
            <w:pPr>
              <w:spacing w:line="276" w:lineRule="auto"/>
              <w:jc w:val="center"/>
              <w:cnfStyle w:val="100000000000" w:firstRow="1" w:lastRow="0" w:firstColumn="0" w:lastColumn="0" w:oddVBand="0" w:evenVBand="0" w:oddHBand="0" w:evenHBand="0" w:firstRowFirstColumn="0" w:firstRowLastColumn="0" w:lastRowFirstColumn="0" w:lastRowLastColumn="0"/>
              <w:rPr>
                <w:sz w:val="28"/>
                <w:szCs w:val="28"/>
              </w:rPr>
            </w:pPr>
            <w:r>
              <w:rPr>
                <w:sz w:val="28"/>
                <w:szCs w:val="28"/>
              </w:rPr>
              <w:t>ECERS</w:t>
            </w:r>
          </w:p>
        </w:tc>
      </w:tr>
      <w:tr w:rsidR="00DA10A8" w14:paraId="73D42260" w14:textId="77777777" w:rsidTr="00DA10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8" w:type="dxa"/>
            <w:vAlign w:val="center"/>
          </w:tcPr>
          <w:p w14:paraId="7D711362" w14:textId="77777777" w:rsidR="00DA10A8" w:rsidRDefault="00000000">
            <w:pPr>
              <w:spacing w:line="276" w:lineRule="auto"/>
              <w:jc w:val="center"/>
              <w:rPr>
                <w:sz w:val="24"/>
                <w:szCs w:val="24"/>
              </w:rPr>
            </w:pPr>
            <w:r>
              <w:rPr>
                <w:sz w:val="24"/>
                <w:szCs w:val="24"/>
              </w:rPr>
              <w:t>Focus</w:t>
            </w:r>
          </w:p>
        </w:tc>
        <w:tc>
          <w:tcPr>
            <w:tcW w:w="3600" w:type="dxa"/>
            <w:vAlign w:val="center"/>
          </w:tcPr>
          <w:p w14:paraId="7601A1E4" w14:textId="77777777" w:rsidR="00DA10A8" w:rsidRDefault="00000000">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Leadership, curriculum, parental engagement</w:t>
            </w:r>
          </w:p>
        </w:tc>
        <w:tc>
          <w:tcPr>
            <w:tcW w:w="3798" w:type="dxa"/>
            <w:vAlign w:val="center"/>
          </w:tcPr>
          <w:p w14:paraId="37AC9B71" w14:textId="77777777" w:rsidR="00DA10A8" w:rsidRDefault="00000000">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Learning environment, child engagement</w:t>
            </w:r>
          </w:p>
        </w:tc>
      </w:tr>
      <w:tr w:rsidR="00DA10A8" w14:paraId="511B276E" w14:textId="77777777" w:rsidTr="00DA10A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8" w:type="dxa"/>
            <w:vAlign w:val="center"/>
          </w:tcPr>
          <w:p w14:paraId="2C37C565" w14:textId="77777777" w:rsidR="00DA10A8" w:rsidRDefault="00000000">
            <w:pPr>
              <w:spacing w:line="276" w:lineRule="auto"/>
              <w:jc w:val="center"/>
              <w:rPr>
                <w:sz w:val="24"/>
                <w:szCs w:val="24"/>
              </w:rPr>
            </w:pPr>
            <w:r>
              <w:rPr>
                <w:sz w:val="24"/>
                <w:szCs w:val="24"/>
              </w:rPr>
              <w:t>Assessment Type</w:t>
            </w:r>
          </w:p>
        </w:tc>
        <w:tc>
          <w:tcPr>
            <w:tcW w:w="3600" w:type="dxa"/>
            <w:vAlign w:val="center"/>
          </w:tcPr>
          <w:p w14:paraId="729C8BBB" w14:textId="77777777" w:rsidR="00DA10A8" w:rsidRDefault="00000000">
            <w:pPr>
              <w:spacing w:line="276" w:lineRule="auto"/>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Self-evaluation, accreditation-based</w:t>
            </w:r>
          </w:p>
        </w:tc>
        <w:tc>
          <w:tcPr>
            <w:tcW w:w="3798" w:type="dxa"/>
            <w:vAlign w:val="center"/>
          </w:tcPr>
          <w:p w14:paraId="7AA96F2E" w14:textId="77777777" w:rsidR="00DA10A8" w:rsidRDefault="00000000">
            <w:pPr>
              <w:spacing w:line="276" w:lineRule="auto"/>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Observation-based evaluation</w:t>
            </w:r>
          </w:p>
        </w:tc>
      </w:tr>
      <w:tr w:rsidR="00DA10A8" w14:paraId="7E5F55C2" w14:textId="77777777" w:rsidTr="00DA10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8" w:type="dxa"/>
            <w:vAlign w:val="center"/>
          </w:tcPr>
          <w:p w14:paraId="19C47A35" w14:textId="77777777" w:rsidR="00DA10A8" w:rsidRDefault="00000000">
            <w:pPr>
              <w:spacing w:line="276" w:lineRule="auto"/>
              <w:jc w:val="center"/>
              <w:rPr>
                <w:sz w:val="24"/>
                <w:szCs w:val="24"/>
              </w:rPr>
            </w:pPr>
            <w:r>
              <w:rPr>
                <w:sz w:val="24"/>
                <w:szCs w:val="24"/>
              </w:rPr>
              <w:t>Impact on Providers</w:t>
            </w:r>
          </w:p>
        </w:tc>
        <w:tc>
          <w:tcPr>
            <w:tcW w:w="3600" w:type="dxa"/>
            <w:vAlign w:val="center"/>
          </w:tcPr>
          <w:p w14:paraId="21911587" w14:textId="77777777" w:rsidR="00DA10A8" w:rsidRDefault="00000000">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Encourages long-term professional development</w:t>
            </w:r>
          </w:p>
        </w:tc>
        <w:tc>
          <w:tcPr>
            <w:tcW w:w="3798" w:type="dxa"/>
            <w:vAlign w:val="center"/>
          </w:tcPr>
          <w:p w14:paraId="55F3A074" w14:textId="77777777" w:rsidR="00DA10A8" w:rsidRDefault="00000000">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Supports improvements in classroom settings</w:t>
            </w:r>
          </w:p>
        </w:tc>
      </w:tr>
      <w:tr w:rsidR="00DA10A8" w14:paraId="7730F9E0" w14:textId="77777777" w:rsidTr="00DA10A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8" w:type="dxa"/>
            <w:vAlign w:val="center"/>
          </w:tcPr>
          <w:p w14:paraId="2A69E897" w14:textId="77777777" w:rsidR="00DA10A8" w:rsidRDefault="00000000">
            <w:pPr>
              <w:spacing w:line="276" w:lineRule="auto"/>
              <w:jc w:val="center"/>
              <w:rPr>
                <w:sz w:val="24"/>
                <w:szCs w:val="24"/>
              </w:rPr>
            </w:pPr>
            <w:r>
              <w:rPr>
                <w:sz w:val="24"/>
                <w:szCs w:val="24"/>
              </w:rPr>
              <w:t>Stakeholder Involvement</w:t>
            </w:r>
          </w:p>
        </w:tc>
        <w:tc>
          <w:tcPr>
            <w:tcW w:w="3600" w:type="dxa"/>
            <w:vAlign w:val="center"/>
          </w:tcPr>
          <w:p w14:paraId="3C0CBF19" w14:textId="77777777" w:rsidR="00DA10A8" w:rsidRDefault="00000000">
            <w:pPr>
              <w:spacing w:line="276" w:lineRule="auto"/>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Involves staff, parents, and leadership</w:t>
            </w:r>
          </w:p>
        </w:tc>
        <w:tc>
          <w:tcPr>
            <w:tcW w:w="3798" w:type="dxa"/>
            <w:vAlign w:val="center"/>
          </w:tcPr>
          <w:p w14:paraId="500BFE8B" w14:textId="77777777" w:rsidR="00DA10A8" w:rsidRDefault="00000000">
            <w:pPr>
              <w:spacing w:line="276" w:lineRule="auto"/>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Primarily focuses on teacher-child interactions</w:t>
            </w:r>
          </w:p>
        </w:tc>
      </w:tr>
      <w:tr w:rsidR="00DA10A8" w14:paraId="51D8A437" w14:textId="77777777" w:rsidTr="00DA10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8" w:type="dxa"/>
            <w:vAlign w:val="center"/>
          </w:tcPr>
          <w:p w14:paraId="2CEF0F58" w14:textId="77777777" w:rsidR="00DA10A8" w:rsidRDefault="00000000">
            <w:pPr>
              <w:spacing w:line="276" w:lineRule="auto"/>
              <w:jc w:val="center"/>
              <w:rPr>
                <w:sz w:val="24"/>
                <w:szCs w:val="24"/>
              </w:rPr>
            </w:pPr>
            <w:r>
              <w:rPr>
                <w:sz w:val="24"/>
                <w:szCs w:val="24"/>
              </w:rPr>
              <w:t>Depth of Analysis</w:t>
            </w:r>
          </w:p>
        </w:tc>
        <w:tc>
          <w:tcPr>
            <w:tcW w:w="3600" w:type="dxa"/>
            <w:vAlign w:val="center"/>
          </w:tcPr>
          <w:p w14:paraId="6A2C7E4E" w14:textId="77777777" w:rsidR="00DA10A8" w:rsidRDefault="00000000">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Broad and strategic</w:t>
            </w:r>
          </w:p>
        </w:tc>
        <w:tc>
          <w:tcPr>
            <w:tcW w:w="3798" w:type="dxa"/>
            <w:vAlign w:val="center"/>
          </w:tcPr>
          <w:p w14:paraId="47F66049" w14:textId="77777777" w:rsidR="00DA10A8" w:rsidRDefault="00000000">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Detailed and specific to the environment</w:t>
            </w:r>
          </w:p>
        </w:tc>
      </w:tr>
      <w:tr w:rsidR="00DA10A8" w14:paraId="18C04B6C" w14:textId="77777777" w:rsidTr="00DA10A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8" w:type="dxa"/>
            <w:vAlign w:val="center"/>
          </w:tcPr>
          <w:p w14:paraId="7F20A7B2" w14:textId="77777777" w:rsidR="00DA10A8" w:rsidRDefault="00000000">
            <w:pPr>
              <w:spacing w:line="276" w:lineRule="auto"/>
              <w:jc w:val="center"/>
              <w:rPr>
                <w:sz w:val="24"/>
                <w:szCs w:val="24"/>
              </w:rPr>
            </w:pPr>
            <w:r>
              <w:rPr>
                <w:sz w:val="24"/>
                <w:szCs w:val="24"/>
              </w:rPr>
              <w:t>Flexibility</w:t>
            </w:r>
          </w:p>
        </w:tc>
        <w:tc>
          <w:tcPr>
            <w:tcW w:w="3600" w:type="dxa"/>
            <w:vAlign w:val="center"/>
          </w:tcPr>
          <w:p w14:paraId="22CE5013" w14:textId="77777777" w:rsidR="00DA10A8" w:rsidRDefault="00000000">
            <w:pPr>
              <w:spacing w:line="276" w:lineRule="auto"/>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Customizable framework</w:t>
            </w:r>
          </w:p>
        </w:tc>
        <w:tc>
          <w:tcPr>
            <w:tcW w:w="3798" w:type="dxa"/>
            <w:vAlign w:val="center"/>
          </w:tcPr>
          <w:p w14:paraId="5FE2BED8" w14:textId="77777777" w:rsidR="00DA10A8" w:rsidRDefault="00000000">
            <w:pPr>
              <w:spacing w:line="276" w:lineRule="auto"/>
              <w:cnfStyle w:val="000000010000" w:firstRow="0" w:lastRow="0" w:firstColumn="0" w:lastColumn="0" w:oddVBand="0" w:evenVBand="0" w:oddHBand="0" w:evenHBand="1" w:firstRowFirstColumn="0" w:firstRowLastColumn="0" w:lastRowFirstColumn="0" w:lastRowLastColumn="0"/>
              <w:rPr>
                <w:sz w:val="24"/>
                <w:szCs w:val="24"/>
              </w:rPr>
            </w:pPr>
            <w:r>
              <w:rPr>
                <w:sz w:val="24"/>
                <w:szCs w:val="24"/>
              </w:rPr>
              <w:t>Fixed criteria based on developmental research</w:t>
            </w:r>
          </w:p>
        </w:tc>
      </w:tr>
      <w:tr w:rsidR="00DA10A8" w14:paraId="0FAC2FC5" w14:textId="77777777" w:rsidTr="00DA10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178" w:type="dxa"/>
            <w:vAlign w:val="center"/>
          </w:tcPr>
          <w:p w14:paraId="241A37BE" w14:textId="77777777" w:rsidR="00DA10A8" w:rsidRDefault="00000000">
            <w:pPr>
              <w:spacing w:line="276" w:lineRule="auto"/>
              <w:jc w:val="center"/>
              <w:rPr>
                <w:sz w:val="24"/>
                <w:szCs w:val="24"/>
              </w:rPr>
            </w:pPr>
            <w:r>
              <w:rPr>
                <w:sz w:val="24"/>
                <w:szCs w:val="24"/>
              </w:rPr>
              <w:t>Implementation Challenges</w:t>
            </w:r>
          </w:p>
        </w:tc>
        <w:tc>
          <w:tcPr>
            <w:tcW w:w="3600" w:type="dxa"/>
            <w:vAlign w:val="center"/>
          </w:tcPr>
          <w:p w14:paraId="1CD92EC5" w14:textId="77777777" w:rsidR="00DA10A8" w:rsidRDefault="00000000">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Requires financial and time investment</w:t>
            </w:r>
          </w:p>
        </w:tc>
        <w:tc>
          <w:tcPr>
            <w:tcW w:w="3798" w:type="dxa"/>
            <w:vAlign w:val="center"/>
          </w:tcPr>
          <w:p w14:paraId="52E3FEA0" w14:textId="77777777" w:rsidR="00DA10A8" w:rsidRDefault="00000000">
            <w:pPr>
              <w:spacing w:line="276"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Time-consuming, dependent on observer judgment</w:t>
            </w:r>
          </w:p>
        </w:tc>
      </w:tr>
    </w:tbl>
    <w:p w14:paraId="5BB164C4" w14:textId="77777777" w:rsidR="00DA10A8" w:rsidRDefault="00000000">
      <w:pPr>
        <w:pStyle w:val="Heading1"/>
        <w:numPr>
          <w:ilvl w:val="0"/>
          <w:numId w:val="1"/>
        </w:numPr>
        <w:rPr>
          <w:sz w:val="32"/>
          <w:szCs w:val="32"/>
        </w:rPr>
      </w:pPr>
      <w:bookmarkStart w:id="13" w:name="_lj8g0m99pnxt" w:colFirst="0" w:colLast="0"/>
      <w:bookmarkStart w:id="14" w:name="_Hlk194268147"/>
      <w:bookmarkEnd w:id="12"/>
      <w:bookmarkEnd w:id="13"/>
      <w:r>
        <w:rPr>
          <w:sz w:val="32"/>
          <w:szCs w:val="32"/>
        </w:rPr>
        <w:t>Implications for Improving Quality in Early Years Education</w:t>
      </w:r>
    </w:p>
    <w:p w14:paraId="3F73A8FE" w14:textId="77777777" w:rsidR="00DA10A8" w:rsidRDefault="00000000">
      <w:pPr>
        <w:pStyle w:val="Heading2"/>
        <w:rPr>
          <w:sz w:val="28"/>
          <w:szCs w:val="28"/>
        </w:rPr>
      </w:pPr>
      <w:bookmarkStart w:id="15" w:name="_ggb29x5dctyh" w:colFirst="0" w:colLast="0"/>
      <w:bookmarkEnd w:id="15"/>
      <w:r>
        <w:rPr>
          <w:sz w:val="28"/>
          <w:szCs w:val="28"/>
        </w:rPr>
        <w:t>6.1 What Information is needed to improve the Provision?</w:t>
      </w:r>
    </w:p>
    <w:bookmarkEnd w:id="14"/>
    <w:p w14:paraId="5326E06E" w14:textId="77777777" w:rsidR="00DA10A8" w:rsidRDefault="00000000">
      <w:pPr>
        <w:spacing w:before="280" w:after="280" w:line="360" w:lineRule="auto"/>
        <w:jc w:val="both"/>
        <w:rPr>
          <w:sz w:val="24"/>
          <w:szCs w:val="24"/>
        </w:rPr>
      </w:pPr>
      <w:r>
        <w:rPr>
          <w:sz w:val="24"/>
          <w:szCs w:val="24"/>
        </w:rPr>
        <w:t xml:space="preserve">To improve the quality of early years education, comprehensive and systematic data on a range of aspects of provision are needed (Eadie et al., 2024). This includes appraising teaching strategies, learning environments, teacher qualifications, and child development outcomes. For </w:t>
      </w:r>
      <w:r>
        <w:rPr>
          <w:sz w:val="24"/>
          <w:szCs w:val="24"/>
        </w:rPr>
        <w:lastRenderedPageBreak/>
        <w:t>holistic child development, it is necessary to understand the impact of staff-child interactions, curriculum effectiveness, and emotional well-being (Penney et al., 2019). This also helps in measuring parental involvement, inclusivity, and leadership effectiveness in early years settings. Regular updates must be based on objective, measurable data collection because early childhood centers need to adapt their programs to serve the changing needs of children and their families.</w:t>
      </w:r>
    </w:p>
    <w:p w14:paraId="157CB2BB" w14:textId="77777777" w:rsidR="00DA10A8" w:rsidRDefault="00000000">
      <w:pPr>
        <w:pStyle w:val="Heading2"/>
        <w:rPr>
          <w:sz w:val="28"/>
          <w:szCs w:val="28"/>
        </w:rPr>
      </w:pPr>
      <w:bookmarkStart w:id="16" w:name="_esduemgftujb" w:colFirst="0" w:colLast="0"/>
      <w:bookmarkEnd w:id="16"/>
      <w:r>
        <w:rPr>
          <w:sz w:val="28"/>
          <w:szCs w:val="28"/>
        </w:rPr>
        <w:t xml:space="preserve">6.2 </w:t>
      </w:r>
      <w:bookmarkStart w:id="17" w:name="_Hlk194269120"/>
      <w:r>
        <w:rPr>
          <w:sz w:val="28"/>
          <w:szCs w:val="28"/>
        </w:rPr>
        <w:t>Do NDNA and ECERS Provide This Information</w:t>
      </w:r>
      <w:bookmarkEnd w:id="17"/>
      <w:r>
        <w:rPr>
          <w:sz w:val="28"/>
          <w:szCs w:val="28"/>
        </w:rPr>
        <w:t>?</w:t>
      </w:r>
    </w:p>
    <w:p w14:paraId="6BE17072" w14:textId="77777777" w:rsidR="00DA10A8" w:rsidRDefault="00000000">
      <w:pPr>
        <w:spacing w:before="280" w:after="280" w:line="360" w:lineRule="auto"/>
        <w:jc w:val="both"/>
        <w:rPr>
          <w:sz w:val="24"/>
          <w:szCs w:val="24"/>
        </w:rPr>
      </w:pPr>
      <w:bookmarkStart w:id="18" w:name="_qvjwf2d8nkf1" w:colFirst="0" w:colLast="0"/>
      <w:bookmarkEnd w:id="18"/>
      <w:r>
        <w:rPr>
          <w:sz w:val="24"/>
          <w:szCs w:val="24"/>
        </w:rPr>
        <w:t>The National Day Nurseries Association (NDNA) works alongside the Early Childhood Environment Rating Scale (ECERS) to conduct assessments and raise quality standards in early years facilities. The NDNA (2025) states that Quality Counts functions as both an assessment instrument and an accreditation method, focusing on evaluating Leadership and Management, Workforce Development, and Parental Involvement. This structure enables teams to identify their areas of excellence and inadequacy while promoting continuous improvement. In contrast, ECERS is a tool for observing the environment, routines, and quality of interaction. In this essay, the focus is on the physical and social-emotional aspects of early childhood education and ensuring that all children have access to engaging and developmentally appropriate experiences (Harms, Clifford, and Cryer, 1998). Taken together, these methods offer an all-around good way to evaluate and improve quality.</w:t>
      </w:r>
    </w:p>
    <w:p w14:paraId="42A3AE50" w14:textId="77777777" w:rsidR="00DA10A8" w:rsidRDefault="00000000">
      <w:pPr>
        <w:pStyle w:val="Heading2"/>
        <w:rPr>
          <w:sz w:val="28"/>
          <w:szCs w:val="28"/>
        </w:rPr>
      </w:pPr>
      <w:bookmarkStart w:id="19" w:name="_msasonw5nm1k" w:colFirst="0" w:colLast="0"/>
      <w:bookmarkEnd w:id="19"/>
      <w:r>
        <w:rPr>
          <w:sz w:val="28"/>
          <w:szCs w:val="28"/>
        </w:rPr>
        <w:t xml:space="preserve">6.3 </w:t>
      </w:r>
      <w:bookmarkStart w:id="20" w:name="_Hlk194269082"/>
      <w:r>
        <w:rPr>
          <w:sz w:val="28"/>
          <w:szCs w:val="28"/>
        </w:rPr>
        <w:t>What Do These Methods Tell Us?</w:t>
      </w:r>
      <w:bookmarkEnd w:id="20"/>
    </w:p>
    <w:p w14:paraId="1C63184B" w14:textId="77777777" w:rsidR="00DA10A8" w:rsidRDefault="00000000">
      <w:pPr>
        <w:spacing w:before="280" w:after="280" w:line="360" w:lineRule="auto"/>
        <w:jc w:val="both"/>
        <w:rPr>
          <w:sz w:val="24"/>
          <w:szCs w:val="24"/>
        </w:rPr>
      </w:pPr>
      <w:r>
        <w:rPr>
          <w:sz w:val="24"/>
          <w:szCs w:val="24"/>
        </w:rPr>
        <w:t>NDNA and ECERS are both valuable contributions to ensuring quality assurance, yet there are inherent shortcomings in each. These help settings evaluate their policies, leadership, and staff training to establish a strong foundation for quality improvement. ECERS is an organized assessment of classrooms and teaching practices for improving learning experiences. Nevertheless, neither method measures long-term child outcomes nor evaluates home learning environments, which are necessary for a full understanding of child development.</w:t>
      </w:r>
    </w:p>
    <w:p w14:paraId="20A7B7EF" w14:textId="77777777" w:rsidR="00DA10A8" w:rsidRDefault="00000000">
      <w:pPr>
        <w:spacing w:before="280" w:after="280" w:line="360" w:lineRule="auto"/>
        <w:jc w:val="both"/>
        <w:rPr>
          <w:sz w:val="24"/>
          <w:szCs w:val="24"/>
        </w:rPr>
      </w:pPr>
      <w:r>
        <w:rPr>
          <w:sz w:val="24"/>
          <w:szCs w:val="24"/>
        </w:rPr>
        <w:t>NDNA and ECERS can be used to develop targeted staff training, refine policies, and impact learning environments. These frameworks support the use of data as the basis for decision-</w:t>
      </w:r>
      <w:r>
        <w:rPr>
          <w:sz w:val="24"/>
          <w:szCs w:val="24"/>
        </w:rPr>
        <w:lastRenderedPageBreak/>
        <w:t xml:space="preserve">making, involving reflective practice and continual improvement, so that early </w:t>
      </w:r>
      <w:proofErr w:type="gramStart"/>
      <w:r>
        <w:rPr>
          <w:sz w:val="24"/>
          <w:szCs w:val="24"/>
        </w:rPr>
        <w:t>years</w:t>
      </w:r>
      <w:proofErr w:type="gramEnd"/>
      <w:r>
        <w:rPr>
          <w:sz w:val="24"/>
          <w:szCs w:val="24"/>
        </w:rPr>
        <w:t xml:space="preserve"> settings provide high-quality practice and meet statutory requirements. Integrating them into practitioners' and leaders' daily practice can help ensure better long-term developmental outcomes for children through high-quality, child-centered education.</w:t>
      </w:r>
    </w:p>
    <w:p w14:paraId="5D4818A0" w14:textId="77777777" w:rsidR="00DA10A8" w:rsidRDefault="00000000">
      <w:pPr>
        <w:pStyle w:val="Heading1"/>
        <w:numPr>
          <w:ilvl w:val="0"/>
          <w:numId w:val="1"/>
        </w:numPr>
        <w:spacing w:before="0"/>
        <w:rPr>
          <w:sz w:val="32"/>
          <w:szCs w:val="32"/>
        </w:rPr>
      </w:pPr>
      <w:bookmarkStart w:id="21" w:name="_kmmo919bfzhl" w:colFirst="0" w:colLast="0"/>
      <w:bookmarkEnd w:id="21"/>
      <w:r>
        <w:rPr>
          <w:sz w:val="32"/>
          <w:szCs w:val="32"/>
        </w:rPr>
        <w:t>Conclusion</w:t>
      </w:r>
    </w:p>
    <w:p w14:paraId="31E592EF" w14:textId="77777777" w:rsidR="00DA10A8" w:rsidRDefault="00000000">
      <w:pPr>
        <w:spacing w:before="280" w:after="280" w:line="360" w:lineRule="auto"/>
        <w:jc w:val="both"/>
        <w:rPr>
          <w:sz w:val="24"/>
          <w:szCs w:val="24"/>
        </w:rPr>
      </w:pPr>
      <w:r>
        <w:rPr>
          <w:sz w:val="24"/>
          <w:szCs w:val="24"/>
        </w:rPr>
        <w:t xml:space="preserve">A strong quality assurance system that goes beyond statutory compliance will be necessary to ensure that early </w:t>
      </w:r>
      <w:proofErr w:type="gramStart"/>
      <w:r>
        <w:rPr>
          <w:sz w:val="24"/>
          <w:szCs w:val="24"/>
        </w:rPr>
        <w:t>years</w:t>
      </w:r>
      <w:proofErr w:type="gramEnd"/>
      <w:r>
        <w:rPr>
          <w:sz w:val="24"/>
          <w:szCs w:val="24"/>
        </w:rPr>
        <w:t xml:space="preserve"> education is of high quality. There are valuable approaches to assessing and improving quality in the NDNA Quality Counts Scheme and ECERS. ECERS provides detailed insights into children's classroom environments and interactions, while NDNA presents a strategic, whole-setting evaluation. By using multiple quality assurance methods in early years settings, practitioners can drive improvement, enhance children's outcomes, and create a nurturing and positive learning environment.</w:t>
      </w:r>
    </w:p>
    <w:p w14:paraId="4F42A860" w14:textId="77777777" w:rsidR="00DA10A8" w:rsidRDefault="00000000">
      <w:pPr>
        <w:rPr>
          <w:sz w:val="24"/>
          <w:szCs w:val="24"/>
        </w:rPr>
      </w:pPr>
      <w:r>
        <w:br w:type="page"/>
      </w:r>
    </w:p>
    <w:p w14:paraId="4B4244A4" w14:textId="77777777" w:rsidR="00DA10A8" w:rsidRDefault="00000000">
      <w:pPr>
        <w:pStyle w:val="Heading1"/>
        <w:jc w:val="center"/>
      </w:pPr>
      <w:bookmarkStart w:id="22" w:name="_ptd6v7nbizzx" w:colFirst="0" w:colLast="0"/>
      <w:bookmarkStart w:id="23" w:name="_Hlk194269567"/>
      <w:bookmarkEnd w:id="22"/>
      <w:r>
        <w:rPr>
          <w:sz w:val="32"/>
          <w:szCs w:val="32"/>
        </w:rPr>
        <w:lastRenderedPageBreak/>
        <w:t>References</w:t>
      </w:r>
    </w:p>
    <w:p w14:paraId="48501248" w14:textId="77777777" w:rsidR="00DA10A8" w:rsidRDefault="00000000">
      <w:pPr>
        <w:spacing w:before="240" w:line="360" w:lineRule="auto"/>
        <w:ind w:left="720" w:hanging="720"/>
        <w:jc w:val="both"/>
        <w:rPr>
          <w:sz w:val="24"/>
          <w:szCs w:val="24"/>
        </w:rPr>
      </w:pPr>
      <w:r>
        <w:rPr>
          <w:sz w:val="24"/>
          <w:szCs w:val="24"/>
        </w:rPr>
        <w:t>Adlerstein Grimberg, C. and Cortazar, A. (2022). Creating Early Childhood Education Environments That Promote Early Learning. 10.1596/978-1-4648-1795-3_ch4.</w:t>
      </w:r>
    </w:p>
    <w:p w14:paraId="42DA31AB" w14:textId="77777777" w:rsidR="00DA10A8" w:rsidRDefault="00000000">
      <w:pPr>
        <w:spacing w:line="360" w:lineRule="auto"/>
        <w:ind w:left="720" w:hanging="720"/>
        <w:jc w:val="both"/>
        <w:rPr>
          <w:sz w:val="24"/>
          <w:szCs w:val="24"/>
        </w:rPr>
      </w:pPr>
      <w:r>
        <w:rPr>
          <w:sz w:val="24"/>
          <w:szCs w:val="24"/>
        </w:rPr>
        <w:t xml:space="preserve">Asamoah, M. K., Ansong, J. D., Mackin, E., and Agyekum, B. (2025). The influence of Quality Assurance on achieving development Education ethical goals. Available at: </w:t>
      </w:r>
      <w:hyperlink r:id="rId5">
        <w:r>
          <w:rPr>
            <w:color w:val="0000FF"/>
            <w:sz w:val="24"/>
            <w:szCs w:val="24"/>
            <w:u w:val="single"/>
          </w:rPr>
          <w:t>https://doi.org/10.21203/rs.3.rs-5932885/v1</w:t>
        </w:r>
      </w:hyperlink>
      <w:r>
        <w:rPr>
          <w:sz w:val="24"/>
          <w:szCs w:val="24"/>
        </w:rPr>
        <w:t xml:space="preserve"> (Accessed: 21 March 2025).</w:t>
      </w:r>
    </w:p>
    <w:p w14:paraId="47B03AF9" w14:textId="77777777" w:rsidR="00DA10A8" w:rsidRDefault="00000000">
      <w:pPr>
        <w:spacing w:line="360" w:lineRule="auto"/>
        <w:ind w:left="720" w:hanging="720"/>
        <w:jc w:val="both"/>
        <w:rPr>
          <w:sz w:val="24"/>
          <w:szCs w:val="24"/>
        </w:rPr>
      </w:pPr>
      <w:r>
        <w:rPr>
          <w:sz w:val="24"/>
          <w:szCs w:val="24"/>
        </w:rPr>
        <w:t xml:space="preserve">Butler, A. (2017). Putting quality at the heart of the early years. Available at: </w:t>
      </w:r>
      <w:hyperlink r:id="rId6">
        <w:r>
          <w:rPr>
            <w:color w:val="0000FF"/>
            <w:sz w:val="24"/>
            <w:szCs w:val="24"/>
            <w:u w:val="single"/>
          </w:rPr>
          <w:t>https://www.solgrid.org.uk/wp-content/uploads/sites/31/2016/11/Putting-quality-at-the-heart-of-EY-FCT-1.pdf</w:t>
        </w:r>
      </w:hyperlink>
      <w:r>
        <w:rPr>
          <w:sz w:val="24"/>
          <w:szCs w:val="24"/>
        </w:rPr>
        <w:t xml:space="preserve"> (Accessed: 22 March 2025).</w:t>
      </w:r>
    </w:p>
    <w:p w14:paraId="4ED331BB" w14:textId="77777777" w:rsidR="00DA10A8" w:rsidRDefault="00000000">
      <w:pPr>
        <w:spacing w:line="360" w:lineRule="auto"/>
        <w:ind w:left="720" w:hanging="720"/>
        <w:jc w:val="both"/>
        <w:rPr>
          <w:sz w:val="24"/>
          <w:szCs w:val="24"/>
        </w:rPr>
      </w:pPr>
      <w:r>
        <w:rPr>
          <w:sz w:val="24"/>
          <w:szCs w:val="24"/>
        </w:rPr>
        <w:t>Eadie, P., Page, J., Levickis, P., Elek, C., Murray, L., Wang, L., and Lloyd-Johnsen, C. (2024). Domains of quality in early childhood education and care: A scoping review of the extent and consistency of the literature. Educational Review, 76(4), 1057-1086.</w:t>
      </w:r>
    </w:p>
    <w:p w14:paraId="1727B385" w14:textId="77777777" w:rsidR="00DA10A8" w:rsidRDefault="00000000">
      <w:pPr>
        <w:spacing w:line="360" w:lineRule="auto"/>
        <w:ind w:left="720" w:hanging="720"/>
        <w:jc w:val="both"/>
        <w:rPr>
          <w:sz w:val="24"/>
          <w:szCs w:val="24"/>
        </w:rPr>
      </w:pPr>
      <w:r>
        <w:rPr>
          <w:sz w:val="24"/>
          <w:szCs w:val="24"/>
        </w:rPr>
        <w:t>Evans, M. (2012). Quality assurance, part 1-E-Quality Counts: Helping staff to work together. Nursery World.</w:t>
      </w:r>
    </w:p>
    <w:p w14:paraId="691EADF6" w14:textId="77777777" w:rsidR="00DA10A8" w:rsidRDefault="00000000">
      <w:pPr>
        <w:spacing w:line="360" w:lineRule="auto"/>
        <w:ind w:left="720" w:hanging="720"/>
        <w:jc w:val="both"/>
        <w:rPr>
          <w:color w:val="222222"/>
          <w:sz w:val="24"/>
          <w:szCs w:val="24"/>
          <w:highlight w:val="white"/>
        </w:rPr>
      </w:pPr>
      <w:r>
        <w:rPr>
          <w:color w:val="222222"/>
          <w:sz w:val="24"/>
          <w:szCs w:val="24"/>
          <w:highlight w:val="white"/>
        </w:rPr>
        <w:t>García, J. L., Heckman, J. J., Leaf, D. E., and Prados, M. J. (2017). </w:t>
      </w:r>
      <w:r>
        <w:rPr>
          <w:i/>
          <w:color w:val="222222"/>
          <w:sz w:val="24"/>
          <w:szCs w:val="24"/>
          <w:highlight w:val="white"/>
        </w:rPr>
        <w:t>The life-cycle benefits of an influential early childhood program</w:t>
      </w:r>
      <w:r>
        <w:rPr>
          <w:color w:val="222222"/>
          <w:sz w:val="24"/>
          <w:szCs w:val="24"/>
          <w:highlight w:val="white"/>
        </w:rPr>
        <w:t> (No. w22993). National Bureau of Economic Research.</w:t>
      </w:r>
    </w:p>
    <w:p w14:paraId="59049C7E" w14:textId="77777777" w:rsidR="00DA10A8" w:rsidRDefault="00000000">
      <w:pPr>
        <w:spacing w:line="360" w:lineRule="auto"/>
        <w:ind w:left="720" w:hanging="720"/>
        <w:jc w:val="both"/>
        <w:rPr>
          <w:sz w:val="24"/>
          <w:szCs w:val="24"/>
        </w:rPr>
      </w:pPr>
      <w:r>
        <w:rPr>
          <w:sz w:val="24"/>
          <w:szCs w:val="24"/>
        </w:rPr>
        <w:t xml:space="preserve">Gordon, R. A., Fujimoto, K., Kaestner, R., </w:t>
      </w:r>
      <w:proofErr w:type="spellStart"/>
      <w:r>
        <w:rPr>
          <w:sz w:val="24"/>
          <w:szCs w:val="24"/>
        </w:rPr>
        <w:t>Korenman</w:t>
      </w:r>
      <w:proofErr w:type="spellEnd"/>
      <w:r>
        <w:rPr>
          <w:sz w:val="24"/>
          <w:szCs w:val="24"/>
        </w:rPr>
        <w:t xml:space="preserve">, S., and Abner, K. (2013). An assessment of the validity of the ECERS-R with implications for measures of </w:t>
      </w:r>
      <w:proofErr w:type="gramStart"/>
      <w:r>
        <w:rPr>
          <w:sz w:val="24"/>
          <w:szCs w:val="24"/>
        </w:rPr>
        <w:t>child care</w:t>
      </w:r>
      <w:proofErr w:type="gramEnd"/>
      <w:r>
        <w:rPr>
          <w:sz w:val="24"/>
          <w:szCs w:val="24"/>
        </w:rPr>
        <w:t xml:space="preserve"> quality and relations to child development. Developmental psychology, 49(1), 146.</w:t>
      </w:r>
    </w:p>
    <w:p w14:paraId="20F47DB8" w14:textId="77777777" w:rsidR="00DA10A8" w:rsidRDefault="00000000">
      <w:pPr>
        <w:spacing w:line="360" w:lineRule="auto"/>
        <w:ind w:left="720" w:hanging="720"/>
        <w:jc w:val="both"/>
        <w:rPr>
          <w:sz w:val="24"/>
          <w:szCs w:val="24"/>
        </w:rPr>
      </w:pPr>
      <w:r>
        <w:rPr>
          <w:sz w:val="24"/>
          <w:szCs w:val="24"/>
        </w:rPr>
        <w:t xml:space="preserve">Gurung, R. A., and Schwartz, B. M. (2011). Optimizing teaching and learning: Practicing pedagogical research. John Wiley and Sons. </w:t>
      </w:r>
    </w:p>
    <w:p w14:paraId="5E87BD8E" w14:textId="77777777" w:rsidR="00DA10A8" w:rsidRDefault="00000000">
      <w:pPr>
        <w:spacing w:before="280" w:after="280" w:line="360" w:lineRule="auto"/>
        <w:ind w:left="720" w:hanging="720"/>
        <w:jc w:val="both"/>
        <w:rPr>
          <w:sz w:val="24"/>
          <w:szCs w:val="24"/>
        </w:rPr>
      </w:pPr>
      <w:r>
        <w:rPr>
          <w:sz w:val="24"/>
          <w:szCs w:val="24"/>
        </w:rPr>
        <w:t>Harms, T., Clifford, R. M., and Cryer, D. (1998). Early childhood environment rating scale. Teachers College Press, Columbia University, 1234 Amsterdam Avenue, New York, NY 10027.</w:t>
      </w:r>
    </w:p>
    <w:p w14:paraId="187FD5E4" w14:textId="77777777" w:rsidR="00DA10A8" w:rsidRDefault="00000000">
      <w:pPr>
        <w:spacing w:line="360" w:lineRule="auto"/>
        <w:ind w:left="720" w:hanging="720"/>
        <w:jc w:val="both"/>
        <w:rPr>
          <w:sz w:val="24"/>
          <w:szCs w:val="24"/>
        </w:rPr>
      </w:pPr>
      <w:r>
        <w:rPr>
          <w:sz w:val="24"/>
          <w:szCs w:val="24"/>
        </w:rPr>
        <w:lastRenderedPageBreak/>
        <w:t xml:space="preserve">Melhuish, E., </w:t>
      </w:r>
      <w:proofErr w:type="spellStart"/>
      <w:r>
        <w:rPr>
          <w:sz w:val="24"/>
          <w:szCs w:val="24"/>
        </w:rPr>
        <w:t>Ereky</w:t>
      </w:r>
      <w:proofErr w:type="spellEnd"/>
      <w:r>
        <w:rPr>
          <w:sz w:val="24"/>
          <w:szCs w:val="24"/>
        </w:rPr>
        <w:t xml:space="preserve">-Stevens, K., </w:t>
      </w:r>
      <w:proofErr w:type="spellStart"/>
      <w:r>
        <w:rPr>
          <w:sz w:val="24"/>
          <w:szCs w:val="24"/>
        </w:rPr>
        <w:t>Petrogiannis</w:t>
      </w:r>
      <w:proofErr w:type="spellEnd"/>
      <w:r>
        <w:rPr>
          <w:sz w:val="24"/>
          <w:szCs w:val="24"/>
        </w:rPr>
        <w:t xml:space="preserve">, K., </w:t>
      </w:r>
      <w:proofErr w:type="spellStart"/>
      <w:r>
        <w:rPr>
          <w:sz w:val="24"/>
          <w:szCs w:val="24"/>
        </w:rPr>
        <w:t>Ariescu</w:t>
      </w:r>
      <w:proofErr w:type="spellEnd"/>
      <w:r>
        <w:rPr>
          <w:sz w:val="24"/>
          <w:szCs w:val="24"/>
        </w:rPr>
        <w:t xml:space="preserve">, A., </w:t>
      </w:r>
      <w:proofErr w:type="spellStart"/>
      <w:r>
        <w:rPr>
          <w:sz w:val="24"/>
          <w:szCs w:val="24"/>
        </w:rPr>
        <w:t>Penderi</w:t>
      </w:r>
      <w:proofErr w:type="spellEnd"/>
      <w:r>
        <w:rPr>
          <w:sz w:val="24"/>
          <w:szCs w:val="24"/>
        </w:rPr>
        <w:t xml:space="preserve">, E., </w:t>
      </w:r>
      <w:proofErr w:type="spellStart"/>
      <w:r>
        <w:rPr>
          <w:sz w:val="24"/>
          <w:szCs w:val="24"/>
        </w:rPr>
        <w:t>Rentzou</w:t>
      </w:r>
      <w:proofErr w:type="spellEnd"/>
      <w:r>
        <w:rPr>
          <w:sz w:val="24"/>
          <w:szCs w:val="24"/>
        </w:rPr>
        <w:t>, K., and Leseman, P. (2015). A review of research on the effects of early childhood education and care (ECEC) upon child development. European Commission.</w:t>
      </w:r>
    </w:p>
    <w:p w14:paraId="7B3D557B" w14:textId="77777777" w:rsidR="00DA10A8" w:rsidRDefault="00000000">
      <w:pPr>
        <w:spacing w:before="280" w:after="280" w:line="360" w:lineRule="auto"/>
        <w:ind w:left="720" w:hanging="720"/>
        <w:jc w:val="both"/>
        <w:rPr>
          <w:sz w:val="24"/>
          <w:szCs w:val="24"/>
        </w:rPr>
      </w:pPr>
      <w:r>
        <w:rPr>
          <w:sz w:val="24"/>
          <w:szCs w:val="24"/>
        </w:rPr>
        <w:t xml:space="preserve">NDNA (2025). </w:t>
      </w:r>
      <w:r>
        <w:rPr>
          <w:i/>
          <w:sz w:val="24"/>
          <w:szCs w:val="24"/>
        </w:rPr>
        <w:t xml:space="preserve">About National Day Nurseries Association (NDNA). </w:t>
      </w:r>
      <w:r>
        <w:rPr>
          <w:sz w:val="24"/>
          <w:szCs w:val="24"/>
        </w:rPr>
        <w:t>Available at: https://ndna.org.uk/hub/about-ndna/</w:t>
      </w:r>
    </w:p>
    <w:p w14:paraId="7B053EB9" w14:textId="77777777" w:rsidR="00DA10A8" w:rsidRDefault="00000000">
      <w:pPr>
        <w:spacing w:line="360" w:lineRule="auto"/>
        <w:ind w:left="720" w:hanging="720"/>
        <w:jc w:val="both"/>
        <w:rPr>
          <w:sz w:val="24"/>
          <w:szCs w:val="24"/>
        </w:rPr>
      </w:pPr>
      <w:proofErr w:type="spellStart"/>
      <w:r>
        <w:rPr>
          <w:sz w:val="24"/>
          <w:szCs w:val="24"/>
        </w:rPr>
        <w:t>Oktarina</w:t>
      </w:r>
      <w:proofErr w:type="spellEnd"/>
      <w:r>
        <w:rPr>
          <w:sz w:val="24"/>
          <w:szCs w:val="24"/>
        </w:rPr>
        <w:t xml:space="preserve">, N., </w:t>
      </w:r>
      <w:proofErr w:type="spellStart"/>
      <w:r>
        <w:rPr>
          <w:sz w:val="24"/>
          <w:szCs w:val="24"/>
        </w:rPr>
        <w:t>Rusdarti</w:t>
      </w:r>
      <w:proofErr w:type="spellEnd"/>
      <w:r>
        <w:rPr>
          <w:sz w:val="24"/>
          <w:szCs w:val="24"/>
        </w:rPr>
        <w:t xml:space="preserve">, R., Yulianto, A., and Wahyuni, K. (2023). The role of quality assurance in improving the quality of education. Contemporary Educational </w:t>
      </w:r>
      <w:proofErr w:type="gramStart"/>
      <w:r>
        <w:rPr>
          <w:sz w:val="24"/>
          <w:szCs w:val="24"/>
        </w:rPr>
        <w:t>Researches</w:t>
      </w:r>
      <w:proofErr w:type="gramEnd"/>
      <w:r>
        <w:rPr>
          <w:sz w:val="24"/>
          <w:szCs w:val="24"/>
        </w:rPr>
        <w:t xml:space="preserve"> Journal. 13. 264-275. 10.18844/</w:t>
      </w:r>
      <w:proofErr w:type="gramStart"/>
      <w:r>
        <w:rPr>
          <w:sz w:val="24"/>
          <w:szCs w:val="24"/>
        </w:rPr>
        <w:t>cerj.v</w:t>
      </w:r>
      <w:proofErr w:type="gramEnd"/>
      <w:r>
        <w:rPr>
          <w:sz w:val="24"/>
          <w:szCs w:val="24"/>
        </w:rPr>
        <w:t>14i4.9119.</w:t>
      </w:r>
    </w:p>
    <w:p w14:paraId="134446E8" w14:textId="77777777" w:rsidR="00DA10A8" w:rsidRDefault="00000000">
      <w:pPr>
        <w:spacing w:line="360" w:lineRule="auto"/>
        <w:ind w:left="720" w:hanging="720"/>
        <w:jc w:val="both"/>
        <w:rPr>
          <w:sz w:val="24"/>
          <w:szCs w:val="24"/>
        </w:rPr>
      </w:pPr>
      <w:r>
        <w:rPr>
          <w:sz w:val="24"/>
          <w:szCs w:val="24"/>
        </w:rPr>
        <w:t>Penney, S. C., Young, G., Butler, E., Maich, K., and Philpott, D. F. (2019). The role of quality ECE in facilitating mental health and well-being in children. Exceptionality Education International, 29(3), 57-76.</w:t>
      </w:r>
    </w:p>
    <w:p w14:paraId="3D60E3F6" w14:textId="77777777" w:rsidR="00DA10A8" w:rsidRDefault="00000000">
      <w:pPr>
        <w:spacing w:line="360" w:lineRule="auto"/>
        <w:ind w:left="720" w:hanging="720"/>
        <w:jc w:val="both"/>
        <w:rPr>
          <w:sz w:val="24"/>
          <w:szCs w:val="24"/>
        </w:rPr>
      </w:pPr>
      <w:r>
        <w:rPr>
          <w:sz w:val="24"/>
          <w:szCs w:val="24"/>
        </w:rPr>
        <w:t>Pianta, R., Downer, J., and Hamre, B. (2016). Quality in early education classrooms: Definitions, gaps, and systems. The future of children, 119-137.</w:t>
      </w:r>
    </w:p>
    <w:p w14:paraId="49161841" w14:textId="77777777" w:rsidR="00DA10A8" w:rsidRDefault="00000000">
      <w:pPr>
        <w:spacing w:line="360" w:lineRule="auto"/>
        <w:ind w:left="720" w:hanging="720"/>
        <w:jc w:val="both"/>
        <w:rPr>
          <w:sz w:val="24"/>
          <w:szCs w:val="24"/>
        </w:rPr>
      </w:pPr>
      <w:r>
        <w:rPr>
          <w:sz w:val="24"/>
          <w:szCs w:val="24"/>
        </w:rPr>
        <w:t xml:space="preserve">Quality Counts (2025). Quality Counts - NDNA's early years quality improvement scheme. Available at: </w:t>
      </w:r>
      <w:hyperlink r:id="rId7">
        <w:r>
          <w:rPr>
            <w:color w:val="0000FF"/>
            <w:sz w:val="24"/>
            <w:szCs w:val="24"/>
            <w:u w:val="single"/>
          </w:rPr>
          <w:t>https://qualitycounts.org.uk/</w:t>
        </w:r>
      </w:hyperlink>
      <w:r>
        <w:rPr>
          <w:sz w:val="24"/>
          <w:szCs w:val="24"/>
        </w:rPr>
        <w:t xml:space="preserve"> (Accessed: 21 March 2025).</w:t>
      </w:r>
    </w:p>
    <w:p w14:paraId="6FAD3ED1" w14:textId="77777777" w:rsidR="00DA10A8" w:rsidRDefault="00000000">
      <w:pPr>
        <w:spacing w:line="360" w:lineRule="auto"/>
        <w:ind w:left="720" w:hanging="720"/>
        <w:jc w:val="both"/>
        <w:rPr>
          <w:sz w:val="24"/>
          <w:szCs w:val="24"/>
        </w:rPr>
      </w:pPr>
      <w:proofErr w:type="spellStart"/>
      <w:r>
        <w:rPr>
          <w:sz w:val="24"/>
          <w:szCs w:val="24"/>
        </w:rPr>
        <w:t>Rawstrone</w:t>
      </w:r>
      <w:proofErr w:type="spellEnd"/>
      <w:r>
        <w:rPr>
          <w:sz w:val="24"/>
          <w:szCs w:val="24"/>
        </w:rPr>
        <w:t>, A. (2015). Nursery Management: accreditations - Going above and beyond. Available at: https://www.nurseryworld.co.uk/content/features/nursery-management-accreditations-going-above-and-beyond/</w:t>
      </w:r>
    </w:p>
    <w:p w14:paraId="644FC385" w14:textId="77777777" w:rsidR="00DA10A8" w:rsidRDefault="00000000">
      <w:pPr>
        <w:spacing w:line="360" w:lineRule="auto"/>
        <w:ind w:left="720" w:hanging="720"/>
        <w:jc w:val="both"/>
        <w:rPr>
          <w:sz w:val="24"/>
          <w:szCs w:val="24"/>
        </w:rPr>
      </w:pPr>
      <w:r>
        <w:rPr>
          <w:sz w:val="24"/>
          <w:szCs w:val="24"/>
        </w:rPr>
        <w:t>Sylva, K., Melhuish, E., Sammons, P., Siraj-Blatchford, I., Taggart, B., Smees, R., and Morahan, M. (2004). The effective provision of pre-school education (EPPE) project. Children, 29(30), 31.</w:t>
      </w:r>
    </w:p>
    <w:p w14:paraId="630CBF39" w14:textId="77777777" w:rsidR="00DA10A8" w:rsidRDefault="00000000">
      <w:pPr>
        <w:spacing w:line="360" w:lineRule="auto"/>
        <w:ind w:left="720" w:hanging="720"/>
        <w:jc w:val="both"/>
        <w:rPr>
          <w:sz w:val="24"/>
          <w:szCs w:val="24"/>
        </w:rPr>
      </w:pPr>
      <w:proofErr w:type="spellStart"/>
      <w:r>
        <w:rPr>
          <w:sz w:val="24"/>
          <w:szCs w:val="24"/>
        </w:rPr>
        <w:t>Wehachart</w:t>
      </w:r>
      <w:proofErr w:type="spellEnd"/>
      <w:r>
        <w:rPr>
          <w:sz w:val="24"/>
          <w:szCs w:val="24"/>
        </w:rPr>
        <w:t>, R. (2025). Development of External Educational Quality Assurance to Reduce Educational Inequality and Address Developmental and Learning Issues in Early Childhood Development Centers. ONESQA Quality Assurance in Education Journal, 1(1), 1-12.</w:t>
      </w:r>
      <w:bookmarkEnd w:id="23"/>
    </w:p>
    <w:sectPr w:rsidR="00DA10A8">
      <w:pgSz w:w="12240" w:h="15840"/>
      <w:pgMar w:top="1440" w:right="1440" w:bottom="1440" w:left="1440" w:header="720" w:footer="720" w:gutter="0"/>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4F7C59"/>
    <w:multiLevelType w:val="multilevel"/>
    <w:tmpl w:val="5AEEB882"/>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num w:numId="1" w16cid:durableId="662005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10A8"/>
    <w:rsid w:val="00451E71"/>
    <w:rsid w:val="0066359B"/>
    <w:rsid w:val="00847D8B"/>
    <w:rsid w:val="00C5621E"/>
    <w:rsid w:val="00DA10A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4A576"/>
  <w15:docId w15:val="{BEAB8DB9-75F9-4B45-80B9-71FF4AAC2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US"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rFonts w:ascii="Cambria" w:eastAsia="Cambria" w:hAnsi="Cambria" w:cs="Cambria"/>
      <w:b/>
      <w:color w:val="366091"/>
      <w:sz w:val="28"/>
      <w:szCs w:val="28"/>
    </w:rPr>
  </w:style>
  <w:style w:type="paragraph" w:styleId="Heading2">
    <w:name w:val="heading 2"/>
    <w:basedOn w:val="Normal"/>
    <w:next w:val="Normal"/>
    <w:uiPriority w:val="9"/>
    <w:unhideWhenUsed/>
    <w:qFormat/>
    <w:pPr>
      <w:keepNext/>
      <w:keepLines/>
      <w:spacing w:before="200" w:after="0"/>
      <w:outlineLvl w:val="1"/>
    </w:pPr>
    <w:rPr>
      <w:rFonts w:ascii="Cambria" w:eastAsia="Cambria" w:hAnsi="Cambria" w:cs="Cambria"/>
      <w:b/>
      <w:color w:val="4F81BD"/>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pPr>
      <w:spacing w:after="0" w:line="240" w:lineRule="auto"/>
    </w:pPr>
    <w:tblPr>
      <w:tblStyleRowBandSize w:val="1"/>
      <w:tblStyleColBandSize w:val="1"/>
    </w:tblPr>
    <w:tblStylePr w:type="firstRow">
      <w:pPr>
        <w:spacing w:before="0" w:after="0" w:line="240" w:lineRule="auto"/>
      </w:pPr>
      <w:rPr>
        <w:rFonts w:ascii="Cambria" w:eastAsia="Cambria" w:hAnsi="Cambria" w:cs="Cambria"/>
        <w:b/>
      </w:rPr>
      <w:tblPr/>
      <w:tcPr>
        <w:tcBorders>
          <w:top w:val="single" w:sz="8" w:space="0" w:color="4F81BD"/>
          <w:left w:val="single" w:sz="8" w:space="0" w:color="4F81BD"/>
          <w:bottom w:val="single" w:sz="18" w:space="0" w:color="4F81BD"/>
          <w:right w:val="single" w:sz="8" w:space="0" w:color="4F81BD"/>
          <w:insideH w:val="nil"/>
          <w:insideV w:val="single" w:sz="8" w:space="0" w:color="4F81BD"/>
        </w:tcBorders>
      </w:tcPr>
    </w:tblStylePr>
    <w:tblStylePr w:type="lastRow">
      <w:pPr>
        <w:spacing w:before="0" w:after="0" w:line="240" w:lineRule="auto"/>
      </w:pPr>
      <w:rPr>
        <w:rFonts w:ascii="Cambria" w:eastAsia="Cambria" w:hAnsi="Cambria" w:cs="Cambria"/>
        <w:b/>
      </w:rPr>
      <w:tblPr/>
      <w:tcPr>
        <w:tcBorders>
          <w:top w:val="single" w:sz="6" w:space="0" w:color="4F81BD"/>
          <w:left w:val="single" w:sz="8" w:space="0" w:color="4F81BD"/>
          <w:bottom w:val="single" w:sz="8" w:space="0" w:color="4F81BD"/>
          <w:right w:val="single" w:sz="8" w:space="0" w:color="4F81BD"/>
          <w:insideH w:val="nil"/>
          <w:insideV w:val="single" w:sz="8" w:space="0" w:color="4F81BD"/>
        </w:tcBorders>
      </w:tcPr>
    </w:tblStylePr>
    <w:tblStylePr w:type="firstCol">
      <w:rPr>
        <w:rFonts w:ascii="Cambria" w:eastAsia="Cambria" w:hAnsi="Cambria" w:cs="Cambria"/>
        <w:b/>
      </w:rPr>
    </w:tblStylePr>
    <w:tblStylePr w:type="lastCol">
      <w:rPr>
        <w:rFonts w:ascii="Cambria" w:eastAsia="Cambria" w:hAnsi="Cambria" w:cs="Cambria"/>
        <w:b/>
      </w:rPr>
      <w:tblPr/>
      <w:tcPr>
        <w:tcBorders>
          <w:top w:val="single" w:sz="8" w:space="0" w:color="4F81BD"/>
          <w:left w:val="single" w:sz="8" w:space="0" w:color="4F81BD"/>
          <w:bottom w:val="single" w:sz="8" w:space="0" w:color="4F81BD"/>
          <w:right w:val="single" w:sz="8" w:space="0" w:color="4F81BD"/>
        </w:tcBorders>
      </w:tcPr>
    </w:tblStylePr>
    <w:tblStylePr w:type="band1Vert">
      <w:tblPr/>
      <w:tcPr>
        <w:tcBorders>
          <w:top w:val="single" w:sz="8" w:space="0" w:color="4F81BD"/>
          <w:left w:val="single" w:sz="8" w:space="0" w:color="4F81BD"/>
          <w:bottom w:val="single" w:sz="8" w:space="0" w:color="4F81BD"/>
          <w:right w:val="single" w:sz="8" w:space="0" w:color="4F81BD"/>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V w:val="single" w:sz="8" w:space="0" w:color="4F81BD"/>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V w:val="single" w:sz="8" w:space="0" w:color="4F81BD"/>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qualitycounts.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olgrid.org.uk/wp-content/uploads/sites/31/2016/11/Putting-quality-at-the-heart-of-EY-FCT-1.pdf" TargetMode="External"/><Relationship Id="rId5" Type="http://schemas.openxmlformats.org/officeDocument/2006/relationships/hyperlink" Target="https://doi.org/10.21203/rs.3.rs-5932885/v1"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13</Pages>
  <Words>3001</Words>
  <Characters>17709</Characters>
  <Application>Microsoft Office Word</Application>
  <DocSecurity>0</DocSecurity>
  <Lines>290</Lines>
  <Paragraphs>78</Paragraphs>
  <ScaleCrop>false</ScaleCrop>
  <Company/>
  <LinksUpToDate>false</LinksUpToDate>
  <CharactersWithSpaces>20632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Janna Bint-E Saif (2129742)</cp:lastModifiedBy>
  <cp:revision>2</cp:revision>
  <dcterms:created xsi:type="dcterms:W3CDTF">2025-03-30T22:29:00Z</dcterms:created>
  <dcterms:modified xsi:type="dcterms:W3CDTF">2025-03-30T22:29:00Z</dcterms:modified>
</cp:coreProperties>
</file>