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66A5" w:rsidRPr="007F66A5" w:rsidRDefault="007F66A5" w:rsidP="007F66A5">
      <w:pPr>
        <w:jc w:val="center"/>
        <w:rPr>
          <w:b/>
          <w:u w:val="single"/>
        </w:rPr>
      </w:pPr>
      <w:r w:rsidRPr="007F66A5">
        <w:rPr>
          <w:b/>
          <w:u w:val="single"/>
        </w:rPr>
        <w:t xml:space="preserve">The Epic of Gilgamesh, Tablet VI: Ishtar’s Proposal </w:t>
      </w:r>
      <w:r>
        <w:rPr>
          <w:b/>
          <w:u w:val="single"/>
        </w:rPr>
        <w:t>to</w:t>
      </w:r>
      <w:r w:rsidRPr="007F66A5">
        <w:rPr>
          <w:b/>
          <w:u w:val="single"/>
        </w:rPr>
        <w:t xml:space="preserve"> Gilgamesh and the Gender Ramifications Intertwined</w:t>
      </w:r>
    </w:p>
    <w:p w:rsidR="00287DCE" w:rsidRDefault="00D62742">
      <w:r>
        <w:t xml:space="preserve">The aim of this work is to critically consider the Epic of Gilgamesh, an ancient odyssey, widely regarded one </w:t>
      </w:r>
      <w:r w:rsidRPr="00D62742">
        <w:t>of the most important</w:t>
      </w:r>
      <w:r>
        <w:t xml:space="preserve">, </w:t>
      </w:r>
      <w:r w:rsidRPr="00D62742">
        <w:t>longest</w:t>
      </w:r>
      <w:r>
        <w:t xml:space="preserve"> and oldest written texts in the Mesop</w:t>
      </w:r>
      <w:r w:rsidR="0077425F">
        <w:t>o</w:t>
      </w:r>
      <w:r>
        <w:t>tamian cannon</w:t>
      </w:r>
      <w:r>
        <w:rPr>
          <w:rStyle w:val="FootnoteReference"/>
        </w:rPr>
        <w:footnoteReference w:id="2"/>
      </w:r>
      <w:r>
        <w:t xml:space="preserve">. Different versions of the epic are extant, namely Akkadian, Old Babylonian and Assyrian; however, for the purpose of the present work, it is the Assyrian version that will be </w:t>
      </w:r>
      <w:bookmarkStart w:id="0" w:name="_GoBack"/>
      <w:bookmarkEnd w:id="0"/>
      <w:r>
        <w:t>focused upon and Tablet VI in particular</w:t>
      </w:r>
      <w:r w:rsidR="0068749B">
        <w:t>,</w:t>
      </w:r>
      <w:r>
        <w:t xml:space="preserve"> which details the proposal of the goddess Ishtar to Gilgamesh, the King of Uruk</w:t>
      </w:r>
      <w:r w:rsidR="0068749B">
        <w:t>.</w:t>
      </w:r>
      <w:r w:rsidRPr="00D62742">
        <w:t>The whole epic should account for Tablets I- XII.  Of, these no one version seems to be intact but the Assyrian</w:t>
      </w:r>
      <w:r>
        <w:t xml:space="preserve"> version</w:t>
      </w:r>
      <w:r w:rsidRPr="00D62742">
        <w:t xml:space="preserve"> covering Tablets (III- XII) is the most complete</w:t>
      </w:r>
      <w:r>
        <w:t>, hence my justification for its use</w:t>
      </w:r>
      <w:r w:rsidRPr="00D62742">
        <w:t>.</w:t>
      </w:r>
      <w:r>
        <w:t xml:space="preserve"> Tablet VI will be considered in relation to gender issues and gender relationships. An evaluation of its primary strengths and weaknesses and an examination of the way in which scholarship has worked with this source will be provided. </w:t>
      </w:r>
    </w:p>
    <w:p w:rsidR="00287DCE" w:rsidRDefault="00632BE6" w:rsidP="00287DCE">
      <w:r>
        <w:t>The</w:t>
      </w:r>
      <w:r w:rsidR="00287DCE">
        <w:t xml:space="preserve"> goddess Ishtar, as with all gods, was heavily involved with the Mesopotamian epics. However, although she is both a wife and mother, neither of these roles is of significance in these; rather it is her role as aggressor, warrior and prostitute which comes to the fore, the former placing her in the world of men with their thirst for fame and power and the latter placing her in the extra domestic world</w:t>
      </w:r>
      <w:r w:rsidR="00287DCE">
        <w:rPr>
          <w:rStyle w:val="FootnoteReference"/>
        </w:rPr>
        <w:footnoteReference w:id="3"/>
      </w:r>
      <w:r w:rsidR="00287DCE">
        <w:t xml:space="preserve">. </w:t>
      </w:r>
    </w:p>
    <w:p w:rsidR="00724E14" w:rsidRDefault="00D62742">
      <w:pPr>
        <w:rPr>
          <w:color w:val="FF0000"/>
        </w:rPr>
      </w:pPr>
      <w:r>
        <w:t>T</w:t>
      </w:r>
      <w:r w:rsidR="00E15C2E">
        <w:t xml:space="preserve">he Epic of Gilgamesh </w:t>
      </w:r>
      <w:r>
        <w:t>tells several interwoven strands of the wanderings of Gilgamesh, two-thirds god, one-third human, in his quest, ultimately unsuccessful, for immortality. In tablets I -X, Gilgamesh is described as living in a period</w:t>
      </w:r>
      <w:r w:rsidR="00FE396F">
        <w:t xml:space="preserve"> </w:t>
      </w:r>
      <w:r>
        <w:t>of different city states, pantheism, hunting of lions, a culture of strong drinking (akin to drug taking today), prostitution, wars and violence and where superhuman beasts and monsters and priests kings existed</w:t>
      </w:r>
      <w:r>
        <w:rPr>
          <w:rStyle w:val="FootnoteReference"/>
        </w:rPr>
        <w:footnoteReference w:id="4"/>
      </w:r>
      <w:r>
        <w:t xml:space="preserve">. Tablet VI, as aforementioned, dedicates itself to the telling of the goddess Ishtar’s proposal to Gilgamesh and his subsequent refusal.  </w:t>
      </w:r>
      <w:r w:rsidR="00724E14">
        <w:t xml:space="preserve">The story line can be summarised as follows: </w:t>
      </w:r>
      <w:r w:rsidR="004B3A8E">
        <w:t xml:space="preserve">Following Gilgamesh’s return to Uruk from the Cedar Forest where he and Enkidu (a monster made out of clay, designed to be a foe to challenge Gilgamesh, later becoming firm friends) had defeated Humbaba, the ogre </w:t>
      </w:r>
      <w:r w:rsidR="00294969">
        <w:t>guardian</w:t>
      </w:r>
      <w:r w:rsidR="004B3A8E">
        <w:t xml:space="preserve"> of the forest</w:t>
      </w:r>
      <w:r w:rsidR="004F0D72">
        <w:t>.</w:t>
      </w:r>
      <w:r w:rsidR="004B3A8E">
        <w:t xml:space="preserve"> Gilgamesh’s beauty inflames Ishtar’s desire and she proposes to the hero-warrior king</w:t>
      </w:r>
      <w:r w:rsidR="002232CB">
        <w:t>: ‘Glorious Ishtar raised an eye at the beauty of Gilgamesh’</w:t>
      </w:r>
      <w:r w:rsidR="002232CB">
        <w:rPr>
          <w:rStyle w:val="FootnoteReference"/>
        </w:rPr>
        <w:footnoteReference w:id="5"/>
      </w:r>
      <w:r w:rsidR="002232CB">
        <w:t xml:space="preserve"> (line 6). </w:t>
      </w:r>
      <w:r w:rsidR="00FC4E29">
        <w:t>Ishtar promises Gilgamesh extensive riches if he impregnatesher</w:t>
      </w:r>
      <w:r w:rsidR="002232CB">
        <w:t>: ‘Come Gilgamesh, be thou (my) lover; Do but grant me of thy fruit; Thou shalt be my husband and I will be thy wife; I will harness thee a chariot of lapis and gold; Whose wheels are gold and whose horns are brass’</w:t>
      </w:r>
      <w:r w:rsidR="002232CB">
        <w:rPr>
          <w:rStyle w:val="FootnoteReference"/>
        </w:rPr>
        <w:footnoteReference w:id="6"/>
      </w:r>
      <w:r w:rsidR="002232CB">
        <w:t xml:space="preserve">(lines 7-11). However, </w:t>
      </w:r>
      <w:r w:rsidR="00FC4E29">
        <w:t>she is scorned by G</w:t>
      </w:r>
      <w:r w:rsidR="002232CB">
        <w:t>ilg</w:t>
      </w:r>
      <w:r w:rsidR="00FC4E29">
        <w:t xml:space="preserve">amesh, who </w:t>
      </w:r>
      <w:r w:rsidR="00A25E98">
        <w:t>compares her to negatively to nine objects: “Thou art but a brazier which goes out in the cold”</w:t>
      </w:r>
      <w:r w:rsidR="0077425F">
        <w:t>; “a palace that crushes the warrior”</w:t>
      </w:r>
      <w:r w:rsidR="00A25E98">
        <w:rPr>
          <w:rStyle w:val="FootnoteReference"/>
        </w:rPr>
        <w:footnoteReference w:id="7"/>
      </w:r>
      <w:r w:rsidR="00A25E98">
        <w:t xml:space="preserve"> (line</w:t>
      </w:r>
      <w:r w:rsidR="0077425F">
        <w:t>s</w:t>
      </w:r>
      <w:r w:rsidR="00A25E98">
        <w:t xml:space="preserve"> 33</w:t>
      </w:r>
      <w:r w:rsidR="00FE396F">
        <w:t>/35</w:t>
      </w:r>
      <w:r w:rsidR="00A25E98">
        <w:t>). Gilgamesh</w:t>
      </w:r>
      <w:r w:rsidR="003A53D9">
        <w:t xml:space="preserve">, beginning (and ending) with rhetorical questions (“Which lover didst thou love forever/Which of thy shepherds pleased thee for all time”(lines 42-43) </w:t>
      </w:r>
      <w:r w:rsidR="00A25E98">
        <w:t xml:space="preserve"> goes on to </w:t>
      </w:r>
      <w:r w:rsidR="00FC4E29">
        <w:t>remind her of the fates befallen to her former lovers</w:t>
      </w:r>
      <w:r w:rsidR="004D0DB6">
        <w:t>, human, animal and bird,</w:t>
      </w:r>
      <w:r w:rsidR="003A53D9">
        <w:t>because</w:t>
      </w:r>
      <w:r w:rsidR="00A25E98">
        <w:t xml:space="preserve"> of the destr</w:t>
      </w:r>
      <w:r w:rsidR="004D0DB6">
        <w:t>u</w:t>
      </w:r>
      <w:r w:rsidR="00A25E98">
        <w:t>ct</w:t>
      </w:r>
      <w:r w:rsidR="004D0DB6">
        <w:t>i</w:t>
      </w:r>
      <w:r w:rsidR="00A25E98">
        <w:t xml:space="preserve">ve treatment </w:t>
      </w:r>
      <w:r w:rsidR="00632BE6">
        <w:t>given</w:t>
      </w:r>
      <w:r w:rsidR="004D0DB6">
        <w:t xml:space="preserve"> to them</w:t>
      </w:r>
      <w:r w:rsidR="003A53D9">
        <w:t xml:space="preserve"> by Ishtar</w:t>
      </w:r>
      <w:r w:rsidR="004D0DB6">
        <w:t xml:space="preserve"> (“The whip,the spur, and the lash thou ordainedst for him [the stallion])”</w:t>
      </w:r>
      <w:r w:rsidR="004D0DB6">
        <w:rPr>
          <w:rStyle w:val="FootnoteReference"/>
        </w:rPr>
        <w:footnoteReference w:id="8"/>
      </w:r>
      <w:r w:rsidR="004D0DB6">
        <w:t xml:space="preserve"> (line 54)</w:t>
      </w:r>
      <w:r w:rsidR="00FC4E29">
        <w:t>, and having no wish to be the next, he declines the offer</w:t>
      </w:r>
      <w:r w:rsidR="002232CB">
        <w:t xml:space="preserve">: “If though shouldst love me, thou wouldst </w:t>
      </w:r>
      <w:r w:rsidR="00A25E98">
        <w:t>[</w:t>
      </w:r>
      <w:r w:rsidR="002232CB">
        <w:t>treat me</w:t>
      </w:r>
      <w:r w:rsidR="00A25E98">
        <w:t>] like them” (line 79)</w:t>
      </w:r>
      <w:r w:rsidR="00FC4E29">
        <w:t xml:space="preserve">. Ishtar becomes incensed with rage </w:t>
      </w:r>
      <w:r w:rsidR="00FC4E29">
        <w:lastRenderedPageBreak/>
        <w:t>and she goes to her father Anu</w:t>
      </w:r>
      <w:r w:rsidR="00632BE6">
        <w:t xml:space="preserve">, </w:t>
      </w:r>
      <w:r w:rsidR="00FC4E29">
        <w:t>eventually persuad</w:t>
      </w:r>
      <w:r w:rsidR="00632BE6">
        <w:t>ing</w:t>
      </w:r>
      <w:r w:rsidR="00FC4E29">
        <w:t xml:space="preserve"> him to give her the Bull of Heaven so that Gilgamesh can be punished with death. Upon arrival in Uruk, the Bull of Heaven breathes through his nostril</w:t>
      </w:r>
      <w:r w:rsidR="00632BE6">
        <w:t>s</w:t>
      </w:r>
      <w:r w:rsidR="00FC4E29">
        <w:t xml:space="preserve"> killing scores of people each time he takes a breath. A battle with Gilgamesh and Enkidu ensues but the Bull is defeated and is killed by Enkidu.  Ishtar is insulted further but the gods decide that either Gilgamesh or Enkidu have to pay with their life for the defeat of Humbaba and the Bull of Heaven</w:t>
      </w:r>
      <w:r w:rsidR="00724E14">
        <w:t>. At this point a battle commences and Enkidu gives his life; Gilgamesh mourns him for seven days and nights and refuses to give up his body. Only when a worm crawls out of his nose does he submit the body for burial. Gilgamesh returns to his palace and decides from this point onwards</w:t>
      </w:r>
      <w:r w:rsidR="00CC6821">
        <w:t xml:space="preserve">, because he fears his </w:t>
      </w:r>
      <w:r w:rsidR="004D0DB6">
        <w:t xml:space="preserve">own </w:t>
      </w:r>
      <w:r w:rsidR="00CC6821">
        <w:t xml:space="preserve">death, </w:t>
      </w:r>
      <w:r w:rsidR="00724E14">
        <w:t xml:space="preserve">to become a wandering vagabond, looking for his own place in immortality. </w:t>
      </w:r>
    </w:p>
    <w:p w:rsidR="003A53D9" w:rsidRDefault="00DD1838" w:rsidP="00CC6821">
      <w:r>
        <w:t>Ishtar’s marriage proposal to Gilgamesh highlights a reversal of roles in that typically it is the male who proposes. Here then, we see Ishtar adopting the male role and Gilgamesh being side lined to the female role</w:t>
      </w:r>
      <w:r>
        <w:rPr>
          <w:rStyle w:val="FootnoteReference"/>
        </w:rPr>
        <w:footnoteReference w:id="9"/>
      </w:r>
      <w:r>
        <w:t xml:space="preserve">. </w:t>
      </w:r>
      <w:r w:rsidR="002052F3" w:rsidRPr="002052F3">
        <w:t xml:space="preserve">It was the presumption that the goddess Ishtar always led with the male lead </w:t>
      </w:r>
      <w:r w:rsidR="00AA12AE">
        <w:t xml:space="preserve">but that </w:t>
      </w:r>
      <w:r w:rsidR="002052F3" w:rsidRPr="002052F3">
        <w:t xml:space="preserve">the feminine traits of the goddess are </w:t>
      </w:r>
      <w:r w:rsidR="00AA12AE">
        <w:t xml:space="preserve">shown to be </w:t>
      </w:r>
      <w:r w:rsidR="002052F3" w:rsidRPr="002052F3">
        <w:t>frequently juxtaposed in the text</w:t>
      </w:r>
      <w:r w:rsidR="00AA12AE">
        <w:rPr>
          <w:rStyle w:val="FootnoteReference"/>
        </w:rPr>
        <w:footnoteReference w:id="10"/>
      </w:r>
      <w:r w:rsidR="002052F3" w:rsidRPr="002052F3">
        <w:t xml:space="preserve">. </w:t>
      </w:r>
      <w:r w:rsidR="00AA12AE">
        <w:t>Gilgamesh</w:t>
      </w:r>
      <w:r>
        <w:t xml:space="preserve"> is happy to bestow gifts upon Ishtar but he is not prepared to accept Ishtar’s proposal</w:t>
      </w:r>
      <w:r>
        <w:rPr>
          <w:rStyle w:val="FootnoteReference"/>
        </w:rPr>
        <w:footnoteReference w:id="11"/>
      </w:r>
      <w:r>
        <w:t>.   It is surprising that Gilgamesh, who is portrayed as a hero warrior king, appears to be fearful of a challenge and to think that he could be vulnerable at Ishtar’s hands given that he has just killed the giant, Hu</w:t>
      </w:r>
      <w:r w:rsidR="007F0A1F">
        <w:t>m</w:t>
      </w:r>
      <w:r w:rsidR="00BF3F56">
        <w:t>baba,from</w:t>
      </w:r>
      <w:r>
        <w:t xml:space="preserve"> the Cedar Forest</w:t>
      </w:r>
      <w:r w:rsidR="00BF3F56">
        <w:t>, which demonstrates his power. It would be expected that Gilgamesh would rise to the challenge of Ishtar’s proposal and not worry about her powers. The epic up until this point has not prepared us for Gilgamesh’s sexism and anti-feminism views</w:t>
      </w:r>
      <w:r w:rsidR="005A367F">
        <w:t>.</w:t>
      </w:r>
      <w:r w:rsidR="00BF3F56">
        <w:rPr>
          <w:rStyle w:val="FootnoteReference"/>
        </w:rPr>
        <w:footnoteReference w:id="12"/>
      </w:r>
      <w:r w:rsidR="005A367F">
        <w:t>However, Gilgamesh’s refusal can be understood if one considers the interpretation which follows below.</w:t>
      </w:r>
    </w:p>
    <w:p w:rsidR="003A53D9" w:rsidRDefault="00F66748" w:rsidP="00CC6821">
      <w:r>
        <w:t xml:space="preserve">The length of Gilgamesh’s speech, in comparison with Ishtar’s proposal, is long (60 lines </w:t>
      </w:r>
      <w:r w:rsidR="00632BE6">
        <w:t xml:space="preserve">versus </w:t>
      </w:r>
      <w:r>
        <w:t>15 lines). It is not a ramble but organized clearly and coherently</w:t>
      </w:r>
      <w:r w:rsidR="00FE396F">
        <w:t>. S</w:t>
      </w:r>
      <w:r>
        <w:t>cholars have argued that it is to do with</w:t>
      </w:r>
      <w:r w:rsidR="00440CB7">
        <w:t xml:space="preserve"> the proposal itself and the </w:t>
      </w:r>
      <w:r>
        <w:t>certitude and control</w:t>
      </w:r>
      <w:r w:rsidR="00440CB7">
        <w:t xml:space="preserve"> of Ishtar when </w:t>
      </w:r>
      <w:r w:rsidR="00632BE6">
        <w:t xml:space="preserve">she </w:t>
      </w:r>
      <w:r w:rsidR="00440CB7">
        <w:t>announces: “Thou shalt be</w:t>
      </w:r>
      <w:r>
        <w:t xml:space="preserve"> my husband</w:t>
      </w:r>
      <w:r w:rsidR="00440CB7">
        <w:t xml:space="preserve"> and</w:t>
      </w:r>
      <w:r>
        <w:t xml:space="preserve"> I will be </w:t>
      </w:r>
      <w:r w:rsidR="00440CB7">
        <w:t>thy</w:t>
      </w:r>
      <w:r>
        <w:t xml:space="preserve"> wife</w:t>
      </w:r>
      <w:r w:rsidR="00440CB7">
        <w:t>”</w:t>
      </w:r>
      <w:r w:rsidR="00440CB7">
        <w:rPr>
          <w:rStyle w:val="FootnoteReference"/>
        </w:rPr>
        <w:footnoteReference w:id="13"/>
      </w:r>
      <w:r w:rsidR="00440CB7">
        <w:t xml:space="preserve">(line 8). </w:t>
      </w:r>
      <w:r w:rsidR="000D0B49">
        <w:t xml:space="preserve">The proposal is very one-sided and there is no mutual consensus. </w:t>
      </w:r>
      <w:r w:rsidR="00440CB7">
        <w:t xml:space="preserve">In denying Ishtar’s proposal Gilgamesh is one life </w:t>
      </w:r>
      <w:r w:rsidR="00632BE6">
        <w:t xml:space="preserve">away from </w:t>
      </w:r>
      <w:r w:rsidR="00440CB7">
        <w:t>achieving immortality as Ishtar is the only one who can give him immortality. Thus</w:t>
      </w:r>
      <w:r w:rsidR="00B32036">
        <w:t>,</w:t>
      </w:r>
      <w:r w:rsidR="00440CB7">
        <w:t xml:space="preserve"> in many ways it is surprising that Gilgamesh takes the decision he does. </w:t>
      </w:r>
      <w:r w:rsidR="00B32036">
        <w:t>Ishtar is playing on Gilgamesh’s desire for immortality; she is trying to get him to think that what she is proposing is what he thinks he wants (immortality) but in reality</w:t>
      </w:r>
      <w:r w:rsidR="004E6AAE">
        <w:t>,</w:t>
      </w:r>
      <w:r w:rsidR="00B32036">
        <w:t xml:space="preserve"> what she is proposing is very different (that he goes to the Netherworld and rules over the dead kings) and the only one who will gain from the proposal is Ishtar herself. This shows her cunning and deviousness. Also, it does show how perceptive Gilgamesh is in that he second guesses her intention. According to Abusch, Ishtar appears to offer Gilgamesh “the very role in the netherworld that was accorded to him by the Mesopotamian religious tradition”</w:t>
      </w:r>
      <w:r w:rsidR="00B32036">
        <w:rPr>
          <w:rStyle w:val="FootnoteReference"/>
        </w:rPr>
        <w:footnoteReference w:id="14"/>
      </w:r>
      <w:r w:rsidR="00B32036">
        <w:t xml:space="preserve">.  </w:t>
      </w:r>
      <w:r w:rsidR="000D0B49">
        <w:t xml:space="preserve">One interpretation of the text is that of a progression from marriage rites to a funerary incarceration with the dominant image being that of a grave and Ishtar symbolising this </w:t>
      </w:r>
      <w:r w:rsidR="00FC32D6">
        <w:t xml:space="preserve">image </w:t>
      </w:r>
      <w:r w:rsidR="000D0B49">
        <w:t xml:space="preserve">and this is what </w:t>
      </w:r>
      <w:r w:rsidR="000D0B49">
        <w:lastRenderedPageBreak/>
        <w:t>Gilgamesh can see</w:t>
      </w:r>
      <w:r w:rsidR="000D0B49">
        <w:rPr>
          <w:rStyle w:val="FootnoteReference"/>
        </w:rPr>
        <w:footnoteReference w:id="15"/>
      </w:r>
      <w:r w:rsidR="000D0B49">
        <w:t>. Thus</w:t>
      </w:r>
      <w:r w:rsidR="005A367F">
        <w:t>,</w:t>
      </w:r>
      <w:r w:rsidR="00FE396F">
        <w:t xml:space="preserve"> </w:t>
      </w:r>
      <w:r w:rsidR="00D02222">
        <w:t>Gilgamesh in his long speech is not merely responding to Ishtar’s marriage proposal but to the hidden message contained therein</w:t>
      </w:r>
      <w:r w:rsidR="00632BE6">
        <w:t xml:space="preserve"> - </w:t>
      </w:r>
      <w:r w:rsidR="00D02222">
        <w:t>her offer of death.</w:t>
      </w:r>
      <w:r w:rsidR="00D02222">
        <w:rPr>
          <w:rStyle w:val="FootnoteReference"/>
        </w:rPr>
        <w:footnoteReference w:id="16"/>
      </w:r>
    </w:p>
    <w:p w:rsidR="00FC32D6" w:rsidRDefault="00FC32D6" w:rsidP="00CC6821">
      <w:r>
        <w:t>The symbolism of Ishtar as being the tomb characterises a form of pre</w:t>
      </w:r>
      <w:r w:rsidR="00FE396F">
        <w:t>-</w:t>
      </w:r>
      <w:r>
        <w:t xml:space="preserve">Akkadian earth goddess who is both the font of fertility and also the source of death and Queen of the Underworld where she receives the dead. Here Ishtar is shown to give power and take power, highlighting her ‘betwixt and between’ extremes. </w:t>
      </w:r>
      <w:r w:rsidR="00006D0E" w:rsidRPr="00006D0E">
        <w:t>That the goddess Ishtar w</w:t>
      </w:r>
      <w:r w:rsidR="00006D0E">
        <w:t>as</w:t>
      </w:r>
      <w:r w:rsidR="00006D0E" w:rsidRPr="00006D0E">
        <w:t xml:space="preserve"> given a lot of power in the psyches of the Mesopotamian world</w:t>
      </w:r>
      <w:r w:rsidR="00006D0E">
        <w:t>,</w:t>
      </w:r>
      <w:r w:rsidR="00006D0E" w:rsidRPr="00006D0E">
        <w:t xml:space="preserve"> there is little doubt. But when you consider the power given to this goddess in the pantheon</w:t>
      </w:r>
      <w:r w:rsidR="00006D0E">
        <w:t>,</w:t>
      </w:r>
      <w:r w:rsidR="00006D0E" w:rsidRPr="00006D0E">
        <w:t xml:space="preserve"> against the power vacuum of the human world, the gender gap between the sexes, is considerable. Thus, it is both surprising and </w:t>
      </w:r>
      <w:r w:rsidR="00632BE6">
        <w:t>intriguing</w:t>
      </w:r>
      <w:r w:rsidR="00006D0E" w:rsidRPr="00006D0E">
        <w:t xml:space="preserve"> that the high status assigned to Ishtar as a goddess, as opposed to the lowly status that was assigned typically to the female in the social hierarchy of man, actually, occurred. </w:t>
      </w:r>
      <w:r>
        <w:t>Her offer to Gilgamesh of animals with great strength and wh</w:t>
      </w:r>
      <w:r w:rsidR="00ED50A2">
        <w:t>ich</w:t>
      </w:r>
      <w:r>
        <w:t xml:space="preserve"> will procreate prolifically </w:t>
      </w:r>
      <w:r w:rsidR="00ED50A2">
        <w:t>point to the duality of her role not only as being a receiver of the dead but also as being a mistress of animal new life</w:t>
      </w:r>
      <w:r w:rsidR="00ED50A2">
        <w:rPr>
          <w:rStyle w:val="FootnoteReference"/>
        </w:rPr>
        <w:footnoteReference w:id="17"/>
      </w:r>
    </w:p>
    <w:p w:rsidR="00006D0E" w:rsidRPr="00C9524B" w:rsidRDefault="00ED50A2" w:rsidP="00006D0E">
      <w:pPr>
        <w:rPr>
          <w:color w:val="FF0000"/>
        </w:rPr>
      </w:pPr>
      <w:r>
        <w:t>A further interpretation of the proposal could be one of a goddess</w:t>
      </w:r>
      <w:r w:rsidR="00006D0E">
        <w:t xml:space="preserve">of the underworld </w:t>
      </w:r>
      <w:r>
        <w:t xml:space="preserve">who is lonely and </w:t>
      </w:r>
      <w:r w:rsidR="00006D0E">
        <w:t>has a proclivity for sex. The one area that both goddess and women have in common is procreation, sexual relations. While Ishtar shows male aggressiveness, this is combined with an overabundance of female sexuality</w:t>
      </w:r>
      <w:r w:rsidR="00006D0E">
        <w:rPr>
          <w:rStyle w:val="FootnoteReference"/>
        </w:rPr>
        <w:footnoteReference w:id="18"/>
      </w:r>
      <w:r w:rsidR="00AA12AE">
        <w:t>She</w:t>
      </w:r>
      <w:r w:rsidR="00006D0E">
        <w:t xml:space="preserve"> is often said to be akin to a prostitute and it seems to me </w:t>
      </w:r>
      <w:r w:rsidR="00AA12AE">
        <w:t xml:space="preserve">that </w:t>
      </w:r>
      <w:r w:rsidR="00006D0E">
        <w:t>Mesopotamian men treated their women no better than prostitutes.</w:t>
      </w:r>
      <w:r w:rsidR="00006D0E">
        <w:rPr>
          <w:rStyle w:val="FootnoteReference"/>
        </w:rPr>
        <w:footnoteReference w:id="19"/>
      </w:r>
      <w:r w:rsidR="00006D0E">
        <w:t>Bottero emphasized her bi-polarity and marginalization, contending that this results from her association with prostitutes.</w:t>
      </w:r>
      <w:r w:rsidR="00006D0E">
        <w:rPr>
          <w:rStyle w:val="FootnoteReference"/>
        </w:rPr>
        <w:footnoteReference w:id="20"/>
      </w:r>
    </w:p>
    <w:p w:rsidR="004E6AAE" w:rsidRDefault="00D02222" w:rsidP="004E6AAE">
      <w:r>
        <w:t xml:space="preserve">In lines 1-21, Ishtar’s proposal, Ishtar is portrayed as devious, cunning and deceitful.  She is portrayed by Gilgamesh in his speech as an aggressive and harmful woman </w:t>
      </w:r>
      <w:r>
        <w:rPr>
          <w:rStyle w:val="FootnoteReference"/>
        </w:rPr>
        <w:footnoteReference w:id="21"/>
      </w:r>
      <w:r w:rsidR="004E6AAE">
        <w:t xml:space="preserve">, traits that are more masculine than feminine. Indeed, one of the </w:t>
      </w:r>
      <w:r w:rsidR="00CC6821">
        <w:t>main thrust</w:t>
      </w:r>
      <w:r w:rsidR="004E6AAE">
        <w:t>s</w:t>
      </w:r>
      <w:r w:rsidR="00CC6821">
        <w:t xml:space="preserve"> of this work </w:t>
      </w:r>
      <w:r w:rsidR="004E6AAE">
        <w:t>for</w:t>
      </w:r>
      <w:r w:rsidR="00CC6821">
        <w:t xml:space="preserve"> looking at the Epic of Gilgamesh is to highlight the extremities of Ishtar’s character in relation to the emotions and behaviour she displays -her masculinity and femininity. Ishtar can </w:t>
      </w:r>
      <w:r w:rsidR="004E6AAE">
        <w:t>show</w:t>
      </w:r>
      <w:r w:rsidR="00CC6821">
        <w:t xml:space="preserve"> a wide disparity of emotions, she has often been listed as not at home either as man or wom</w:t>
      </w:r>
      <w:r w:rsidR="004E6AAE">
        <w:t>a</w:t>
      </w:r>
      <w:r w:rsidR="00CC6821">
        <w:t>n.</w:t>
      </w:r>
      <w:r w:rsidR="00CC6821">
        <w:rPr>
          <w:rStyle w:val="FootnoteReference"/>
        </w:rPr>
        <w:footnoteReference w:id="22"/>
      </w:r>
      <w:r w:rsidR="004E6AAE">
        <w:t>She is depicted as breaking the accepted boundaries through her embodiment of maleness and femaleness</w:t>
      </w:r>
      <w:r w:rsidR="004E6AAE">
        <w:rPr>
          <w:rStyle w:val="FootnoteReference"/>
        </w:rPr>
        <w:footnoteReference w:id="23"/>
      </w:r>
      <w:r w:rsidR="004E6AAE">
        <w:t>.  Fontaine comments about the ease with which she fills the typical roles</w:t>
      </w:r>
      <w:r w:rsidR="00FE396F">
        <w:t>,</w:t>
      </w:r>
      <w:r w:rsidR="004E6AAE">
        <w:t xml:space="preserve"> usually assigned to male characters but at the same time she does not accept total masculinisation and keeps her feminine side</w:t>
      </w:r>
      <w:r w:rsidR="004E6AAE">
        <w:rPr>
          <w:rStyle w:val="FootnoteReference"/>
        </w:rPr>
        <w:footnoteReference w:id="24"/>
      </w:r>
      <w:r w:rsidR="004E6AAE">
        <w:t xml:space="preserve"> , thus supporting the argument that she is both masculine and feminine. Ortner further argues that it is usually the </w:t>
      </w:r>
      <w:r w:rsidR="004E6AAE">
        <w:lastRenderedPageBreak/>
        <w:t>female who is attributed with “completely polarised and apparently contradictory meaning, since extremes, as we say, meet”</w:t>
      </w:r>
      <w:r w:rsidR="004E6AAE">
        <w:rPr>
          <w:rStyle w:val="FootnoteReference"/>
        </w:rPr>
        <w:footnoteReference w:id="25"/>
      </w:r>
    </w:p>
    <w:p w:rsidR="00735638" w:rsidRDefault="00A52FA1" w:rsidP="00CC6821">
      <w:r>
        <w:t xml:space="preserve">Following Gilgamesh’s refusal of the marriage proposal, Ishtar, in a fit of pique, </w:t>
      </w:r>
      <w:r w:rsidR="005A367F">
        <w:t>goes to her father Anu to create a Bull of Heaven. Anu eventually relents and the bull descends from heaven killing hundreds with each snort. The two heroes</w:t>
      </w:r>
      <w:r>
        <w:t>, Gilgamesh and Enkindu,</w:t>
      </w:r>
      <w:r w:rsidR="005A367F">
        <w:t xml:space="preserve"> kill the </w:t>
      </w:r>
      <w:r>
        <w:t>B</w:t>
      </w:r>
      <w:r w:rsidR="005A367F">
        <w:t>ull, tearing the heart out which is presented to Samas</w:t>
      </w:r>
      <w:r>
        <w:t>, the Sun God</w:t>
      </w:r>
      <w:r w:rsidR="005A367F">
        <w:t>. Ishtar reappears to curse the two</w:t>
      </w:r>
      <w:r w:rsidR="00632BE6">
        <w:t xml:space="preserve"> </w:t>
      </w:r>
      <w:r w:rsidR="005A367F">
        <w:t>but Enkidu pulls off the right thigh of beast tossing it at the goddess. The two friends are cheered whilst the goddess laments. They then retire to Uruk to celebrate.</w:t>
      </w:r>
      <w:r w:rsidR="005A367F">
        <w:rPr>
          <w:rStyle w:val="FootnoteReference"/>
        </w:rPr>
        <w:footnoteReference w:id="26"/>
      </w:r>
      <w:r>
        <w:t xml:space="preserve">Ishtar as a death goddess reappears here when the Bull of Heaven becomes embroiled in her attempt to destroy Gilgamesh.  Ishtar’s </w:t>
      </w:r>
      <w:r w:rsidR="00350A23">
        <w:t>connection with the Bull of heaven is significant because he is no other than her brother-in-law, Gugulanna. Not content with losing Gilgamesh, Ishtar now turns her fury onto</w:t>
      </w:r>
      <w:r w:rsidR="00632BE6">
        <w:t xml:space="preserve"> </w:t>
      </w:r>
      <w:r w:rsidR="00350A23">
        <w:t xml:space="preserve">the Bull of Heaven/Gugulanna. </w:t>
      </w:r>
      <w:r w:rsidR="00FE396F">
        <w:t>O</w:t>
      </w:r>
      <w:r w:rsidR="00350A23">
        <w:t xml:space="preserve">n account of Ishtar’s actions, her sister Ereshkigal is deprived of her husband who is driven to his destruction and death. We have seen in this section of the epic both </w:t>
      </w:r>
      <w:r w:rsidR="005A367F">
        <w:t xml:space="preserve">the male/female </w:t>
      </w:r>
      <w:r w:rsidR="00350A23">
        <w:t xml:space="preserve">traits and behaviours </w:t>
      </w:r>
      <w:r w:rsidR="005A367F">
        <w:t>of this goddess; the male that she proposes marriage; the female where she creates carnage over the refusal</w:t>
      </w:r>
      <w:r w:rsidR="005A367F">
        <w:rPr>
          <w:rStyle w:val="FootnoteReference"/>
        </w:rPr>
        <w:footnoteReference w:id="27"/>
      </w:r>
      <w:r w:rsidR="00350A23">
        <w:t xml:space="preserve">which is </w:t>
      </w:r>
      <w:r w:rsidR="005A367F">
        <w:t>reminiscent of the saying ‘Hell hath no fury like a woman scorned’.</w:t>
      </w:r>
      <w:r w:rsidR="00632BE6">
        <w:t xml:space="preserve"> She</w:t>
      </w:r>
      <w:r w:rsidR="00E1759A">
        <w:t xml:space="preserve"> is shown to combine </w:t>
      </w:r>
      <w:r w:rsidR="00E1759A" w:rsidRPr="00E1759A">
        <w:t>both beauty and terror</w:t>
      </w:r>
      <w:r w:rsidR="00E1759A">
        <w:rPr>
          <w:rStyle w:val="FootnoteReference"/>
        </w:rPr>
        <w:footnoteReference w:id="28"/>
      </w:r>
      <w:r w:rsidR="00E1759A" w:rsidRPr="00E1759A">
        <w:t xml:space="preserve">. </w:t>
      </w:r>
      <w:r>
        <w:t>This sectionalso</w:t>
      </w:r>
      <w:r w:rsidR="00350A23">
        <w:t xml:space="preserve"> shows Gilgamesh’s strength in not only does he reject her marriage proposal but also that he has been able to thwart her anger and emerge as the victor</w:t>
      </w:r>
      <w:r w:rsidR="00735638">
        <w:rPr>
          <w:rStyle w:val="FootnoteReference"/>
        </w:rPr>
        <w:footnoteReference w:id="29"/>
      </w:r>
      <w:r w:rsidR="00350A23">
        <w:t>.</w:t>
      </w:r>
    </w:p>
    <w:p w:rsidR="00E15C2E" w:rsidRDefault="00E15C2E">
      <w:r>
        <w:t>During the story line</w:t>
      </w:r>
      <w:r w:rsidR="00D62742">
        <w:t xml:space="preserve">, as </w:t>
      </w:r>
      <w:r w:rsidR="00724E14">
        <w:t>can</w:t>
      </w:r>
      <w:r w:rsidR="00D62742">
        <w:t xml:space="preserve">be seen, </w:t>
      </w:r>
      <w:r>
        <w:t>Ishtar is at</w:t>
      </w:r>
      <w:r w:rsidR="00632BE6">
        <w:t xml:space="preserve"> </w:t>
      </w:r>
      <w:r>
        <w:t>her most demanding</w:t>
      </w:r>
      <w:r w:rsidR="00866DDD">
        <w:t xml:space="preserve"> with</w:t>
      </w:r>
      <w:r>
        <w:t xml:space="preserve"> extremities of emotion</w:t>
      </w:r>
      <w:r w:rsidR="0051659E">
        <w:rPr>
          <w:rStyle w:val="FootnoteReference"/>
        </w:rPr>
        <w:footnoteReference w:id="30"/>
      </w:r>
      <w:r>
        <w:rPr>
          <w:rStyle w:val="FootnoteReference"/>
        </w:rPr>
        <w:footnoteReference w:id="31"/>
      </w:r>
      <w:r w:rsidR="00D62742">
        <w:t>,</w:t>
      </w:r>
      <w:r w:rsidR="00735638">
        <w:t>benevolence</w:t>
      </w:r>
      <w:r w:rsidR="00866DDD">
        <w:t xml:space="preserve"> at one end</w:t>
      </w:r>
      <w:r w:rsidR="00D62742">
        <w:t xml:space="preserve"> (feminine trait)</w:t>
      </w:r>
      <w:r w:rsidR="00735638">
        <w:t>, albeit only momentarily</w:t>
      </w:r>
      <w:r w:rsidR="00866DDD">
        <w:t xml:space="preserve">and severe threatening </w:t>
      </w:r>
      <w:r w:rsidR="00735638">
        <w:t xml:space="preserve">and aggressive </w:t>
      </w:r>
      <w:r w:rsidR="00866DDD">
        <w:t xml:space="preserve">behaviour </w:t>
      </w:r>
      <w:r w:rsidR="00D62742">
        <w:t xml:space="preserve">(masculine trait)at </w:t>
      </w:r>
      <w:r w:rsidR="00866DDD">
        <w:t>the other</w:t>
      </w:r>
      <w:r w:rsidR="00D62742">
        <w:t>.</w:t>
      </w:r>
      <w:r w:rsidR="00866DDD">
        <w:rPr>
          <w:rStyle w:val="FootnoteReference"/>
        </w:rPr>
        <w:footnoteReference w:id="32"/>
      </w:r>
      <w:r w:rsidR="00752E10">
        <w:t xml:space="preserve"> At the very end of </w:t>
      </w:r>
      <w:r w:rsidR="00D62742">
        <w:t xml:space="preserve">Tablet VI, </w:t>
      </w:r>
      <w:r w:rsidR="00752E10">
        <w:t>the emotion of remorse from the goddess</w:t>
      </w:r>
      <w:r w:rsidR="00D62742">
        <w:t xml:space="preserve"> is also witnessed</w:t>
      </w:r>
      <w:r w:rsidR="00752E10">
        <w:t xml:space="preserve">, not </w:t>
      </w:r>
      <w:r w:rsidR="00D62742">
        <w:t xml:space="preserve">of </w:t>
      </w:r>
      <w:r w:rsidR="00752E10">
        <w:t>her actually saying sorry</w:t>
      </w:r>
      <w:r w:rsidR="00D62742">
        <w:t xml:space="preserve"> but it would appear more of her humiliation.</w:t>
      </w:r>
      <w:r w:rsidR="00450C6C">
        <w:rPr>
          <w:rStyle w:val="FootnoteReference"/>
        </w:rPr>
        <w:footnoteReference w:id="33"/>
      </w:r>
    </w:p>
    <w:p w:rsidR="00B30356" w:rsidRDefault="00B30356">
      <w:r>
        <w:t>It is widely acknowledged that Tablet VI was a late inclusion which served to unify some of the loose ends in the original story but which also changed some of the outcomes. The latter versions of the epic are as complete as they can be bearing in mind the condition of some of the tablets when discovered. While there many holes in the text because many pieces of the tablets are missing, Tablet VI is reasonably complete</w:t>
      </w:r>
      <w:r>
        <w:rPr>
          <w:rStyle w:val="FootnoteReference"/>
        </w:rPr>
        <w:footnoteReference w:id="34"/>
      </w:r>
      <w:r w:rsidR="00665E7A">
        <w:t xml:space="preserve"> Novak purports that the epic, on account of the sophistication of its writing, was </w:t>
      </w:r>
      <w:r w:rsidR="003648F0">
        <w:t>already developed before being written down and questions who the story tellers were and how the story might have been altered as they retold it. He points out, based on what is known</w:t>
      </w:r>
      <w:r w:rsidR="00D5140F">
        <w:t xml:space="preserve"> today as regards ancient oral epics and their conversion to written form, that the </w:t>
      </w:r>
      <w:r w:rsidR="00FE396F">
        <w:t>epic</w:t>
      </w:r>
      <w:r w:rsidR="00D5140F">
        <w:t xml:space="preserve"> would most likely have undergone several </w:t>
      </w:r>
      <w:r w:rsidR="00276FBB">
        <w:t>layers of change and revision since being performed by its early orators</w:t>
      </w:r>
      <w:r w:rsidR="00276FBB">
        <w:rPr>
          <w:rStyle w:val="FootnoteReference"/>
        </w:rPr>
        <w:footnoteReference w:id="35"/>
      </w:r>
      <w:r w:rsidR="00276FBB">
        <w:t xml:space="preserve">. </w:t>
      </w:r>
    </w:p>
    <w:p w:rsidR="008F490B" w:rsidRDefault="00273C18" w:rsidP="00E1759A">
      <w:pPr>
        <w:spacing w:after="0" w:line="240" w:lineRule="auto"/>
      </w:pPr>
      <w:r>
        <w:lastRenderedPageBreak/>
        <w:t xml:space="preserve">Ishtar </w:t>
      </w:r>
      <w:r w:rsidR="00287DCE">
        <w:t xml:space="preserve">is </w:t>
      </w:r>
      <w:r w:rsidR="002052F3">
        <w:t xml:space="preserve">shown in Tablet VI of this epic as being “associated with beauty, </w:t>
      </w:r>
      <w:r w:rsidR="00E1759A">
        <w:t xml:space="preserve">love, </w:t>
      </w:r>
      <w:r w:rsidR="002052F3">
        <w:t>sex, war and power”</w:t>
      </w:r>
      <w:r>
        <w:rPr>
          <w:rStyle w:val="FootnoteReference"/>
        </w:rPr>
        <w:footnoteReference w:id="36"/>
      </w:r>
      <w:r w:rsidR="002052F3">
        <w:t xml:space="preserve">However, it is more of her male traits </w:t>
      </w:r>
      <w:r w:rsidR="007519C9">
        <w:t>which come</w:t>
      </w:r>
      <w:r w:rsidR="002052F3">
        <w:t xml:space="preserve"> to the fore</w:t>
      </w:r>
      <w:r w:rsidR="00FE396F">
        <w:t xml:space="preserve"> </w:t>
      </w:r>
      <w:r w:rsidR="002052F3">
        <w:t xml:space="preserve"> </w:t>
      </w:r>
      <w:r w:rsidR="000A0B21">
        <w:t>aggress</w:t>
      </w:r>
      <w:r w:rsidR="00FE396F">
        <w:t>ion</w:t>
      </w:r>
      <w:r w:rsidR="000A0B21">
        <w:t>, assertive</w:t>
      </w:r>
      <w:r w:rsidR="00FE396F">
        <w:t>ness</w:t>
      </w:r>
      <w:r w:rsidR="000A0B21">
        <w:t xml:space="preserve"> and </w:t>
      </w:r>
      <w:r w:rsidR="00FE396F">
        <w:t>desire for</w:t>
      </w:r>
      <w:r w:rsidR="00AA12AE">
        <w:t xml:space="preserve"> </w:t>
      </w:r>
      <w:r w:rsidR="000A0B21">
        <w:t>dominan</w:t>
      </w:r>
      <w:r w:rsidR="00AA12AE">
        <w:t>ce</w:t>
      </w:r>
      <w:r w:rsidR="000A0B21">
        <w:t xml:space="preserve">. </w:t>
      </w:r>
      <w:r w:rsidR="00E1759A">
        <w:t>The</w:t>
      </w:r>
      <w:r w:rsidR="00AA12AE">
        <w:t xml:space="preserve"> extreme</w:t>
      </w:r>
      <w:r w:rsidR="00E1759A">
        <w:t>ness of her</w:t>
      </w:r>
      <w:r w:rsidR="00AA12AE">
        <w:t xml:space="preserve"> gender attributes can be explained </w:t>
      </w:r>
      <w:r w:rsidR="007519C9">
        <w:t xml:space="preserve">by the fact that </w:t>
      </w:r>
      <w:r w:rsidR="00500B5A">
        <w:t>only a goddess (not a god) could “incorporate anomalies and antimonies”</w:t>
      </w:r>
      <w:r w:rsidR="00500B5A">
        <w:rPr>
          <w:rStyle w:val="FootnoteReference"/>
        </w:rPr>
        <w:footnoteReference w:id="37"/>
      </w:r>
      <w:r w:rsidR="007519C9">
        <w:t xml:space="preserve">.Her description as a </w:t>
      </w:r>
      <w:r w:rsidR="00500B5A">
        <w:t>transitional figure</w:t>
      </w:r>
      <w:r w:rsidR="007519C9">
        <w:t xml:space="preserve"> is evident</w:t>
      </w:r>
      <w:r w:rsidR="00500B5A">
        <w:rPr>
          <w:rStyle w:val="FootnoteReference"/>
        </w:rPr>
        <w:footnoteReference w:id="38"/>
      </w:r>
      <w:r w:rsidR="007519C9">
        <w:t xml:space="preserve">, </w:t>
      </w:r>
      <w:r w:rsidR="00500B5A">
        <w:t>she is “ambiguity incarnate”</w:t>
      </w:r>
      <w:r w:rsidR="00500B5A">
        <w:rPr>
          <w:rStyle w:val="FootnoteReference"/>
        </w:rPr>
        <w:footnoteReference w:id="39"/>
      </w:r>
      <w:r w:rsidR="007519C9">
        <w:t>,</w:t>
      </w:r>
      <w:r w:rsidR="00500B5A">
        <w:t xml:space="preserve"> “that which cannot be defined in terms of any given category, threatening the integrity of individual categories</w:t>
      </w:r>
      <w:r w:rsidR="00FE396F">
        <w:t xml:space="preserve"> </w:t>
      </w:r>
      <w:r w:rsidR="008F490B">
        <w:t>raise the uncomfortable suspicion that perhaps the world, and hence man's life in the world, has no genuine order at all-no empirical regularity, no form, no moral coherence.</w:t>
      </w:r>
      <w:r w:rsidR="008F490B">
        <w:rPr>
          <w:rStyle w:val="FootnoteReference"/>
        </w:rPr>
        <w:footnoteReference w:id="40"/>
      </w:r>
      <w:r w:rsidR="00E1759A">
        <w:t xml:space="preserve">I conclude with Kramer’s conclusion </w:t>
      </w:r>
      <w:r w:rsidR="002052F3" w:rsidRPr="002052F3">
        <w:t>of his discussion of the goddess</w:t>
      </w:r>
      <w:r w:rsidR="00E1759A">
        <w:t xml:space="preserve">. She is </w:t>
      </w:r>
      <w:r w:rsidR="002052F3" w:rsidRPr="002052F3">
        <w:t>“the very epitome of the liberated woman, the ideal divine patroness for the current women’s lib movement. Bright, brave and desirable, nonetheless she allowed no one, neither man nor god, to stand in her way”</w:t>
      </w:r>
      <w:r w:rsidR="00E1759A">
        <w:rPr>
          <w:rStyle w:val="FootnoteReference"/>
        </w:rPr>
        <w:footnoteReference w:id="41"/>
      </w:r>
    </w:p>
    <w:p w:rsidR="00500B5A" w:rsidRDefault="00500B5A" w:rsidP="00500B5A">
      <w:pPr>
        <w:spacing w:after="0" w:line="240" w:lineRule="auto"/>
        <w:rPr>
          <w:rFonts w:ascii="Times New Roman" w:hAnsi="Times New Roman" w:cs="Times New Roman"/>
          <w:sz w:val="24"/>
          <w:szCs w:val="24"/>
          <w:lang w:eastAsia="en-GB"/>
        </w:rPr>
      </w:pPr>
    </w:p>
    <w:p w:rsidR="00500B5A" w:rsidRDefault="00500B5A" w:rsidP="000A0B21"/>
    <w:p w:rsidR="000A0B21" w:rsidRDefault="000A0B21" w:rsidP="00273C18">
      <w:pPr>
        <w:spacing w:after="0" w:line="240" w:lineRule="auto"/>
        <w:rPr>
          <w:rFonts w:ascii="Times New Roman" w:hAnsi="Times New Roman" w:cs="Times New Roman"/>
          <w:sz w:val="24"/>
          <w:szCs w:val="24"/>
          <w:lang w:eastAsia="en-GB"/>
        </w:rPr>
      </w:pPr>
    </w:p>
    <w:p w:rsidR="00273C18" w:rsidRDefault="00273C18"/>
    <w:p w:rsidR="000E34EE" w:rsidRDefault="000E34EE"/>
    <w:p w:rsidR="007519C9" w:rsidRDefault="000E34EE">
      <w:r>
        <w:br w:type="page"/>
      </w:r>
    </w:p>
    <w:p w:rsidR="007519C9" w:rsidRDefault="007519C9" w:rsidP="003334E3">
      <w:pPr>
        <w:jc w:val="center"/>
      </w:pPr>
      <w:r>
        <w:lastRenderedPageBreak/>
        <w:t>Bibliography</w:t>
      </w:r>
    </w:p>
    <w:p w:rsidR="007519C9" w:rsidRPr="006C0299" w:rsidRDefault="008B4D61" w:rsidP="007519C9">
      <w:r w:rsidRPr="006C0299">
        <w:t xml:space="preserve">Abusch, T.  </w:t>
      </w:r>
      <w:r w:rsidRPr="006C0299">
        <w:rPr>
          <w:i/>
        </w:rPr>
        <w:t xml:space="preserve">Male and Female in the Epic of the Epic of Gilgamesh, Encounters, Literary History and Interpretation </w:t>
      </w:r>
      <w:r w:rsidRPr="006C0299">
        <w:t>(Winona Lake, Indiana: Eisenbrauns, 2015)</w:t>
      </w:r>
    </w:p>
    <w:p w:rsidR="003334E3" w:rsidRPr="006C0299" w:rsidRDefault="003334E3" w:rsidP="007519C9">
      <w:r w:rsidRPr="006C0299">
        <w:t xml:space="preserve">Black, J. and Green, A, </w:t>
      </w:r>
      <w:r w:rsidRPr="006C0299">
        <w:rPr>
          <w:i/>
        </w:rPr>
        <w:t>Gods, Demons and Symbols of Ancient Mesopotamia, An Illustrated Dictionary</w:t>
      </w:r>
      <w:r w:rsidR="008B4D61" w:rsidRPr="006C0299">
        <w:rPr>
          <w:i/>
        </w:rPr>
        <w:t xml:space="preserve"> </w:t>
      </w:r>
      <w:r w:rsidRPr="006C0299">
        <w:t xml:space="preserve">(London: British Museum Press, 1992)  </w:t>
      </w:r>
    </w:p>
    <w:p w:rsidR="00744EDD" w:rsidRPr="006C0299" w:rsidRDefault="00744EDD" w:rsidP="007519C9">
      <w:r w:rsidRPr="006C0299">
        <w:t xml:space="preserve">Bottero, J. ‘Woman, love and war in ancient Mesapotamia’, </w:t>
      </w:r>
      <w:r w:rsidRPr="006C0299">
        <w:rPr>
          <w:i/>
        </w:rPr>
        <w:t>Poikilia, Etudes offertes a Jean-Pierre Vernant</w:t>
      </w:r>
      <w:r w:rsidRPr="006C0299">
        <w:t xml:space="preserve"> (Paris: EHESS, 1987), pp.165-183</w:t>
      </w:r>
    </w:p>
    <w:p w:rsidR="003334E3" w:rsidRPr="006C0299" w:rsidRDefault="003334E3" w:rsidP="007519C9">
      <w:r w:rsidRPr="006C0299">
        <w:t>Cronenberg, B, ‘The Sumerian-Akkadian, Inanna/Ishtar: Hermaphoridite?’,</w:t>
      </w:r>
      <w:r w:rsidR="008B4D61" w:rsidRPr="006C0299">
        <w:t xml:space="preserve"> </w:t>
      </w:r>
      <w:r w:rsidRPr="006C0299">
        <w:rPr>
          <w:i/>
        </w:rPr>
        <w:t>The Eastern World, 17,</w:t>
      </w:r>
      <w:r w:rsidRPr="006C0299">
        <w:t xml:space="preserve"> 1986, pp.25-46 (</w:t>
      </w:r>
      <w:r w:rsidR="008B4D61" w:rsidRPr="006C0299">
        <w:t>‘</w:t>
      </w:r>
      <w:r w:rsidRPr="006C0299">
        <w:t>Die sumeriche- akkadischeInana/ IstarHermaaphroditos?</w:t>
      </w:r>
      <w:r w:rsidR="008B4D61" w:rsidRPr="006C0299">
        <w:t xml:space="preserve">’ </w:t>
      </w:r>
      <w:r w:rsidRPr="006C0299">
        <w:rPr>
          <w:i/>
        </w:rPr>
        <w:t>Welt des Orients 17</w:t>
      </w:r>
      <w:r w:rsidRPr="006C0299">
        <w:t>, pp. 25-46)</w:t>
      </w:r>
    </w:p>
    <w:p w:rsidR="003334E3" w:rsidRPr="006C0299" w:rsidRDefault="003334E3" w:rsidP="007519C9">
      <w:r w:rsidRPr="006C0299">
        <w:t xml:space="preserve">Fontaine, C, ‘The Deceptive Goddess In Ancient Near Eastern Myth: Inanna and Inaras’, </w:t>
      </w:r>
      <w:r w:rsidRPr="006C0299">
        <w:rPr>
          <w:i/>
        </w:rPr>
        <w:t>In Reasoning With the Foxes</w:t>
      </w:r>
      <w:r w:rsidRPr="006C0299">
        <w:t>: J.C, Exum and J.W.H., Bos, Sameia, No 42, (Atlanta: Scholars Press, 1998), p</w:t>
      </w:r>
      <w:r w:rsidR="008B4D61" w:rsidRPr="006C0299">
        <w:t xml:space="preserve">. </w:t>
      </w:r>
      <w:r w:rsidRPr="006C0299">
        <w:t>91</w:t>
      </w:r>
    </w:p>
    <w:p w:rsidR="006C0299" w:rsidRPr="006C0299" w:rsidRDefault="006C0299" w:rsidP="006C0299">
      <w:pPr>
        <w:pStyle w:val="FootnoteText"/>
        <w:rPr>
          <w:sz w:val="22"/>
          <w:szCs w:val="22"/>
        </w:rPr>
      </w:pPr>
      <w:r w:rsidRPr="006C0299">
        <w:rPr>
          <w:sz w:val="22"/>
          <w:szCs w:val="22"/>
        </w:rPr>
        <w:t xml:space="preserve">Geertz, C. ‘Religion as a Cultural System’ in </w:t>
      </w:r>
      <w:r w:rsidRPr="006C0299">
        <w:rPr>
          <w:i/>
          <w:iCs/>
          <w:sz w:val="22"/>
          <w:szCs w:val="22"/>
        </w:rPr>
        <w:t xml:space="preserve">Reader in Comparative Religion: An Anthropological Approach, </w:t>
      </w:r>
      <w:r w:rsidRPr="006C0299">
        <w:rPr>
          <w:sz w:val="22"/>
          <w:szCs w:val="22"/>
        </w:rPr>
        <w:t>ed. W.A. Lessa and E.Z. Vogt, 3d ed. (New York: Harper and Row, 1972), p.173.</w:t>
      </w:r>
    </w:p>
    <w:p w:rsidR="006C0299" w:rsidRDefault="006C0299" w:rsidP="007519C9"/>
    <w:p w:rsidR="003334E3" w:rsidRPr="006C0299" w:rsidRDefault="003334E3" w:rsidP="007519C9">
      <w:r w:rsidRPr="006C0299">
        <w:t xml:space="preserve">Harris, Rivkah, </w:t>
      </w:r>
      <w:r w:rsidR="008B4D61" w:rsidRPr="006C0299">
        <w:t>‘</w:t>
      </w:r>
      <w:r w:rsidRPr="006C0299">
        <w:t>Inanna-Ishtar As Paradox and a Coincidence of Opposites</w:t>
      </w:r>
      <w:r w:rsidR="008B4D61" w:rsidRPr="006C0299">
        <w:t>’</w:t>
      </w:r>
      <w:r w:rsidRPr="006C0299">
        <w:t xml:space="preserve">, </w:t>
      </w:r>
      <w:r w:rsidRPr="006C0299">
        <w:rPr>
          <w:i/>
        </w:rPr>
        <w:t>History of Religions</w:t>
      </w:r>
      <w:r w:rsidRPr="006C0299">
        <w:t xml:space="preserve">, </w:t>
      </w:r>
      <w:r w:rsidR="008B4D61" w:rsidRPr="006C0299">
        <w:t>30(3),</w:t>
      </w:r>
      <w:r w:rsidRPr="006C0299">
        <w:t xml:space="preserve"> 1991</w:t>
      </w:r>
      <w:r w:rsidR="008B4D61" w:rsidRPr="006C0299">
        <w:t>, pp.261-278</w:t>
      </w:r>
      <w:r w:rsidRPr="006C0299">
        <w:t xml:space="preserve"> </w:t>
      </w:r>
    </w:p>
    <w:p w:rsidR="003334E3" w:rsidRPr="006C0299" w:rsidRDefault="003334E3" w:rsidP="007519C9">
      <w:r w:rsidRPr="006C0299">
        <w:t>Heimpel, W</w:t>
      </w:r>
      <w:r w:rsidR="008B4D61" w:rsidRPr="006C0299">
        <w:t>.</w:t>
      </w:r>
      <w:r w:rsidRPr="006C0299">
        <w:t xml:space="preserve"> A</w:t>
      </w:r>
      <w:r w:rsidR="008B4D61" w:rsidRPr="006C0299">
        <w:t xml:space="preserve">. </w:t>
      </w:r>
      <w:r w:rsidRPr="006C0299">
        <w:t xml:space="preserve"> Catalogue of Near Eastern Venus Deities. </w:t>
      </w:r>
      <w:r w:rsidRPr="006C0299">
        <w:rPr>
          <w:i/>
        </w:rPr>
        <w:t>Syro-Mesopotamian Studies 4</w:t>
      </w:r>
      <w:r w:rsidRPr="006C0299">
        <w:t xml:space="preserve"> (1982)</w:t>
      </w:r>
    </w:p>
    <w:p w:rsidR="003334E3" w:rsidRPr="006C0299" w:rsidRDefault="006C0299" w:rsidP="007519C9">
      <w:r w:rsidRPr="006C0299">
        <w:t xml:space="preserve">Jacobsen, T. </w:t>
      </w:r>
      <w:r w:rsidRPr="006C0299">
        <w:rPr>
          <w:i/>
        </w:rPr>
        <w:t xml:space="preserve">The Treasures of Darkness: A History of Mesopotamian Religion </w:t>
      </w:r>
      <w:r w:rsidRPr="006C0299">
        <w:t>(Cambridge, Mass: Harvard University Press, 1976), pp.135-143</w:t>
      </w:r>
      <w:r w:rsidR="003334E3" w:rsidRPr="006C0299">
        <w:t>,</w:t>
      </w:r>
    </w:p>
    <w:p w:rsidR="003334E3" w:rsidRPr="006C0299" w:rsidRDefault="003334E3" w:rsidP="007519C9">
      <w:r w:rsidRPr="006C0299">
        <w:t xml:space="preserve">Kramer, </w:t>
      </w:r>
      <w:r w:rsidR="006C0299">
        <w:t xml:space="preserve">S.N. </w:t>
      </w:r>
      <w:r w:rsidR="006C0299" w:rsidRPr="006C0299">
        <w:rPr>
          <w:i/>
        </w:rPr>
        <w:t>From the Poetry of Sumer</w:t>
      </w:r>
      <w:r w:rsidR="006C0299">
        <w:t xml:space="preserve"> (Berkeley and Los Angeles: University of California Press, 1979), p.77</w:t>
      </w:r>
    </w:p>
    <w:p w:rsidR="003334E3" w:rsidRPr="006C0299" w:rsidRDefault="003334E3" w:rsidP="003334E3">
      <w:r w:rsidRPr="006C0299">
        <w:t xml:space="preserve">Leick, G.  </w:t>
      </w:r>
      <w:r w:rsidRPr="006C0299">
        <w:rPr>
          <w:i/>
        </w:rPr>
        <w:t xml:space="preserve">A Dictionary of Ancient Near Eastern Mythology </w:t>
      </w:r>
      <w:r w:rsidRPr="006C0299">
        <w:t>(London, Routledge, 1998)</w:t>
      </w:r>
    </w:p>
    <w:p w:rsidR="008B4D61" w:rsidRPr="006C0299" w:rsidRDefault="008B4D61" w:rsidP="003334E3">
      <w:r w:rsidRPr="006C0299">
        <w:t xml:space="preserve">Meyers, C.  ‘Gender Imagery in the Song of Songs’, </w:t>
      </w:r>
      <w:r w:rsidRPr="006C0299">
        <w:rPr>
          <w:i/>
          <w:iCs/>
        </w:rPr>
        <w:t xml:space="preserve">Hebrew Annual review, 10 </w:t>
      </w:r>
      <w:r w:rsidRPr="006C0299">
        <w:t>(1987), 209-223.</w:t>
      </w:r>
    </w:p>
    <w:p w:rsidR="008B4D61" w:rsidRPr="006C0299" w:rsidRDefault="003334E3" w:rsidP="007519C9">
      <w:pPr>
        <w:rPr>
          <w:rFonts w:cstheme="minorHAnsi"/>
          <w:color w:val="000000"/>
          <w:shd w:val="clear" w:color="auto" w:fill="FFFFFF"/>
        </w:rPr>
      </w:pPr>
      <w:r w:rsidRPr="006C0299">
        <w:t xml:space="preserve">Novak, D.  ‘Going long: On telling Gilgamesh’, </w:t>
      </w:r>
      <w:r w:rsidRPr="006C0299">
        <w:rPr>
          <w:rFonts w:cstheme="minorHAnsi"/>
          <w:i/>
          <w:color w:val="000000"/>
          <w:shd w:val="clear" w:color="auto" w:fill="FFFFFF"/>
        </w:rPr>
        <w:t>Storytelling, self, society, .14 (1),</w:t>
      </w:r>
      <w:r w:rsidRPr="006C0299">
        <w:rPr>
          <w:rFonts w:cstheme="minorHAnsi"/>
          <w:color w:val="000000"/>
          <w:shd w:val="clear" w:color="auto" w:fill="FFFFFF"/>
        </w:rPr>
        <w:t xml:space="preserve"> 2018, pp.95-100, </w:t>
      </w:r>
    </w:p>
    <w:p w:rsidR="003334E3" w:rsidRPr="006C0299" w:rsidRDefault="003334E3" w:rsidP="007519C9">
      <w:r w:rsidRPr="006C0299">
        <w:t xml:space="preserve">Ortner, Sherry, O, </w:t>
      </w:r>
      <w:r w:rsidR="008B4D61" w:rsidRPr="006C0299">
        <w:t>‘</w:t>
      </w:r>
      <w:r w:rsidRPr="006C0299">
        <w:t>Is Female to Male as Nature is to Culture?</w:t>
      </w:r>
      <w:r w:rsidR="008B4D61" w:rsidRPr="006C0299">
        <w:t>’</w:t>
      </w:r>
      <w:r w:rsidRPr="006C0299">
        <w:t xml:space="preserve"> </w:t>
      </w:r>
      <w:r w:rsidRPr="006C0299">
        <w:rPr>
          <w:i/>
        </w:rPr>
        <w:t>Women, Culture and Society</w:t>
      </w:r>
      <w:r w:rsidRPr="006C0299">
        <w:t xml:space="preserve"> (ed), M.Z., Rosaldo, and L. Lamphere, (Stanford, California: Stanford University Press</w:t>
      </w:r>
      <w:r w:rsidR="008B4D61" w:rsidRPr="006C0299">
        <w:t>, 1974</w:t>
      </w:r>
      <w:r w:rsidRPr="006C0299">
        <w:t xml:space="preserve">)  </w:t>
      </w:r>
    </w:p>
    <w:p w:rsidR="003334E3" w:rsidRPr="006C0299" w:rsidRDefault="003334E3" w:rsidP="007519C9">
      <w:r w:rsidRPr="006C0299">
        <w:t xml:space="preserve">Pritchard J, B. </w:t>
      </w:r>
      <w:r w:rsidRPr="006C0299">
        <w:rPr>
          <w:i/>
        </w:rPr>
        <w:t>Ancient Near Eastern Texts Relating to the Old Testament</w:t>
      </w:r>
      <w:r w:rsidRPr="006C0299">
        <w:t xml:space="preserve">, (Princeton, Princeton University Press, 1969) pp. </w:t>
      </w:r>
      <w:r w:rsidR="008B4D61" w:rsidRPr="006C0299">
        <w:t>65</w:t>
      </w:r>
      <w:r w:rsidRPr="006C0299">
        <w:t>-99 and 503-507</w:t>
      </w:r>
    </w:p>
    <w:p w:rsidR="003334E3" w:rsidRPr="006C0299" w:rsidRDefault="003334E3" w:rsidP="007519C9">
      <w:r w:rsidRPr="006C0299">
        <w:t>Wolkstein, Diane; Kramer, Samuel Noah (1983), Inanna: Queen of Heaven and Earth: Her Stories and Hymns from Sumer, New York City, New York: Harper Row Publishers,</w:t>
      </w:r>
    </w:p>
    <w:p w:rsidR="003334E3" w:rsidRPr="006C0299" w:rsidRDefault="003334E3" w:rsidP="007519C9">
      <w:r w:rsidRPr="006C0299">
        <w:t xml:space="preserve">Worthington, M. </w:t>
      </w:r>
      <w:r w:rsidRPr="006C0299">
        <w:rPr>
          <w:i/>
          <w:iCs/>
        </w:rPr>
        <w:t>Ea’s Duplicity in the Gilgamesh Flood Story (The Ancient Word)</w:t>
      </w:r>
      <w:r w:rsidR="006C0299">
        <w:rPr>
          <w:i/>
          <w:iCs/>
        </w:rPr>
        <w:t xml:space="preserve"> </w:t>
      </w:r>
      <w:r w:rsidRPr="006C0299">
        <w:t>(Routledge: London, 2019)</w:t>
      </w:r>
    </w:p>
    <w:p w:rsidR="000E34EE" w:rsidRDefault="000E34EE"/>
    <w:p w:rsidR="00E63449" w:rsidRDefault="00E63449"/>
    <w:sectPr w:rsidR="00E63449" w:rsidSect="0030159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E5986" w:rsidRDefault="00AE5986" w:rsidP="00DD01A2">
      <w:pPr>
        <w:spacing w:after="0" w:line="240" w:lineRule="auto"/>
      </w:pPr>
      <w:r>
        <w:separator/>
      </w:r>
    </w:p>
  </w:endnote>
  <w:endnote w:type="continuationSeparator" w:id="1">
    <w:p w:rsidR="00AE5986" w:rsidRDefault="00AE5986" w:rsidP="00DD01A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E5986" w:rsidRDefault="00AE5986" w:rsidP="00DD01A2">
      <w:pPr>
        <w:spacing w:after="0" w:line="240" w:lineRule="auto"/>
      </w:pPr>
      <w:r>
        <w:separator/>
      </w:r>
    </w:p>
  </w:footnote>
  <w:footnote w:type="continuationSeparator" w:id="1">
    <w:p w:rsidR="00AE5986" w:rsidRDefault="00AE5986" w:rsidP="00DD01A2">
      <w:pPr>
        <w:spacing w:after="0" w:line="240" w:lineRule="auto"/>
      </w:pPr>
      <w:r>
        <w:continuationSeparator/>
      </w:r>
    </w:p>
  </w:footnote>
  <w:footnote w:id="2">
    <w:p w:rsidR="00D62742" w:rsidRPr="00D62742" w:rsidRDefault="00D62742">
      <w:pPr>
        <w:pStyle w:val="FootnoteText"/>
      </w:pPr>
      <w:r>
        <w:rPr>
          <w:rStyle w:val="FootnoteReference"/>
        </w:rPr>
        <w:footnoteRef/>
      </w:r>
      <w:r>
        <w:t xml:space="preserve"> </w:t>
      </w:r>
      <w:r w:rsidR="001750BB">
        <w:t>M.</w:t>
      </w:r>
      <w:r w:rsidR="008B4D61">
        <w:t xml:space="preserve"> </w:t>
      </w:r>
      <w:r>
        <w:t>Worthington,</w:t>
      </w:r>
      <w:r w:rsidR="008B4D61">
        <w:t xml:space="preserve"> </w:t>
      </w:r>
      <w:r w:rsidRPr="00D62742">
        <w:rPr>
          <w:i/>
          <w:iCs/>
        </w:rPr>
        <w:t>Ea’s Duplicity in the Gilgamesh Flood Story (The Ancient Word)</w:t>
      </w:r>
      <w:r>
        <w:t>(Routledge: London, 2019)</w:t>
      </w:r>
    </w:p>
  </w:footnote>
  <w:footnote w:id="3">
    <w:p w:rsidR="00287DCE" w:rsidRDefault="00287DCE" w:rsidP="00287DCE">
      <w:pPr>
        <w:pStyle w:val="FootnoteText"/>
      </w:pPr>
      <w:r>
        <w:rPr>
          <w:rStyle w:val="FootnoteReference"/>
        </w:rPr>
        <w:footnoteRef/>
      </w:r>
      <w:r>
        <w:t xml:space="preserve"> C Meyers, “Gender Imagery in the Song of Songs”, </w:t>
      </w:r>
      <w:r>
        <w:rPr>
          <w:i/>
          <w:iCs/>
        </w:rPr>
        <w:t xml:space="preserve">Hebrew Annual review, 10 </w:t>
      </w:r>
      <w:r>
        <w:t>(1987), 209-223.</w:t>
      </w:r>
    </w:p>
  </w:footnote>
  <w:footnote w:id="4">
    <w:p w:rsidR="00D62742" w:rsidRDefault="00D62742">
      <w:pPr>
        <w:pStyle w:val="FootnoteText"/>
      </w:pPr>
      <w:r>
        <w:rPr>
          <w:rStyle w:val="FootnoteReference"/>
        </w:rPr>
        <w:footnoteRef/>
      </w:r>
      <w:r w:rsidRPr="00D62742">
        <w:t xml:space="preserve">James B. Pritchard. (1958). </w:t>
      </w:r>
      <w:r w:rsidRPr="00D62742">
        <w:rPr>
          <w:i/>
          <w:iCs/>
        </w:rPr>
        <w:t>The Epic of Gilgamesh. The Ancient Near East, volume 1</w:t>
      </w:r>
      <w:r w:rsidRPr="00D62742">
        <w:t>. Princeton, NJ: Princeton University Press, pages 65-75.</w:t>
      </w:r>
    </w:p>
  </w:footnote>
  <w:footnote w:id="5">
    <w:p w:rsidR="002232CB" w:rsidRDefault="002232CB">
      <w:pPr>
        <w:pStyle w:val="FootnoteText"/>
      </w:pPr>
      <w:r>
        <w:rPr>
          <w:rStyle w:val="FootnoteReference"/>
        </w:rPr>
        <w:footnoteRef/>
      </w:r>
      <w:r>
        <w:t xml:space="preserve"> J B Pritchard</w:t>
      </w:r>
      <w:r w:rsidR="008B4D61">
        <w:t>,</w:t>
      </w:r>
      <w:r>
        <w:t xml:space="preserve"> p.83</w:t>
      </w:r>
    </w:p>
  </w:footnote>
  <w:footnote w:id="6">
    <w:p w:rsidR="002232CB" w:rsidRDefault="002232CB">
      <w:pPr>
        <w:pStyle w:val="FootnoteText"/>
      </w:pPr>
      <w:r>
        <w:rPr>
          <w:rStyle w:val="FootnoteReference"/>
        </w:rPr>
        <w:footnoteRef/>
      </w:r>
      <w:r>
        <w:t xml:space="preserve"> J B Pritchard, p.83</w:t>
      </w:r>
    </w:p>
  </w:footnote>
  <w:footnote w:id="7">
    <w:p w:rsidR="00A25E98" w:rsidRDefault="00A25E98">
      <w:pPr>
        <w:pStyle w:val="FootnoteText"/>
      </w:pPr>
      <w:r>
        <w:rPr>
          <w:rStyle w:val="FootnoteReference"/>
        </w:rPr>
        <w:footnoteRef/>
      </w:r>
      <w:r>
        <w:t xml:space="preserve"> J B Pritchard, p.84</w:t>
      </w:r>
    </w:p>
  </w:footnote>
  <w:footnote w:id="8">
    <w:p w:rsidR="004D0DB6" w:rsidRDefault="004D0DB6">
      <w:pPr>
        <w:pStyle w:val="FootnoteText"/>
      </w:pPr>
      <w:r>
        <w:rPr>
          <w:rStyle w:val="FootnoteReference"/>
        </w:rPr>
        <w:footnoteRef/>
      </w:r>
      <w:r>
        <w:t xml:space="preserve"> J B Pritchard, p.84</w:t>
      </w:r>
    </w:p>
  </w:footnote>
  <w:footnote w:id="9">
    <w:p w:rsidR="00DD1838" w:rsidRDefault="00DD1838">
      <w:pPr>
        <w:pStyle w:val="FootnoteText"/>
      </w:pPr>
      <w:r>
        <w:rPr>
          <w:rStyle w:val="FootnoteReference"/>
        </w:rPr>
        <w:footnoteRef/>
      </w:r>
      <w:r>
        <w:t xml:space="preserve"> J B Pritchard (1969), pp.78-79</w:t>
      </w:r>
    </w:p>
  </w:footnote>
  <w:footnote w:id="10">
    <w:p w:rsidR="00AA12AE" w:rsidRDefault="00AA12AE">
      <w:pPr>
        <w:pStyle w:val="FootnoteText"/>
      </w:pPr>
      <w:r>
        <w:rPr>
          <w:rStyle w:val="FootnoteReference"/>
        </w:rPr>
        <w:footnoteRef/>
      </w:r>
      <w:r>
        <w:t xml:space="preserve">  B </w:t>
      </w:r>
      <w:r w:rsidRPr="00AA12AE">
        <w:t>Groneberg, “The Sumerian-Akkadian Innana/Ishtar: Hermaphrodite?” The Eastern World, 17: 25-46</w:t>
      </w:r>
    </w:p>
  </w:footnote>
  <w:footnote w:id="11">
    <w:p w:rsidR="00DD1838" w:rsidRDefault="00DD1838">
      <w:pPr>
        <w:pStyle w:val="FootnoteText"/>
      </w:pPr>
      <w:r>
        <w:rPr>
          <w:rStyle w:val="FootnoteReference"/>
        </w:rPr>
        <w:footnoteRef/>
      </w:r>
      <w:r w:rsidR="008B4D61" w:rsidRPr="004D0DB6">
        <w:t>Tzvi</w:t>
      </w:r>
      <w:r w:rsidR="008B4D61">
        <w:t xml:space="preserve"> </w:t>
      </w:r>
      <w:r w:rsidR="008B4D61" w:rsidRPr="004D0DB6">
        <w:t>Abusch</w:t>
      </w:r>
      <w:r w:rsidR="008B4D61">
        <w:t xml:space="preserve">, </w:t>
      </w:r>
      <w:r w:rsidR="008B4D61" w:rsidRPr="004D0DB6">
        <w:rPr>
          <w:i/>
        </w:rPr>
        <w:t>Male and Female in the Epic of the Epic of Gilgamesh, Encounters, Literary Histor</w:t>
      </w:r>
      <w:r w:rsidR="008B4D61">
        <w:rPr>
          <w:i/>
        </w:rPr>
        <w:t>y and Interpretation</w:t>
      </w:r>
      <w:r w:rsidR="008B4D61" w:rsidRPr="004D0DB6">
        <w:rPr>
          <w:i/>
        </w:rPr>
        <w:t>,</w:t>
      </w:r>
      <w:r w:rsidR="008B4D61">
        <w:t>(</w:t>
      </w:r>
      <w:r w:rsidR="008B4D61" w:rsidRPr="00AB1478">
        <w:t>Winona Lake, Indiana, Eisenbrauns, 2015</w:t>
      </w:r>
      <w:r w:rsidR="008B4D61">
        <w:t>, p.15)</w:t>
      </w:r>
    </w:p>
  </w:footnote>
  <w:footnote w:id="12">
    <w:p w:rsidR="00BF3F56" w:rsidRDefault="00BF3F56">
      <w:pPr>
        <w:pStyle w:val="FootnoteText"/>
      </w:pPr>
      <w:r>
        <w:rPr>
          <w:rStyle w:val="FootnoteReference"/>
        </w:rPr>
        <w:footnoteRef/>
      </w:r>
      <w:r>
        <w:t>A</w:t>
      </w:r>
      <w:r w:rsidR="00F66748">
        <w:t>busch, p.15</w:t>
      </w:r>
    </w:p>
  </w:footnote>
  <w:footnote w:id="13">
    <w:p w:rsidR="00440CB7" w:rsidRDefault="00440CB7">
      <w:pPr>
        <w:pStyle w:val="FootnoteText"/>
      </w:pPr>
      <w:r>
        <w:rPr>
          <w:rStyle w:val="FootnoteReference"/>
        </w:rPr>
        <w:footnoteRef/>
      </w:r>
      <w:r>
        <w:t xml:space="preserve"> Pritchard, p. 83</w:t>
      </w:r>
    </w:p>
  </w:footnote>
  <w:footnote w:id="14">
    <w:p w:rsidR="00B32036" w:rsidRDefault="00B32036">
      <w:pPr>
        <w:pStyle w:val="FootnoteText"/>
      </w:pPr>
      <w:r>
        <w:rPr>
          <w:rStyle w:val="FootnoteReference"/>
        </w:rPr>
        <w:footnoteRef/>
      </w:r>
      <w:r>
        <w:t>Abusch, p</w:t>
      </w:r>
      <w:r w:rsidR="000D0B49">
        <w:t>.20</w:t>
      </w:r>
    </w:p>
  </w:footnote>
  <w:footnote w:id="15">
    <w:p w:rsidR="000D0B49" w:rsidRDefault="000D0B49">
      <w:pPr>
        <w:pStyle w:val="FootnoteText"/>
      </w:pPr>
      <w:r>
        <w:rPr>
          <w:rStyle w:val="FootnoteReference"/>
        </w:rPr>
        <w:footnoteRef/>
      </w:r>
      <w:r>
        <w:t>Abusch, p,20</w:t>
      </w:r>
    </w:p>
  </w:footnote>
  <w:footnote w:id="16">
    <w:p w:rsidR="00D02222" w:rsidRDefault="00D02222">
      <w:pPr>
        <w:pStyle w:val="FootnoteText"/>
      </w:pPr>
      <w:r>
        <w:rPr>
          <w:rStyle w:val="FootnoteReference"/>
        </w:rPr>
        <w:footnoteRef/>
      </w:r>
      <w:r>
        <w:t>Abusch, p.26</w:t>
      </w:r>
    </w:p>
  </w:footnote>
  <w:footnote w:id="17">
    <w:p w:rsidR="00ED50A2" w:rsidRDefault="00ED50A2">
      <w:pPr>
        <w:pStyle w:val="FootnoteText"/>
      </w:pPr>
      <w:r>
        <w:rPr>
          <w:rStyle w:val="FootnoteReference"/>
        </w:rPr>
        <w:footnoteRef/>
      </w:r>
      <w:r>
        <w:t>Abusch, p.28</w:t>
      </w:r>
    </w:p>
  </w:footnote>
  <w:footnote w:id="18">
    <w:p w:rsidR="00006D0E" w:rsidRDefault="00006D0E" w:rsidP="008B4D61">
      <w:r>
        <w:rPr>
          <w:rStyle w:val="FootnoteReference"/>
        </w:rPr>
        <w:footnoteRef/>
      </w:r>
      <w:r>
        <w:t xml:space="preserve"> </w:t>
      </w:r>
      <w:r w:rsidR="00744EDD" w:rsidRPr="00744EDD">
        <w:rPr>
          <w:sz w:val="20"/>
          <w:szCs w:val="20"/>
        </w:rPr>
        <w:t>R</w:t>
      </w:r>
      <w:r w:rsidR="00744EDD">
        <w:t xml:space="preserve">. </w:t>
      </w:r>
      <w:r w:rsidR="008B4D61" w:rsidRPr="008B4D61">
        <w:rPr>
          <w:sz w:val="20"/>
          <w:szCs w:val="20"/>
        </w:rPr>
        <w:t xml:space="preserve">Harris, ‘Inanna-Ishtar As Paradox and a Coincidence of Opposites’, </w:t>
      </w:r>
      <w:r w:rsidR="008B4D61" w:rsidRPr="008B4D61">
        <w:rPr>
          <w:i/>
          <w:sz w:val="20"/>
          <w:szCs w:val="20"/>
        </w:rPr>
        <w:t>History of Religions</w:t>
      </w:r>
      <w:r w:rsidR="008B4D61" w:rsidRPr="008B4D61">
        <w:rPr>
          <w:sz w:val="20"/>
          <w:szCs w:val="20"/>
        </w:rPr>
        <w:t xml:space="preserve">, 30(3), 1991, </w:t>
      </w:r>
      <w:r w:rsidR="00744EDD">
        <w:rPr>
          <w:sz w:val="20"/>
          <w:szCs w:val="20"/>
        </w:rPr>
        <w:t>p.270</w:t>
      </w:r>
    </w:p>
  </w:footnote>
  <w:footnote w:id="19">
    <w:p w:rsidR="00006D0E" w:rsidRDefault="00006D0E" w:rsidP="00006D0E">
      <w:pPr>
        <w:pStyle w:val="FootnoteText"/>
      </w:pPr>
      <w:r>
        <w:rPr>
          <w:rStyle w:val="FootnoteReference"/>
        </w:rPr>
        <w:footnoteRef/>
      </w:r>
      <w:r>
        <w:t>Pritchard, J.B. 1969. Ancient Near Eastern Texts Relating to the Old Testament, Princeton: Princeton New Jersey, pp 163-180</w:t>
      </w:r>
    </w:p>
  </w:footnote>
  <w:footnote w:id="20">
    <w:p w:rsidR="00006D0E" w:rsidRDefault="00006D0E" w:rsidP="00006D0E">
      <w:pPr>
        <w:pStyle w:val="FootnoteText"/>
      </w:pPr>
      <w:r>
        <w:rPr>
          <w:rStyle w:val="FootnoteReference"/>
        </w:rPr>
        <w:footnoteRef/>
      </w:r>
      <w:r>
        <w:t xml:space="preserve"> </w:t>
      </w:r>
      <w:r w:rsidR="00744EDD">
        <w:t xml:space="preserve">J. </w:t>
      </w:r>
      <w:r>
        <w:t>Bottero</w:t>
      </w:r>
      <w:r w:rsidR="00744EDD">
        <w:t xml:space="preserve">, ‘Woman, love and war in ancient Mesapotamia’, </w:t>
      </w:r>
      <w:r w:rsidR="00744EDD" w:rsidRPr="00744EDD">
        <w:rPr>
          <w:i/>
        </w:rPr>
        <w:t>Poikilia, Etudes offertes a Jean-Pierre Vernant</w:t>
      </w:r>
      <w:r w:rsidR="00744EDD">
        <w:t xml:space="preserve"> (Paris: EHESS, 1987) , pp.165-183</w:t>
      </w:r>
    </w:p>
  </w:footnote>
  <w:footnote w:id="21">
    <w:p w:rsidR="00D02222" w:rsidRPr="004D0DB6" w:rsidRDefault="00D02222" w:rsidP="00D02222">
      <w:pPr>
        <w:pStyle w:val="FootnoteText"/>
        <w:rPr>
          <w:i/>
        </w:rPr>
      </w:pPr>
      <w:r>
        <w:rPr>
          <w:rStyle w:val="FootnoteReference"/>
        </w:rPr>
        <w:footnoteRef/>
      </w:r>
      <w:r w:rsidRPr="004D0DB6">
        <w:t>Tzvi</w:t>
      </w:r>
      <w:r w:rsidR="00744EDD">
        <w:t xml:space="preserve"> </w:t>
      </w:r>
      <w:r w:rsidRPr="004D0DB6">
        <w:t>Abusch</w:t>
      </w:r>
      <w:r>
        <w:t xml:space="preserve">, </w:t>
      </w:r>
      <w:r w:rsidRPr="004D0DB6">
        <w:rPr>
          <w:i/>
        </w:rPr>
        <w:t>Male and Female in the Epic of the Epic of Gilgamesh, Encounters, Literary Histor</w:t>
      </w:r>
      <w:r>
        <w:rPr>
          <w:i/>
        </w:rPr>
        <w:t>y and Interpretation</w:t>
      </w:r>
      <w:r w:rsidRPr="004D0DB6">
        <w:rPr>
          <w:i/>
        </w:rPr>
        <w:t>,</w:t>
      </w:r>
      <w:r>
        <w:t>(</w:t>
      </w:r>
      <w:r w:rsidRPr="00AB1478">
        <w:t>Winona Lake, Indiana, Eisenbrauns, 2015</w:t>
      </w:r>
      <w:r>
        <w:t>, p.15)</w:t>
      </w:r>
    </w:p>
  </w:footnote>
  <w:footnote w:id="22">
    <w:p w:rsidR="00CC6821" w:rsidRDefault="00CC6821" w:rsidP="00CC6821">
      <w:pPr>
        <w:pStyle w:val="FootnoteText"/>
      </w:pPr>
      <w:r>
        <w:rPr>
          <w:rStyle w:val="FootnoteReference"/>
        </w:rPr>
        <w:footnoteRef/>
      </w:r>
      <w:r>
        <w:t xml:space="preserve"> Pritchard J.B., (1969),</w:t>
      </w:r>
      <w:r w:rsidR="00744EDD">
        <w:t xml:space="preserve"> pp.163-180</w:t>
      </w:r>
    </w:p>
  </w:footnote>
  <w:footnote w:id="23">
    <w:p w:rsidR="004E6AAE" w:rsidRDefault="004E6AAE" w:rsidP="004E6AAE">
      <w:pPr>
        <w:pStyle w:val="FootnoteText"/>
        <w:rPr>
          <w:i/>
          <w:iCs/>
        </w:rPr>
      </w:pPr>
      <w:r>
        <w:rPr>
          <w:rStyle w:val="FootnoteReference"/>
        </w:rPr>
        <w:footnoteRef/>
      </w:r>
      <w:r>
        <w:t xml:space="preserve">Groneberg, B. </w:t>
      </w:r>
      <w:r w:rsidR="00744EDD">
        <w:t>‘</w:t>
      </w:r>
      <w:r>
        <w:t>The</w:t>
      </w:r>
      <w:r w:rsidR="00744EDD">
        <w:t xml:space="preserve"> </w:t>
      </w:r>
      <w:r>
        <w:t>Sumerian-Akkadian Innana/Ishtar: Hermaphrodite?</w:t>
      </w:r>
      <w:r w:rsidR="00744EDD">
        <w:t>’</w:t>
      </w:r>
      <w:r>
        <w:t xml:space="preserve"> </w:t>
      </w:r>
      <w:r>
        <w:rPr>
          <w:i/>
          <w:iCs/>
        </w:rPr>
        <w:t xml:space="preserve">The Eastern World, 17: </w:t>
      </w:r>
      <w:r>
        <w:t>25-46</w:t>
      </w:r>
    </w:p>
  </w:footnote>
  <w:footnote w:id="24">
    <w:p w:rsidR="004E6AAE" w:rsidRDefault="004E6AAE" w:rsidP="004E6AAE">
      <w:pPr>
        <w:pStyle w:val="FootnoteText"/>
      </w:pPr>
      <w:r>
        <w:rPr>
          <w:rStyle w:val="FootnoteReference"/>
        </w:rPr>
        <w:footnoteRef/>
      </w:r>
      <w:r>
        <w:t xml:space="preserve"> Fontaine, C. </w:t>
      </w:r>
      <w:r w:rsidR="00744EDD">
        <w:t>‘</w:t>
      </w:r>
      <w:r>
        <w:t xml:space="preserve">The Deceptive Goddess in Ancient Near </w:t>
      </w:r>
      <w:r w:rsidR="00744EDD">
        <w:t>E</w:t>
      </w:r>
      <w:r>
        <w:t>astern Myth: Innana and Inaras</w:t>
      </w:r>
      <w:r w:rsidR="00744EDD">
        <w:t>’</w:t>
      </w:r>
      <w:r>
        <w:t xml:space="preserve">, in </w:t>
      </w:r>
      <w:r>
        <w:rPr>
          <w:i/>
          <w:iCs/>
        </w:rPr>
        <w:t xml:space="preserve">Reasoning with the Foxes: Female Wit in a World of Male Power, </w:t>
      </w:r>
      <w:r>
        <w:t>ed. J.C. Exum and J.W.H. Bos, Semeia, no.42 (Atlanta: Scholars Press, 1988), p.91</w:t>
      </w:r>
    </w:p>
  </w:footnote>
  <w:footnote w:id="25">
    <w:p w:rsidR="004E6AAE" w:rsidRDefault="004E6AAE" w:rsidP="004E6AAE">
      <w:pPr>
        <w:pStyle w:val="FootnoteText"/>
      </w:pPr>
      <w:r>
        <w:rPr>
          <w:rStyle w:val="FootnoteReference"/>
        </w:rPr>
        <w:footnoteRef/>
      </w:r>
      <w:r>
        <w:t xml:space="preserve"> O Sherry Ortner, “Is Female to Male as Nature Is to Culture?” </w:t>
      </w:r>
      <w:r>
        <w:rPr>
          <w:i/>
          <w:iCs/>
        </w:rPr>
        <w:t xml:space="preserve">Women, Culture and Society, </w:t>
      </w:r>
      <w:r>
        <w:t>ed. M.Z. Rozaldo and L. Lamphere (Stanford, California: Stanford University Press, 1974), pp.261-278</w:t>
      </w:r>
    </w:p>
  </w:footnote>
  <w:footnote w:id="26">
    <w:p w:rsidR="005A367F" w:rsidRDefault="005A367F" w:rsidP="005A367F">
      <w:pPr>
        <w:pStyle w:val="FootnoteText"/>
      </w:pPr>
      <w:r>
        <w:rPr>
          <w:rStyle w:val="FootnoteReference"/>
        </w:rPr>
        <w:footnoteRef/>
      </w:r>
      <w:r>
        <w:t xml:space="preserve"> Gwendolyn Leick, A Dictionary of Ancient Near Eastern Mythology, Routledge: London, New York, 1998. Pp 73-74</w:t>
      </w:r>
    </w:p>
  </w:footnote>
  <w:footnote w:id="27">
    <w:p w:rsidR="005A367F" w:rsidRDefault="005A367F" w:rsidP="005A367F">
      <w:pPr>
        <w:pStyle w:val="FootnoteText"/>
      </w:pPr>
      <w:r>
        <w:rPr>
          <w:rStyle w:val="FootnoteReference"/>
        </w:rPr>
        <w:footnoteRef/>
      </w:r>
      <w:r>
        <w:t xml:space="preserve"> Leick, </w:t>
      </w:r>
      <w:r w:rsidR="006C0299">
        <w:t>pp.</w:t>
      </w:r>
      <w:r>
        <w:t xml:space="preserve"> 73-74</w:t>
      </w:r>
    </w:p>
  </w:footnote>
  <w:footnote w:id="28">
    <w:p w:rsidR="00E1759A" w:rsidRPr="00744EDD" w:rsidRDefault="00E1759A">
      <w:pPr>
        <w:pStyle w:val="FootnoteText"/>
      </w:pPr>
      <w:r>
        <w:rPr>
          <w:rStyle w:val="FootnoteReference"/>
        </w:rPr>
        <w:footnoteRef/>
      </w:r>
      <w:r>
        <w:t>Thor</w:t>
      </w:r>
      <w:r w:rsidR="00744EDD">
        <w:t>kil</w:t>
      </w:r>
      <w:r>
        <w:t>d Jacob</w:t>
      </w:r>
      <w:r w:rsidR="00744EDD">
        <w:t xml:space="preserve">sen, </w:t>
      </w:r>
      <w:r w:rsidR="00744EDD">
        <w:rPr>
          <w:i/>
        </w:rPr>
        <w:t xml:space="preserve">The Treasures of Darkness: A History of Mesopotamian Religion </w:t>
      </w:r>
      <w:r w:rsidR="00744EDD">
        <w:t>(Cambridge, Mass: Harvard University Press, 1976), pp.135-143</w:t>
      </w:r>
    </w:p>
  </w:footnote>
  <w:footnote w:id="29">
    <w:p w:rsidR="00735638" w:rsidRDefault="00735638">
      <w:pPr>
        <w:pStyle w:val="FootnoteText"/>
      </w:pPr>
      <w:r>
        <w:rPr>
          <w:rStyle w:val="FootnoteReference"/>
        </w:rPr>
        <w:footnoteRef/>
      </w:r>
      <w:r>
        <w:t>Abusch, p.33</w:t>
      </w:r>
    </w:p>
  </w:footnote>
  <w:footnote w:id="30">
    <w:p w:rsidR="0051659E" w:rsidRDefault="0051659E">
      <w:pPr>
        <w:pStyle w:val="FootnoteText"/>
      </w:pPr>
      <w:r>
        <w:rPr>
          <w:rStyle w:val="FootnoteReference"/>
        </w:rPr>
        <w:footnoteRef/>
      </w:r>
      <w:r>
        <w:t xml:space="preserve"> Pritchard J.B.</w:t>
      </w:r>
      <w:r w:rsidR="006C0299">
        <w:t xml:space="preserve"> pp.163-180</w:t>
      </w:r>
      <w:r>
        <w:t xml:space="preserve"> </w:t>
      </w:r>
    </w:p>
  </w:footnote>
  <w:footnote w:id="31">
    <w:p w:rsidR="00614AB8" w:rsidRDefault="00E15C2E">
      <w:pPr>
        <w:pStyle w:val="FootnoteText"/>
      </w:pPr>
      <w:r>
        <w:rPr>
          <w:rStyle w:val="FootnoteReference"/>
        </w:rPr>
        <w:footnoteRef/>
      </w:r>
      <w:r w:rsidR="00614AB8">
        <w:t xml:space="preserve">Pritchard J.B. </w:t>
      </w:r>
      <w:r w:rsidR="006C0299">
        <w:t xml:space="preserve"> pp. 163-180</w:t>
      </w:r>
    </w:p>
  </w:footnote>
  <w:footnote w:id="32">
    <w:p w:rsidR="00866DDD" w:rsidRDefault="00866DDD">
      <w:pPr>
        <w:pStyle w:val="FootnoteText"/>
      </w:pPr>
      <w:r>
        <w:rPr>
          <w:rStyle w:val="FootnoteReference"/>
        </w:rPr>
        <w:footnoteRef/>
      </w:r>
      <w:r w:rsidR="00614AB8">
        <w:t xml:space="preserve">Pritchard J.B. </w:t>
      </w:r>
      <w:r w:rsidR="006C0299">
        <w:t xml:space="preserve"> pp.163-180</w:t>
      </w:r>
    </w:p>
  </w:footnote>
  <w:footnote w:id="33">
    <w:p w:rsidR="00450C6C" w:rsidRDefault="00450C6C">
      <w:pPr>
        <w:pStyle w:val="FootnoteText"/>
      </w:pPr>
      <w:r>
        <w:rPr>
          <w:rStyle w:val="FootnoteReference"/>
        </w:rPr>
        <w:footnoteRef/>
      </w:r>
      <w:r w:rsidR="00614AB8">
        <w:t xml:space="preserve">Pritchard J.B. </w:t>
      </w:r>
      <w:r w:rsidR="006C0299">
        <w:t xml:space="preserve"> pp. 163-180</w:t>
      </w:r>
    </w:p>
  </w:footnote>
  <w:footnote w:id="34">
    <w:p w:rsidR="00B30356" w:rsidRDefault="00B30356">
      <w:pPr>
        <w:pStyle w:val="FootnoteText"/>
      </w:pPr>
      <w:r>
        <w:rPr>
          <w:rStyle w:val="FootnoteReference"/>
        </w:rPr>
        <w:footnoteRef/>
      </w:r>
      <w:r>
        <w:t xml:space="preserve">Abusch, p. </w:t>
      </w:r>
      <w:r w:rsidR="008366B9">
        <w:t>50</w:t>
      </w:r>
    </w:p>
  </w:footnote>
  <w:footnote w:id="35">
    <w:p w:rsidR="00276FBB" w:rsidRPr="00276FBB" w:rsidRDefault="00276FBB">
      <w:pPr>
        <w:pStyle w:val="FootnoteText"/>
        <w:rPr>
          <w:rFonts w:cstheme="minorHAnsi"/>
        </w:rPr>
      </w:pPr>
      <w:r>
        <w:rPr>
          <w:rStyle w:val="FootnoteReference"/>
        </w:rPr>
        <w:footnoteRef/>
      </w:r>
      <w:r>
        <w:t xml:space="preserve"> David Novak, ‘Going long: On telling Gilgamesh’, </w:t>
      </w:r>
      <w:r w:rsidRPr="006C0299">
        <w:rPr>
          <w:rFonts w:cstheme="minorHAnsi"/>
          <w:i/>
          <w:color w:val="000000"/>
          <w:shd w:val="clear" w:color="auto" w:fill="FFFFFF"/>
        </w:rPr>
        <w:t>Storytelling, self, society, .14 (1),</w:t>
      </w:r>
      <w:r w:rsidRPr="00276FBB">
        <w:rPr>
          <w:rFonts w:cstheme="minorHAnsi"/>
          <w:color w:val="000000"/>
          <w:shd w:val="clear" w:color="auto" w:fill="FFFFFF"/>
        </w:rPr>
        <w:t xml:space="preserve"> </w:t>
      </w:r>
      <w:r w:rsidR="001750BB">
        <w:rPr>
          <w:rFonts w:cstheme="minorHAnsi"/>
          <w:color w:val="000000"/>
          <w:shd w:val="clear" w:color="auto" w:fill="FFFFFF"/>
        </w:rPr>
        <w:t>2018, p</w:t>
      </w:r>
      <w:r w:rsidRPr="00276FBB">
        <w:rPr>
          <w:rFonts w:cstheme="minorHAnsi"/>
          <w:color w:val="000000"/>
          <w:shd w:val="clear" w:color="auto" w:fill="FFFFFF"/>
        </w:rPr>
        <w:t>p.95-100</w:t>
      </w:r>
      <w:r w:rsidR="001750BB">
        <w:rPr>
          <w:rFonts w:cstheme="minorHAnsi"/>
          <w:color w:val="000000"/>
          <w:shd w:val="clear" w:color="auto" w:fill="FFFFFF"/>
        </w:rPr>
        <w:t>, pp. 97-98</w:t>
      </w:r>
    </w:p>
  </w:footnote>
  <w:footnote w:id="36">
    <w:p w:rsidR="00273C18" w:rsidRDefault="00273C18" w:rsidP="00273C18">
      <w:pPr>
        <w:pStyle w:val="FootnoteText"/>
      </w:pPr>
      <w:r>
        <w:rPr>
          <w:rStyle w:val="FootnoteReference"/>
        </w:rPr>
        <w:footnoteRef/>
      </w:r>
      <w:r>
        <w:t>Jeremy Black and Anthony Green, Gods, Demons and Symbols of Ancient Mesopotamia: An Illustrated Dictionary, The British Museum Press, 1992</w:t>
      </w:r>
    </w:p>
  </w:footnote>
  <w:footnote w:id="37">
    <w:p w:rsidR="00500B5A" w:rsidRDefault="00500B5A" w:rsidP="00500B5A">
      <w:pPr>
        <w:pStyle w:val="FootnoteText"/>
      </w:pPr>
      <w:r>
        <w:rPr>
          <w:rStyle w:val="FootnoteReference"/>
        </w:rPr>
        <w:footnoteRef/>
      </w:r>
      <w:r>
        <w:t xml:space="preserve"> </w:t>
      </w:r>
      <w:r w:rsidR="006C0299">
        <w:t xml:space="preserve">R. </w:t>
      </w:r>
      <w:r>
        <w:t>Harris</w:t>
      </w:r>
      <w:r w:rsidR="006C0299">
        <w:t>,</w:t>
      </w:r>
      <w:r>
        <w:t xml:space="preserve">  Inanna-Ishtar as Paradox and a Coincidence of Opposites, History of Religions, Feb 1991, Vol. 30, No3 (Feb 1991), p.263</w:t>
      </w:r>
    </w:p>
  </w:footnote>
  <w:footnote w:id="38">
    <w:p w:rsidR="00500B5A" w:rsidRDefault="00500B5A" w:rsidP="00500B5A">
      <w:pPr>
        <w:pStyle w:val="FootnoteText"/>
      </w:pPr>
      <w:r>
        <w:rPr>
          <w:rStyle w:val="FootnoteReference"/>
        </w:rPr>
        <w:footnoteRef/>
      </w:r>
      <w:r>
        <w:t xml:space="preserve"> Harris, p. 265</w:t>
      </w:r>
    </w:p>
  </w:footnote>
  <w:footnote w:id="39">
    <w:p w:rsidR="00500B5A" w:rsidRDefault="00500B5A" w:rsidP="00500B5A">
      <w:pPr>
        <w:pStyle w:val="FootnoteText"/>
      </w:pPr>
      <w:r>
        <w:rPr>
          <w:rStyle w:val="FootnoteReference"/>
        </w:rPr>
        <w:footnoteRef/>
      </w:r>
      <w:r>
        <w:t xml:space="preserve"> Harris, p.266</w:t>
      </w:r>
    </w:p>
  </w:footnote>
  <w:footnote w:id="40">
    <w:p w:rsidR="008F490B" w:rsidRDefault="008F490B" w:rsidP="008F490B">
      <w:pPr>
        <w:pStyle w:val="FootnoteText"/>
      </w:pPr>
      <w:r>
        <w:rPr>
          <w:rStyle w:val="FootnoteReference"/>
        </w:rPr>
        <w:footnoteRef/>
      </w:r>
      <w:r>
        <w:t xml:space="preserve"> </w:t>
      </w:r>
      <w:r w:rsidR="006C0299">
        <w:t xml:space="preserve">C. </w:t>
      </w:r>
      <w:r>
        <w:t xml:space="preserve">Geertz,  </w:t>
      </w:r>
      <w:r w:rsidR="006C0299">
        <w:t>‘</w:t>
      </w:r>
      <w:r>
        <w:t>Religion as a Cultural System</w:t>
      </w:r>
      <w:r w:rsidR="006C0299">
        <w:t>’</w:t>
      </w:r>
      <w:r>
        <w:t xml:space="preserve"> in </w:t>
      </w:r>
      <w:r>
        <w:rPr>
          <w:i/>
          <w:iCs/>
        </w:rPr>
        <w:t xml:space="preserve">Reader in Comparative Religion: An Anthropological Approach, </w:t>
      </w:r>
      <w:r>
        <w:t>ed. W.A. Lessa and E.Z. Vogt, 3d ed. (New York: Harper and Row, 1972), p.173.</w:t>
      </w:r>
    </w:p>
  </w:footnote>
  <w:footnote w:id="41">
    <w:p w:rsidR="00E1759A" w:rsidRDefault="00E1759A">
      <w:pPr>
        <w:pStyle w:val="FootnoteText"/>
      </w:pPr>
      <w:r>
        <w:rPr>
          <w:rStyle w:val="FootnoteReference"/>
        </w:rPr>
        <w:footnoteRef/>
      </w:r>
      <w:r>
        <w:t xml:space="preserve"> Samuel N Kramer From the Poetry of Sumer (Berkely and Los Angeles: University of Californioa press, 1979), p.77</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105AF"/>
    <w:rsid w:val="00006D0E"/>
    <w:rsid w:val="000A0B21"/>
    <w:rsid w:val="000A1026"/>
    <w:rsid w:val="000D0B49"/>
    <w:rsid w:val="000E34EE"/>
    <w:rsid w:val="00145724"/>
    <w:rsid w:val="0016556B"/>
    <w:rsid w:val="001750BB"/>
    <w:rsid w:val="002052F3"/>
    <w:rsid w:val="002232CB"/>
    <w:rsid w:val="0023520B"/>
    <w:rsid w:val="00261947"/>
    <w:rsid w:val="00273C18"/>
    <w:rsid w:val="00276FBB"/>
    <w:rsid w:val="00287DCE"/>
    <w:rsid w:val="00294969"/>
    <w:rsid w:val="00301595"/>
    <w:rsid w:val="0032628D"/>
    <w:rsid w:val="003334E3"/>
    <w:rsid w:val="00350A23"/>
    <w:rsid w:val="0035276B"/>
    <w:rsid w:val="003648F0"/>
    <w:rsid w:val="003A3CBE"/>
    <w:rsid w:val="003A53D9"/>
    <w:rsid w:val="003E5731"/>
    <w:rsid w:val="00440CB7"/>
    <w:rsid w:val="00450C6C"/>
    <w:rsid w:val="004B3A8E"/>
    <w:rsid w:val="004D0DB6"/>
    <w:rsid w:val="004E6AAE"/>
    <w:rsid w:val="004F0D72"/>
    <w:rsid w:val="00500B5A"/>
    <w:rsid w:val="005158F6"/>
    <w:rsid w:val="0051659E"/>
    <w:rsid w:val="005455FF"/>
    <w:rsid w:val="005A157B"/>
    <w:rsid w:val="005A262D"/>
    <w:rsid w:val="005A367F"/>
    <w:rsid w:val="005C3574"/>
    <w:rsid w:val="00614AB8"/>
    <w:rsid w:val="00632BE6"/>
    <w:rsid w:val="00665E7A"/>
    <w:rsid w:val="0068749B"/>
    <w:rsid w:val="00695153"/>
    <w:rsid w:val="006C01B0"/>
    <w:rsid w:val="006C0299"/>
    <w:rsid w:val="00715A45"/>
    <w:rsid w:val="00724E14"/>
    <w:rsid w:val="0073004F"/>
    <w:rsid w:val="00735638"/>
    <w:rsid w:val="0073647A"/>
    <w:rsid w:val="00744EDD"/>
    <w:rsid w:val="007519C9"/>
    <w:rsid w:val="00752E10"/>
    <w:rsid w:val="0077425F"/>
    <w:rsid w:val="007F0A1F"/>
    <w:rsid w:val="007F66A5"/>
    <w:rsid w:val="00816634"/>
    <w:rsid w:val="00822019"/>
    <w:rsid w:val="008366B9"/>
    <w:rsid w:val="00866DDD"/>
    <w:rsid w:val="00895A87"/>
    <w:rsid w:val="008B4D61"/>
    <w:rsid w:val="008F490B"/>
    <w:rsid w:val="00904D51"/>
    <w:rsid w:val="009C3075"/>
    <w:rsid w:val="00A105AF"/>
    <w:rsid w:val="00A25E98"/>
    <w:rsid w:val="00A52FA1"/>
    <w:rsid w:val="00A944B0"/>
    <w:rsid w:val="00AA12AE"/>
    <w:rsid w:val="00AB1478"/>
    <w:rsid w:val="00AC6DAA"/>
    <w:rsid w:val="00AE2958"/>
    <w:rsid w:val="00AE5986"/>
    <w:rsid w:val="00AE77D2"/>
    <w:rsid w:val="00B253E1"/>
    <w:rsid w:val="00B30356"/>
    <w:rsid w:val="00B32036"/>
    <w:rsid w:val="00B71B7F"/>
    <w:rsid w:val="00BF3F56"/>
    <w:rsid w:val="00C4135B"/>
    <w:rsid w:val="00CC6821"/>
    <w:rsid w:val="00CF5E88"/>
    <w:rsid w:val="00D02222"/>
    <w:rsid w:val="00D305E3"/>
    <w:rsid w:val="00D427B1"/>
    <w:rsid w:val="00D5140F"/>
    <w:rsid w:val="00D62742"/>
    <w:rsid w:val="00DD01A2"/>
    <w:rsid w:val="00DD1838"/>
    <w:rsid w:val="00E05912"/>
    <w:rsid w:val="00E15C2E"/>
    <w:rsid w:val="00E1759A"/>
    <w:rsid w:val="00E22D51"/>
    <w:rsid w:val="00E63449"/>
    <w:rsid w:val="00ED3F32"/>
    <w:rsid w:val="00ED50A2"/>
    <w:rsid w:val="00F66748"/>
    <w:rsid w:val="00FC32D6"/>
    <w:rsid w:val="00FC4E29"/>
    <w:rsid w:val="00FE396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159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D01A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01A2"/>
    <w:rPr>
      <w:sz w:val="20"/>
      <w:szCs w:val="20"/>
    </w:rPr>
  </w:style>
  <w:style w:type="character" w:styleId="FootnoteReference">
    <w:name w:val="footnote reference"/>
    <w:basedOn w:val="DefaultParagraphFont"/>
    <w:uiPriority w:val="99"/>
    <w:semiHidden/>
    <w:unhideWhenUsed/>
    <w:rsid w:val="00DD01A2"/>
    <w:rPr>
      <w:vertAlign w:val="superscript"/>
    </w:rPr>
  </w:style>
  <w:style w:type="character" w:styleId="CommentReference">
    <w:name w:val="annotation reference"/>
    <w:basedOn w:val="DefaultParagraphFont"/>
    <w:uiPriority w:val="99"/>
    <w:semiHidden/>
    <w:unhideWhenUsed/>
    <w:rsid w:val="00D62742"/>
    <w:rPr>
      <w:sz w:val="16"/>
      <w:szCs w:val="16"/>
    </w:rPr>
  </w:style>
  <w:style w:type="paragraph" w:styleId="CommentText">
    <w:name w:val="annotation text"/>
    <w:basedOn w:val="Normal"/>
    <w:link w:val="CommentTextChar"/>
    <w:uiPriority w:val="99"/>
    <w:semiHidden/>
    <w:unhideWhenUsed/>
    <w:rsid w:val="00D62742"/>
    <w:pPr>
      <w:spacing w:line="240" w:lineRule="auto"/>
    </w:pPr>
    <w:rPr>
      <w:sz w:val="20"/>
      <w:szCs w:val="20"/>
    </w:rPr>
  </w:style>
  <w:style w:type="character" w:customStyle="1" w:styleId="CommentTextChar">
    <w:name w:val="Comment Text Char"/>
    <w:basedOn w:val="DefaultParagraphFont"/>
    <w:link w:val="CommentText"/>
    <w:uiPriority w:val="99"/>
    <w:semiHidden/>
    <w:rsid w:val="00D62742"/>
    <w:rPr>
      <w:sz w:val="20"/>
      <w:szCs w:val="20"/>
    </w:rPr>
  </w:style>
  <w:style w:type="paragraph" w:styleId="CommentSubject">
    <w:name w:val="annotation subject"/>
    <w:basedOn w:val="CommentText"/>
    <w:next w:val="CommentText"/>
    <w:link w:val="CommentSubjectChar"/>
    <w:uiPriority w:val="99"/>
    <w:semiHidden/>
    <w:unhideWhenUsed/>
    <w:rsid w:val="00D62742"/>
    <w:rPr>
      <w:b/>
      <w:bCs/>
    </w:rPr>
  </w:style>
  <w:style w:type="character" w:customStyle="1" w:styleId="CommentSubjectChar">
    <w:name w:val="Comment Subject Char"/>
    <w:basedOn w:val="CommentTextChar"/>
    <w:link w:val="CommentSubject"/>
    <w:uiPriority w:val="99"/>
    <w:semiHidden/>
    <w:rsid w:val="00D62742"/>
    <w:rPr>
      <w:b/>
      <w:bCs/>
      <w:sz w:val="20"/>
      <w:szCs w:val="20"/>
    </w:rPr>
  </w:style>
  <w:style w:type="paragraph" w:styleId="BalloonText">
    <w:name w:val="Balloon Text"/>
    <w:basedOn w:val="Normal"/>
    <w:link w:val="BalloonTextChar"/>
    <w:uiPriority w:val="99"/>
    <w:semiHidden/>
    <w:unhideWhenUsed/>
    <w:rsid w:val="00D627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2742"/>
    <w:rPr>
      <w:rFonts w:ascii="Segoe UI" w:hAnsi="Segoe UI" w:cs="Segoe UI"/>
      <w:sz w:val="18"/>
      <w:szCs w:val="18"/>
    </w:rPr>
  </w:style>
</w:styles>
</file>

<file path=word/webSettings.xml><?xml version="1.0" encoding="utf-8"?>
<w:webSettings xmlns:r="http://schemas.openxmlformats.org/officeDocument/2006/relationships" xmlns:w="http://schemas.openxmlformats.org/wordprocessingml/2006/main">
  <w:divs>
    <w:div w:id="100342650">
      <w:bodyDiv w:val="1"/>
      <w:marLeft w:val="0"/>
      <w:marRight w:val="0"/>
      <w:marTop w:val="0"/>
      <w:marBottom w:val="0"/>
      <w:divBdr>
        <w:top w:val="none" w:sz="0" w:space="0" w:color="auto"/>
        <w:left w:val="none" w:sz="0" w:space="0" w:color="auto"/>
        <w:bottom w:val="none" w:sz="0" w:space="0" w:color="auto"/>
        <w:right w:val="none" w:sz="0" w:space="0" w:color="auto"/>
      </w:divBdr>
    </w:div>
    <w:div w:id="141702559">
      <w:bodyDiv w:val="1"/>
      <w:marLeft w:val="0"/>
      <w:marRight w:val="0"/>
      <w:marTop w:val="0"/>
      <w:marBottom w:val="0"/>
      <w:divBdr>
        <w:top w:val="none" w:sz="0" w:space="0" w:color="auto"/>
        <w:left w:val="none" w:sz="0" w:space="0" w:color="auto"/>
        <w:bottom w:val="none" w:sz="0" w:space="0" w:color="auto"/>
        <w:right w:val="none" w:sz="0" w:space="0" w:color="auto"/>
      </w:divBdr>
    </w:div>
    <w:div w:id="148526876">
      <w:bodyDiv w:val="1"/>
      <w:marLeft w:val="0"/>
      <w:marRight w:val="0"/>
      <w:marTop w:val="0"/>
      <w:marBottom w:val="0"/>
      <w:divBdr>
        <w:top w:val="none" w:sz="0" w:space="0" w:color="auto"/>
        <w:left w:val="none" w:sz="0" w:space="0" w:color="auto"/>
        <w:bottom w:val="none" w:sz="0" w:space="0" w:color="auto"/>
        <w:right w:val="none" w:sz="0" w:space="0" w:color="auto"/>
      </w:divBdr>
    </w:div>
    <w:div w:id="805852092">
      <w:bodyDiv w:val="1"/>
      <w:marLeft w:val="0"/>
      <w:marRight w:val="0"/>
      <w:marTop w:val="0"/>
      <w:marBottom w:val="0"/>
      <w:divBdr>
        <w:top w:val="none" w:sz="0" w:space="0" w:color="auto"/>
        <w:left w:val="none" w:sz="0" w:space="0" w:color="auto"/>
        <w:bottom w:val="none" w:sz="0" w:space="0" w:color="auto"/>
        <w:right w:val="none" w:sz="0" w:space="0" w:color="auto"/>
      </w:divBdr>
    </w:div>
    <w:div w:id="1002974122">
      <w:bodyDiv w:val="1"/>
      <w:marLeft w:val="0"/>
      <w:marRight w:val="0"/>
      <w:marTop w:val="0"/>
      <w:marBottom w:val="0"/>
      <w:divBdr>
        <w:top w:val="none" w:sz="0" w:space="0" w:color="auto"/>
        <w:left w:val="none" w:sz="0" w:space="0" w:color="auto"/>
        <w:bottom w:val="none" w:sz="0" w:space="0" w:color="auto"/>
        <w:right w:val="none" w:sz="0" w:space="0" w:color="auto"/>
      </w:divBdr>
    </w:div>
    <w:div w:id="1252548437">
      <w:bodyDiv w:val="1"/>
      <w:marLeft w:val="0"/>
      <w:marRight w:val="0"/>
      <w:marTop w:val="0"/>
      <w:marBottom w:val="0"/>
      <w:divBdr>
        <w:top w:val="none" w:sz="0" w:space="0" w:color="auto"/>
        <w:left w:val="none" w:sz="0" w:space="0" w:color="auto"/>
        <w:bottom w:val="none" w:sz="0" w:space="0" w:color="auto"/>
        <w:right w:val="none" w:sz="0" w:space="0" w:color="auto"/>
      </w:divBdr>
    </w:div>
    <w:div w:id="1894079963">
      <w:bodyDiv w:val="1"/>
      <w:marLeft w:val="0"/>
      <w:marRight w:val="0"/>
      <w:marTop w:val="0"/>
      <w:marBottom w:val="0"/>
      <w:divBdr>
        <w:top w:val="none" w:sz="0" w:space="0" w:color="auto"/>
        <w:left w:val="none" w:sz="0" w:space="0" w:color="auto"/>
        <w:bottom w:val="none" w:sz="0" w:space="0" w:color="auto"/>
        <w:right w:val="none" w:sz="0" w:space="0" w:color="auto"/>
      </w:divBdr>
    </w:div>
    <w:div w:id="2095280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4DD848-D241-4913-8FA4-437DA0F50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2397</Words>
  <Characters>13668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Aubrey Wallbridge</dc:creator>
  <cp:lastModifiedBy>Admin</cp:lastModifiedBy>
  <cp:revision>2</cp:revision>
  <dcterms:created xsi:type="dcterms:W3CDTF">2020-12-17T00:04:00Z</dcterms:created>
  <dcterms:modified xsi:type="dcterms:W3CDTF">2020-12-17T00:04:00Z</dcterms:modified>
</cp:coreProperties>
</file>