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652339" w14:textId="23957A5B" w:rsidR="008F1753" w:rsidRDefault="00626976">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LCBB-4001</w:t>
      </w:r>
    </w:p>
    <w:p w14:paraId="6B051C11" w14:textId="77777777" w:rsidR="008F1753" w:rsidRDefault="008F1753">
      <w:pPr>
        <w:spacing w:line="360" w:lineRule="auto"/>
        <w:jc w:val="center"/>
        <w:rPr>
          <w:rFonts w:ascii="Times New Roman" w:eastAsia="Times New Roman" w:hAnsi="Times New Roman" w:cs="Times New Roman"/>
          <w:b/>
          <w:sz w:val="32"/>
          <w:szCs w:val="32"/>
        </w:rPr>
      </w:pPr>
    </w:p>
    <w:p w14:paraId="3E12BAA0" w14:textId="77777777" w:rsidR="008F1753" w:rsidRDefault="008F1753">
      <w:pPr>
        <w:spacing w:line="360" w:lineRule="auto"/>
        <w:jc w:val="center"/>
        <w:rPr>
          <w:rFonts w:ascii="Times New Roman" w:eastAsia="Times New Roman" w:hAnsi="Times New Roman" w:cs="Times New Roman"/>
          <w:b/>
          <w:sz w:val="32"/>
          <w:szCs w:val="32"/>
        </w:rPr>
      </w:pPr>
    </w:p>
    <w:p w14:paraId="6F8E6F1A" w14:textId="77777777" w:rsidR="008F1753" w:rsidRDefault="008F1753">
      <w:pPr>
        <w:spacing w:line="360" w:lineRule="auto"/>
        <w:jc w:val="center"/>
        <w:rPr>
          <w:rFonts w:ascii="Times New Roman" w:eastAsia="Times New Roman" w:hAnsi="Times New Roman" w:cs="Times New Roman"/>
          <w:b/>
          <w:sz w:val="32"/>
          <w:szCs w:val="32"/>
        </w:rPr>
      </w:pPr>
    </w:p>
    <w:p w14:paraId="464936A0" w14:textId="77777777" w:rsidR="008F1753" w:rsidRDefault="008F1753">
      <w:pPr>
        <w:spacing w:line="360" w:lineRule="auto"/>
        <w:jc w:val="center"/>
        <w:rPr>
          <w:rFonts w:ascii="Times New Roman" w:eastAsia="Times New Roman" w:hAnsi="Times New Roman" w:cs="Times New Roman"/>
          <w:b/>
          <w:sz w:val="32"/>
          <w:szCs w:val="32"/>
        </w:rPr>
      </w:pPr>
    </w:p>
    <w:p w14:paraId="01C16D79" w14:textId="77777777" w:rsidR="008F1753" w:rsidRDefault="008F1753">
      <w:pPr>
        <w:spacing w:line="360" w:lineRule="auto"/>
        <w:jc w:val="center"/>
        <w:rPr>
          <w:rFonts w:ascii="Times New Roman" w:eastAsia="Times New Roman" w:hAnsi="Times New Roman" w:cs="Times New Roman"/>
          <w:b/>
          <w:sz w:val="32"/>
          <w:szCs w:val="32"/>
        </w:rPr>
      </w:pPr>
    </w:p>
    <w:p w14:paraId="74916A29" w14:textId="77777777" w:rsidR="008F1753" w:rsidRDefault="008F1753">
      <w:pPr>
        <w:spacing w:line="360" w:lineRule="auto"/>
        <w:jc w:val="center"/>
        <w:rPr>
          <w:rFonts w:ascii="Times New Roman" w:eastAsia="Times New Roman" w:hAnsi="Times New Roman" w:cs="Times New Roman"/>
          <w:b/>
          <w:sz w:val="32"/>
          <w:szCs w:val="32"/>
        </w:rPr>
      </w:pPr>
    </w:p>
    <w:p w14:paraId="09A29160" w14:textId="77777777" w:rsidR="008F1753" w:rsidRDefault="008F1753">
      <w:pPr>
        <w:spacing w:line="360" w:lineRule="auto"/>
        <w:jc w:val="center"/>
        <w:rPr>
          <w:rFonts w:ascii="Times New Roman" w:eastAsia="Times New Roman" w:hAnsi="Times New Roman" w:cs="Times New Roman"/>
          <w:b/>
          <w:sz w:val="32"/>
          <w:szCs w:val="32"/>
        </w:rPr>
      </w:pPr>
    </w:p>
    <w:p w14:paraId="3CAFB843" w14:textId="77777777" w:rsidR="008F1753" w:rsidRDefault="008F1753">
      <w:pPr>
        <w:spacing w:line="360" w:lineRule="auto"/>
        <w:jc w:val="center"/>
        <w:rPr>
          <w:rFonts w:ascii="Times New Roman" w:eastAsia="Times New Roman" w:hAnsi="Times New Roman" w:cs="Times New Roman"/>
          <w:b/>
          <w:sz w:val="32"/>
          <w:szCs w:val="32"/>
        </w:rPr>
      </w:pPr>
    </w:p>
    <w:p w14:paraId="3C3CB882" w14:textId="77777777" w:rsidR="008F1753" w:rsidRDefault="008F1753">
      <w:pPr>
        <w:spacing w:line="360" w:lineRule="auto"/>
        <w:jc w:val="center"/>
        <w:rPr>
          <w:rFonts w:ascii="Times New Roman" w:eastAsia="Times New Roman" w:hAnsi="Times New Roman" w:cs="Times New Roman"/>
          <w:b/>
          <w:sz w:val="32"/>
          <w:szCs w:val="32"/>
        </w:rPr>
      </w:pPr>
    </w:p>
    <w:p w14:paraId="007F28B9" w14:textId="3EB69197" w:rsidR="008F1753" w:rsidRDefault="00626976">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Accounting Fundamentals</w:t>
      </w:r>
      <w:bookmarkStart w:id="0" w:name="_GoBack"/>
      <w:bookmarkEnd w:id="0"/>
    </w:p>
    <w:p w14:paraId="2949FE5A" w14:textId="77777777" w:rsidR="008F1753" w:rsidRDefault="008F1753">
      <w:pPr>
        <w:spacing w:line="360" w:lineRule="auto"/>
        <w:jc w:val="center"/>
        <w:rPr>
          <w:rFonts w:ascii="Times New Roman" w:eastAsia="Times New Roman" w:hAnsi="Times New Roman" w:cs="Times New Roman"/>
          <w:b/>
          <w:sz w:val="32"/>
          <w:szCs w:val="32"/>
        </w:rPr>
      </w:pPr>
    </w:p>
    <w:p w14:paraId="16AF7E91" w14:textId="6AAF5448" w:rsidR="00960D53" w:rsidRDefault="00347BC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COMPONENT 1 ESSAY</w:t>
      </w:r>
    </w:p>
    <w:p w14:paraId="63413E2C" w14:textId="559757A5" w:rsidR="00626976" w:rsidRDefault="00626976">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Submitted by:- Marco </w:t>
      </w:r>
      <w:proofErr w:type="spellStart"/>
      <w:r>
        <w:rPr>
          <w:rFonts w:ascii="Times New Roman" w:eastAsia="Times New Roman" w:hAnsi="Times New Roman" w:cs="Times New Roman"/>
          <w:b/>
          <w:sz w:val="32"/>
          <w:szCs w:val="32"/>
        </w:rPr>
        <w:t>Guarracino</w:t>
      </w:r>
      <w:proofErr w:type="spellEnd"/>
    </w:p>
    <w:p w14:paraId="4389B0CD" w14:textId="77777777" w:rsidR="00960D53" w:rsidRDefault="00960D53">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color w:val="auto"/>
          <w:sz w:val="22"/>
          <w:szCs w:val="22"/>
          <w:lang w:val="en-GB" w:eastAsia="en-IN"/>
        </w:rPr>
        <w:id w:val="1598598813"/>
        <w:docPartObj>
          <w:docPartGallery w:val="Table of Contents"/>
          <w:docPartUnique/>
        </w:docPartObj>
      </w:sdtPr>
      <w:sdtEndPr>
        <w:rPr>
          <w:b/>
          <w:bCs/>
          <w:noProof/>
        </w:rPr>
      </w:sdtEndPr>
      <w:sdtContent>
        <w:p w14:paraId="0BA172A8" w14:textId="5EF31CCB" w:rsidR="00960D53" w:rsidRPr="00960D53" w:rsidRDefault="00960D53" w:rsidP="00960D53">
          <w:pPr>
            <w:pStyle w:val="TOCHeading"/>
            <w:spacing w:line="360" w:lineRule="auto"/>
            <w:jc w:val="center"/>
            <w:rPr>
              <w:rFonts w:ascii="Times New Roman" w:hAnsi="Times New Roman" w:cs="Times New Roman"/>
              <w:b/>
              <w:bCs/>
              <w:color w:val="auto"/>
              <w:sz w:val="24"/>
              <w:szCs w:val="24"/>
            </w:rPr>
          </w:pPr>
          <w:r w:rsidRPr="00960D53">
            <w:rPr>
              <w:rFonts w:ascii="Times New Roman" w:hAnsi="Times New Roman" w:cs="Times New Roman"/>
              <w:b/>
              <w:bCs/>
              <w:color w:val="auto"/>
              <w:sz w:val="24"/>
              <w:szCs w:val="24"/>
            </w:rPr>
            <w:t>Table of Contents</w:t>
          </w:r>
        </w:p>
        <w:p w14:paraId="32B1F5F1" w14:textId="7250A139" w:rsidR="00960D53" w:rsidRPr="00960D53" w:rsidRDefault="00960D53" w:rsidP="00960D53">
          <w:pPr>
            <w:pStyle w:val="TOC1"/>
            <w:tabs>
              <w:tab w:val="right" w:leader="dot" w:pos="9019"/>
            </w:tabs>
            <w:spacing w:line="360" w:lineRule="auto"/>
            <w:jc w:val="both"/>
            <w:rPr>
              <w:rFonts w:ascii="Times New Roman" w:hAnsi="Times New Roman" w:cs="Times New Roman"/>
              <w:noProof/>
              <w:sz w:val="24"/>
              <w:szCs w:val="24"/>
            </w:rPr>
          </w:pPr>
          <w:r w:rsidRPr="00960D53">
            <w:rPr>
              <w:rFonts w:ascii="Times New Roman" w:hAnsi="Times New Roman" w:cs="Times New Roman"/>
              <w:sz w:val="24"/>
              <w:szCs w:val="24"/>
            </w:rPr>
            <w:fldChar w:fldCharType="begin"/>
          </w:r>
          <w:r w:rsidRPr="00960D53">
            <w:rPr>
              <w:rFonts w:ascii="Times New Roman" w:hAnsi="Times New Roman" w:cs="Times New Roman"/>
              <w:sz w:val="24"/>
              <w:szCs w:val="24"/>
            </w:rPr>
            <w:instrText xml:space="preserve"> TOC \o "1-3" \h \z \u </w:instrText>
          </w:r>
          <w:r w:rsidRPr="00960D53">
            <w:rPr>
              <w:rFonts w:ascii="Times New Roman" w:hAnsi="Times New Roman" w:cs="Times New Roman"/>
              <w:sz w:val="24"/>
              <w:szCs w:val="24"/>
            </w:rPr>
            <w:fldChar w:fldCharType="separate"/>
          </w:r>
          <w:hyperlink w:anchor="_Toc148041705" w:history="1">
            <w:r w:rsidRPr="00960D53">
              <w:rPr>
                <w:rStyle w:val="Hyperlink"/>
                <w:rFonts w:ascii="Times New Roman" w:hAnsi="Times New Roman" w:cs="Times New Roman"/>
                <w:noProof/>
                <w:sz w:val="24"/>
                <w:szCs w:val="24"/>
              </w:rPr>
              <w:t>Task 1</w:t>
            </w:r>
            <w:r w:rsidRPr="00960D53">
              <w:rPr>
                <w:rFonts w:ascii="Times New Roman" w:hAnsi="Times New Roman" w:cs="Times New Roman"/>
                <w:noProof/>
                <w:webHidden/>
                <w:sz w:val="24"/>
                <w:szCs w:val="24"/>
              </w:rPr>
              <w:tab/>
            </w:r>
            <w:r w:rsidRPr="00960D53">
              <w:rPr>
                <w:rFonts w:ascii="Times New Roman" w:hAnsi="Times New Roman" w:cs="Times New Roman"/>
                <w:noProof/>
                <w:webHidden/>
                <w:sz w:val="24"/>
                <w:szCs w:val="24"/>
              </w:rPr>
              <w:fldChar w:fldCharType="begin"/>
            </w:r>
            <w:r w:rsidRPr="00960D53">
              <w:rPr>
                <w:rFonts w:ascii="Times New Roman" w:hAnsi="Times New Roman" w:cs="Times New Roman"/>
                <w:noProof/>
                <w:webHidden/>
                <w:sz w:val="24"/>
                <w:szCs w:val="24"/>
              </w:rPr>
              <w:instrText xml:space="preserve"> PAGEREF _Toc148041705 \h </w:instrText>
            </w:r>
            <w:r w:rsidRPr="00960D53">
              <w:rPr>
                <w:rFonts w:ascii="Times New Roman" w:hAnsi="Times New Roman" w:cs="Times New Roman"/>
                <w:noProof/>
                <w:webHidden/>
                <w:sz w:val="24"/>
                <w:szCs w:val="24"/>
              </w:rPr>
            </w:r>
            <w:r w:rsidRPr="00960D53">
              <w:rPr>
                <w:rFonts w:ascii="Times New Roman" w:hAnsi="Times New Roman" w:cs="Times New Roman"/>
                <w:noProof/>
                <w:webHidden/>
                <w:sz w:val="24"/>
                <w:szCs w:val="24"/>
              </w:rPr>
              <w:fldChar w:fldCharType="separate"/>
            </w:r>
            <w:r w:rsidRPr="00960D53">
              <w:rPr>
                <w:rFonts w:ascii="Times New Roman" w:hAnsi="Times New Roman" w:cs="Times New Roman"/>
                <w:noProof/>
                <w:webHidden/>
                <w:sz w:val="24"/>
                <w:szCs w:val="24"/>
              </w:rPr>
              <w:t>3</w:t>
            </w:r>
            <w:r w:rsidRPr="00960D53">
              <w:rPr>
                <w:rFonts w:ascii="Times New Roman" w:hAnsi="Times New Roman" w:cs="Times New Roman"/>
                <w:noProof/>
                <w:webHidden/>
                <w:sz w:val="24"/>
                <w:szCs w:val="24"/>
              </w:rPr>
              <w:fldChar w:fldCharType="end"/>
            </w:r>
          </w:hyperlink>
        </w:p>
        <w:p w14:paraId="7034F850" w14:textId="4DF6DDF3" w:rsidR="00960D53" w:rsidRPr="00960D53" w:rsidRDefault="00347BCE" w:rsidP="00960D53">
          <w:pPr>
            <w:pStyle w:val="TOC1"/>
            <w:tabs>
              <w:tab w:val="right" w:leader="dot" w:pos="9019"/>
            </w:tabs>
            <w:spacing w:line="360" w:lineRule="auto"/>
            <w:jc w:val="both"/>
            <w:rPr>
              <w:rFonts w:ascii="Times New Roman" w:hAnsi="Times New Roman" w:cs="Times New Roman"/>
              <w:noProof/>
              <w:sz w:val="24"/>
              <w:szCs w:val="24"/>
            </w:rPr>
          </w:pPr>
          <w:hyperlink w:anchor="_Toc148041706" w:history="1">
            <w:r w:rsidR="00960D53" w:rsidRPr="00960D53">
              <w:rPr>
                <w:rStyle w:val="Hyperlink"/>
                <w:rFonts w:ascii="Times New Roman" w:hAnsi="Times New Roman" w:cs="Times New Roman"/>
                <w:noProof/>
                <w:sz w:val="24"/>
                <w:szCs w:val="24"/>
              </w:rPr>
              <w:t>Task 2</w:t>
            </w:r>
            <w:r w:rsidR="00960D53" w:rsidRPr="00960D53">
              <w:rPr>
                <w:rFonts w:ascii="Times New Roman" w:hAnsi="Times New Roman" w:cs="Times New Roman"/>
                <w:noProof/>
                <w:webHidden/>
                <w:sz w:val="24"/>
                <w:szCs w:val="24"/>
              </w:rPr>
              <w:tab/>
            </w:r>
            <w:r w:rsidR="00960D53" w:rsidRPr="00960D53">
              <w:rPr>
                <w:rFonts w:ascii="Times New Roman" w:hAnsi="Times New Roman" w:cs="Times New Roman"/>
                <w:noProof/>
                <w:webHidden/>
                <w:sz w:val="24"/>
                <w:szCs w:val="24"/>
              </w:rPr>
              <w:fldChar w:fldCharType="begin"/>
            </w:r>
            <w:r w:rsidR="00960D53" w:rsidRPr="00960D53">
              <w:rPr>
                <w:rFonts w:ascii="Times New Roman" w:hAnsi="Times New Roman" w:cs="Times New Roman"/>
                <w:noProof/>
                <w:webHidden/>
                <w:sz w:val="24"/>
                <w:szCs w:val="24"/>
              </w:rPr>
              <w:instrText xml:space="preserve"> PAGEREF _Toc148041706 \h </w:instrText>
            </w:r>
            <w:r w:rsidR="00960D53" w:rsidRPr="00960D53">
              <w:rPr>
                <w:rFonts w:ascii="Times New Roman" w:hAnsi="Times New Roman" w:cs="Times New Roman"/>
                <w:noProof/>
                <w:webHidden/>
                <w:sz w:val="24"/>
                <w:szCs w:val="24"/>
              </w:rPr>
            </w:r>
            <w:r w:rsidR="00960D53" w:rsidRPr="00960D53">
              <w:rPr>
                <w:rFonts w:ascii="Times New Roman" w:hAnsi="Times New Roman" w:cs="Times New Roman"/>
                <w:noProof/>
                <w:webHidden/>
                <w:sz w:val="24"/>
                <w:szCs w:val="24"/>
              </w:rPr>
              <w:fldChar w:fldCharType="separate"/>
            </w:r>
            <w:r w:rsidR="00960D53" w:rsidRPr="00960D53">
              <w:rPr>
                <w:rFonts w:ascii="Times New Roman" w:hAnsi="Times New Roman" w:cs="Times New Roman"/>
                <w:noProof/>
                <w:webHidden/>
                <w:sz w:val="24"/>
                <w:szCs w:val="24"/>
              </w:rPr>
              <w:t>8</w:t>
            </w:r>
            <w:r w:rsidR="00960D53" w:rsidRPr="00960D53">
              <w:rPr>
                <w:rFonts w:ascii="Times New Roman" w:hAnsi="Times New Roman" w:cs="Times New Roman"/>
                <w:noProof/>
                <w:webHidden/>
                <w:sz w:val="24"/>
                <w:szCs w:val="24"/>
              </w:rPr>
              <w:fldChar w:fldCharType="end"/>
            </w:r>
          </w:hyperlink>
        </w:p>
        <w:p w14:paraId="3B270621" w14:textId="43076119" w:rsidR="00960D53" w:rsidRPr="00960D53" w:rsidRDefault="00347BCE" w:rsidP="00960D53">
          <w:pPr>
            <w:pStyle w:val="TOC1"/>
            <w:tabs>
              <w:tab w:val="right" w:leader="dot" w:pos="9019"/>
            </w:tabs>
            <w:spacing w:line="360" w:lineRule="auto"/>
            <w:jc w:val="both"/>
            <w:rPr>
              <w:rFonts w:ascii="Times New Roman" w:hAnsi="Times New Roman" w:cs="Times New Roman"/>
              <w:noProof/>
              <w:sz w:val="24"/>
              <w:szCs w:val="24"/>
            </w:rPr>
          </w:pPr>
          <w:hyperlink w:anchor="_Toc148041707" w:history="1">
            <w:r w:rsidR="00960D53" w:rsidRPr="00960D53">
              <w:rPr>
                <w:rStyle w:val="Hyperlink"/>
                <w:rFonts w:ascii="Times New Roman" w:hAnsi="Times New Roman" w:cs="Times New Roman"/>
                <w:noProof/>
                <w:sz w:val="24"/>
                <w:szCs w:val="24"/>
              </w:rPr>
              <w:t>Task 3</w:t>
            </w:r>
            <w:r w:rsidR="00960D53" w:rsidRPr="00960D53">
              <w:rPr>
                <w:rFonts w:ascii="Times New Roman" w:hAnsi="Times New Roman" w:cs="Times New Roman"/>
                <w:noProof/>
                <w:webHidden/>
                <w:sz w:val="24"/>
                <w:szCs w:val="24"/>
              </w:rPr>
              <w:tab/>
            </w:r>
            <w:r w:rsidR="00960D53" w:rsidRPr="00960D53">
              <w:rPr>
                <w:rFonts w:ascii="Times New Roman" w:hAnsi="Times New Roman" w:cs="Times New Roman"/>
                <w:noProof/>
                <w:webHidden/>
                <w:sz w:val="24"/>
                <w:szCs w:val="24"/>
              </w:rPr>
              <w:fldChar w:fldCharType="begin"/>
            </w:r>
            <w:r w:rsidR="00960D53" w:rsidRPr="00960D53">
              <w:rPr>
                <w:rFonts w:ascii="Times New Roman" w:hAnsi="Times New Roman" w:cs="Times New Roman"/>
                <w:noProof/>
                <w:webHidden/>
                <w:sz w:val="24"/>
                <w:szCs w:val="24"/>
              </w:rPr>
              <w:instrText xml:space="preserve"> PAGEREF _Toc148041707 \h </w:instrText>
            </w:r>
            <w:r w:rsidR="00960D53" w:rsidRPr="00960D53">
              <w:rPr>
                <w:rFonts w:ascii="Times New Roman" w:hAnsi="Times New Roman" w:cs="Times New Roman"/>
                <w:noProof/>
                <w:webHidden/>
                <w:sz w:val="24"/>
                <w:szCs w:val="24"/>
              </w:rPr>
            </w:r>
            <w:r w:rsidR="00960D53" w:rsidRPr="00960D53">
              <w:rPr>
                <w:rFonts w:ascii="Times New Roman" w:hAnsi="Times New Roman" w:cs="Times New Roman"/>
                <w:noProof/>
                <w:webHidden/>
                <w:sz w:val="24"/>
                <w:szCs w:val="24"/>
              </w:rPr>
              <w:fldChar w:fldCharType="separate"/>
            </w:r>
            <w:r w:rsidR="00960D53" w:rsidRPr="00960D53">
              <w:rPr>
                <w:rFonts w:ascii="Times New Roman" w:hAnsi="Times New Roman" w:cs="Times New Roman"/>
                <w:noProof/>
                <w:webHidden/>
                <w:sz w:val="24"/>
                <w:szCs w:val="24"/>
              </w:rPr>
              <w:t>12</w:t>
            </w:r>
            <w:r w:rsidR="00960D53" w:rsidRPr="00960D53">
              <w:rPr>
                <w:rFonts w:ascii="Times New Roman" w:hAnsi="Times New Roman" w:cs="Times New Roman"/>
                <w:noProof/>
                <w:webHidden/>
                <w:sz w:val="24"/>
                <w:szCs w:val="24"/>
              </w:rPr>
              <w:fldChar w:fldCharType="end"/>
            </w:r>
          </w:hyperlink>
        </w:p>
        <w:p w14:paraId="6322FD92" w14:textId="717BB266" w:rsidR="00960D53" w:rsidRPr="00960D53" w:rsidRDefault="00347BCE" w:rsidP="00960D53">
          <w:pPr>
            <w:pStyle w:val="TOC1"/>
            <w:tabs>
              <w:tab w:val="right" w:leader="dot" w:pos="9019"/>
            </w:tabs>
            <w:spacing w:line="360" w:lineRule="auto"/>
            <w:jc w:val="both"/>
            <w:rPr>
              <w:rFonts w:ascii="Times New Roman" w:hAnsi="Times New Roman" w:cs="Times New Roman"/>
              <w:noProof/>
              <w:sz w:val="24"/>
              <w:szCs w:val="24"/>
            </w:rPr>
          </w:pPr>
          <w:hyperlink w:anchor="_Toc148041708" w:history="1">
            <w:r w:rsidR="00960D53" w:rsidRPr="00960D53">
              <w:rPr>
                <w:rStyle w:val="Hyperlink"/>
                <w:rFonts w:ascii="Times New Roman" w:hAnsi="Times New Roman" w:cs="Times New Roman"/>
                <w:noProof/>
                <w:sz w:val="24"/>
                <w:szCs w:val="24"/>
              </w:rPr>
              <w:t>References</w:t>
            </w:r>
            <w:r w:rsidR="00960D53" w:rsidRPr="00960D53">
              <w:rPr>
                <w:rFonts w:ascii="Times New Roman" w:hAnsi="Times New Roman" w:cs="Times New Roman"/>
                <w:noProof/>
                <w:webHidden/>
                <w:sz w:val="24"/>
                <w:szCs w:val="24"/>
              </w:rPr>
              <w:tab/>
            </w:r>
            <w:r w:rsidR="00960D53" w:rsidRPr="00960D53">
              <w:rPr>
                <w:rFonts w:ascii="Times New Roman" w:hAnsi="Times New Roman" w:cs="Times New Roman"/>
                <w:noProof/>
                <w:webHidden/>
                <w:sz w:val="24"/>
                <w:szCs w:val="24"/>
              </w:rPr>
              <w:fldChar w:fldCharType="begin"/>
            </w:r>
            <w:r w:rsidR="00960D53" w:rsidRPr="00960D53">
              <w:rPr>
                <w:rFonts w:ascii="Times New Roman" w:hAnsi="Times New Roman" w:cs="Times New Roman"/>
                <w:noProof/>
                <w:webHidden/>
                <w:sz w:val="24"/>
                <w:szCs w:val="24"/>
              </w:rPr>
              <w:instrText xml:space="preserve"> PAGEREF _Toc148041708 \h </w:instrText>
            </w:r>
            <w:r w:rsidR="00960D53" w:rsidRPr="00960D53">
              <w:rPr>
                <w:rFonts w:ascii="Times New Roman" w:hAnsi="Times New Roman" w:cs="Times New Roman"/>
                <w:noProof/>
                <w:webHidden/>
                <w:sz w:val="24"/>
                <w:szCs w:val="24"/>
              </w:rPr>
            </w:r>
            <w:r w:rsidR="00960D53" w:rsidRPr="00960D53">
              <w:rPr>
                <w:rFonts w:ascii="Times New Roman" w:hAnsi="Times New Roman" w:cs="Times New Roman"/>
                <w:noProof/>
                <w:webHidden/>
                <w:sz w:val="24"/>
                <w:szCs w:val="24"/>
              </w:rPr>
              <w:fldChar w:fldCharType="separate"/>
            </w:r>
            <w:r w:rsidR="00960D53" w:rsidRPr="00960D53">
              <w:rPr>
                <w:rFonts w:ascii="Times New Roman" w:hAnsi="Times New Roman" w:cs="Times New Roman"/>
                <w:noProof/>
                <w:webHidden/>
                <w:sz w:val="24"/>
                <w:szCs w:val="24"/>
              </w:rPr>
              <w:t>13</w:t>
            </w:r>
            <w:r w:rsidR="00960D53" w:rsidRPr="00960D53">
              <w:rPr>
                <w:rFonts w:ascii="Times New Roman" w:hAnsi="Times New Roman" w:cs="Times New Roman"/>
                <w:noProof/>
                <w:webHidden/>
                <w:sz w:val="24"/>
                <w:szCs w:val="24"/>
              </w:rPr>
              <w:fldChar w:fldCharType="end"/>
            </w:r>
          </w:hyperlink>
        </w:p>
        <w:p w14:paraId="4BB858BE" w14:textId="3177E0AD" w:rsidR="00960D53" w:rsidRDefault="00960D53" w:rsidP="00960D53">
          <w:pPr>
            <w:spacing w:line="360" w:lineRule="auto"/>
            <w:jc w:val="both"/>
          </w:pPr>
          <w:r w:rsidRPr="00960D53">
            <w:rPr>
              <w:rFonts w:ascii="Times New Roman" w:hAnsi="Times New Roman" w:cs="Times New Roman"/>
              <w:b/>
              <w:bCs/>
              <w:noProof/>
              <w:sz w:val="24"/>
              <w:szCs w:val="24"/>
            </w:rPr>
            <w:fldChar w:fldCharType="end"/>
          </w:r>
        </w:p>
      </w:sdtContent>
    </w:sdt>
    <w:p w14:paraId="2CB1FDA4" w14:textId="77777777" w:rsidR="008F1753" w:rsidRDefault="008F1753">
      <w:pPr>
        <w:spacing w:line="360" w:lineRule="auto"/>
        <w:jc w:val="center"/>
        <w:rPr>
          <w:rFonts w:ascii="Times New Roman" w:eastAsia="Times New Roman" w:hAnsi="Times New Roman" w:cs="Times New Roman"/>
          <w:b/>
          <w:sz w:val="32"/>
          <w:szCs w:val="32"/>
        </w:rPr>
      </w:pPr>
    </w:p>
    <w:p w14:paraId="659744AC" w14:textId="77777777" w:rsidR="008F1753" w:rsidRDefault="00347BCE">
      <w:pPr>
        <w:spacing w:line="360" w:lineRule="auto"/>
        <w:jc w:val="both"/>
        <w:rPr>
          <w:rFonts w:ascii="Times New Roman" w:eastAsia="Times New Roman" w:hAnsi="Times New Roman" w:cs="Times New Roman"/>
          <w:sz w:val="24"/>
          <w:szCs w:val="24"/>
        </w:rPr>
      </w:pPr>
      <w:r>
        <w:br w:type="page"/>
      </w:r>
    </w:p>
    <w:p w14:paraId="62CC7F6C" w14:textId="129B17EB" w:rsidR="008F1753" w:rsidRPr="009034F6" w:rsidRDefault="00347BCE" w:rsidP="00960D53">
      <w:pPr>
        <w:pStyle w:val="Heading1"/>
      </w:pPr>
      <w:bookmarkStart w:id="1" w:name="_Toc148041705"/>
      <w:r w:rsidRPr="00960D53">
        <w:t>Task</w:t>
      </w:r>
      <w:r>
        <w:t xml:space="preserve"> 1</w:t>
      </w:r>
      <w:bookmarkEnd w:id="1"/>
    </w:p>
    <w:tbl>
      <w:tblPr>
        <w:tblStyle w:val="a"/>
        <w:tblW w:w="89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5820"/>
        <w:gridCol w:w="1530"/>
        <w:gridCol w:w="1575"/>
      </w:tblGrid>
      <w:tr w:rsidR="008F1753" w14:paraId="2B825E34" w14:textId="77777777">
        <w:trPr>
          <w:trHeight w:val="465"/>
        </w:trPr>
        <w:tc>
          <w:tcPr>
            <w:tcW w:w="58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413D28" w14:textId="77777777" w:rsidR="008F1753" w:rsidRDefault="00347BCE">
            <w:pPr>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Account title</w:t>
            </w:r>
          </w:p>
        </w:tc>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D40917" w14:textId="77777777" w:rsidR="008F1753" w:rsidRDefault="00347BCE">
            <w:pPr>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Debit </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6D7DDD" w14:textId="77777777" w:rsidR="008F1753" w:rsidRDefault="00347BCE">
            <w:pPr>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Credit </w:t>
            </w:r>
          </w:p>
        </w:tc>
      </w:tr>
      <w:tr w:rsidR="008F1753" w14:paraId="4C58AA6E" w14:textId="77777777">
        <w:trPr>
          <w:trHeight w:val="470"/>
        </w:trPr>
        <w:tc>
          <w:tcPr>
            <w:tcW w:w="58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64BF57"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Purchases</w:t>
            </w:r>
          </w:p>
        </w:tc>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0D4D44"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95,000</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59E952"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8F1753" w14:paraId="3AF5E2F0" w14:textId="77777777">
        <w:trPr>
          <w:trHeight w:val="470"/>
        </w:trPr>
        <w:tc>
          <w:tcPr>
            <w:tcW w:w="58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8F2E48"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Sales</w:t>
            </w:r>
          </w:p>
        </w:tc>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EF3E5A"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37AD07"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1,60,000</w:t>
            </w:r>
          </w:p>
        </w:tc>
      </w:tr>
      <w:tr w:rsidR="008F1753" w14:paraId="77AF0431" w14:textId="77777777">
        <w:trPr>
          <w:trHeight w:val="480"/>
        </w:trPr>
        <w:tc>
          <w:tcPr>
            <w:tcW w:w="58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0FD6E0"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Sales returns</w:t>
            </w:r>
          </w:p>
        </w:tc>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B30001"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4,000</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13FBC7"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8F1753" w14:paraId="775FA3C1" w14:textId="77777777">
        <w:trPr>
          <w:trHeight w:val="392"/>
        </w:trPr>
        <w:tc>
          <w:tcPr>
            <w:tcW w:w="58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40B23B"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Purchase returns </w:t>
            </w:r>
          </w:p>
        </w:tc>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02409A"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750C23"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5,000</w:t>
            </w:r>
          </w:p>
        </w:tc>
      </w:tr>
      <w:tr w:rsidR="008F1753" w14:paraId="674C5530" w14:textId="77777777">
        <w:trPr>
          <w:trHeight w:val="470"/>
        </w:trPr>
        <w:tc>
          <w:tcPr>
            <w:tcW w:w="58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1A2BDC"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Bank balance</w:t>
            </w:r>
          </w:p>
        </w:tc>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115D6E"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5,000</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3A1BE2"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8F1753" w14:paraId="3BFBCFDF" w14:textId="77777777">
        <w:trPr>
          <w:trHeight w:val="450"/>
        </w:trPr>
        <w:tc>
          <w:tcPr>
            <w:tcW w:w="58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6CF318"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Capital</w:t>
            </w:r>
          </w:p>
        </w:tc>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B6DCB3"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3D97F8"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25,000</w:t>
            </w:r>
          </w:p>
        </w:tc>
      </w:tr>
      <w:tr w:rsidR="008F1753" w14:paraId="78BE5FA6" w14:textId="77777777">
        <w:trPr>
          <w:trHeight w:val="345"/>
        </w:trPr>
        <w:tc>
          <w:tcPr>
            <w:tcW w:w="58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62827E"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Drawings</w:t>
            </w:r>
          </w:p>
        </w:tc>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34E581"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13,000</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555584"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8F1753" w14:paraId="6AF89D42" w14:textId="77777777">
        <w:trPr>
          <w:trHeight w:val="315"/>
        </w:trPr>
        <w:tc>
          <w:tcPr>
            <w:tcW w:w="58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685413"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Furniture</w:t>
            </w:r>
          </w:p>
        </w:tc>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6E1E9D"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15,000</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995256"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8F1753" w14:paraId="5F39E2D9" w14:textId="77777777">
        <w:trPr>
          <w:trHeight w:val="255"/>
        </w:trPr>
        <w:tc>
          <w:tcPr>
            <w:tcW w:w="58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B5DC05"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Accumulated Depreciation on furniture</w:t>
            </w:r>
          </w:p>
        </w:tc>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C68D27"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21C2C5"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5,000</w:t>
            </w:r>
          </w:p>
        </w:tc>
      </w:tr>
      <w:tr w:rsidR="008F1753" w14:paraId="7DB5D358" w14:textId="77777777">
        <w:trPr>
          <w:trHeight w:val="330"/>
        </w:trPr>
        <w:tc>
          <w:tcPr>
            <w:tcW w:w="58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C08329"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Rent</w:t>
            </w:r>
          </w:p>
        </w:tc>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6749E0D"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2,500</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E0309D"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8F1753" w14:paraId="3DD022A4" w14:textId="77777777">
        <w:trPr>
          <w:trHeight w:val="315"/>
        </w:trPr>
        <w:tc>
          <w:tcPr>
            <w:tcW w:w="58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79CEC7"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Salaries</w:t>
            </w:r>
          </w:p>
        </w:tc>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FE9337"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28,000</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628689"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8F1753" w14:paraId="45DAD0FC" w14:textId="77777777">
        <w:trPr>
          <w:trHeight w:val="227"/>
        </w:trPr>
        <w:tc>
          <w:tcPr>
            <w:tcW w:w="58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CDC491"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Discounts Received</w:t>
            </w:r>
          </w:p>
        </w:tc>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FAEA76"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01670A"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200</w:t>
            </w:r>
          </w:p>
        </w:tc>
      </w:tr>
      <w:tr w:rsidR="008F1753" w14:paraId="2A264341" w14:textId="77777777">
        <w:trPr>
          <w:trHeight w:val="300"/>
        </w:trPr>
        <w:tc>
          <w:tcPr>
            <w:tcW w:w="58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90322E"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Discounts Allowed</w:t>
            </w:r>
          </w:p>
        </w:tc>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E1F85D"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700</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01BFC2"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8F1753" w14:paraId="72FD346A" w14:textId="77777777">
        <w:trPr>
          <w:trHeight w:val="465"/>
        </w:trPr>
        <w:tc>
          <w:tcPr>
            <w:tcW w:w="58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EEDCEC"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Trade receivables</w:t>
            </w:r>
          </w:p>
        </w:tc>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9E0814"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17,000</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A89F8A"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8F1753" w14:paraId="4114C2AD" w14:textId="77777777">
        <w:trPr>
          <w:trHeight w:val="435"/>
        </w:trPr>
        <w:tc>
          <w:tcPr>
            <w:tcW w:w="58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D0CB0E"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Trade payables</w:t>
            </w:r>
          </w:p>
        </w:tc>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0ABE5D"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35CD61"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2,300</w:t>
            </w:r>
          </w:p>
        </w:tc>
      </w:tr>
      <w:tr w:rsidR="008F1753" w14:paraId="4C6AD4F0" w14:textId="77777777">
        <w:trPr>
          <w:trHeight w:val="375"/>
        </w:trPr>
        <w:tc>
          <w:tcPr>
            <w:tcW w:w="58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7D48C7"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Opening inventory 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of August 2023</w:t>
            </w:r>
          </w:p>
        </w:tc>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5DE3A4"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3,000</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F2F340"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8F1753" w14:paraId="21C9BF8A" w14:textId="77777777">
        <w:trPr>
          <w:trHeight w:val="420"/>
        </w:trPr>
        <w:tc>
          <w:tcPr>
            <w:tcW w:w="58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77CA3D"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Opening Provision for doubtful debts</w:t>
            </w:r>
          </w:p>
        </w:tc>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9651D6"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CE6A1C"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r>
      <w:tr w:rsidR="008F1753" w14:paraId="75308B0D" w14:textId="77777777">
        <w:trPr>
          <w:trHeight w:val="435"/>
        </w:trPr>
        <w:tc>
          <w:tcPr>
            <w:tcW w:w="58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C5E547"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Vehicle at Cost</w:t>
            </w:r>
          </w:p>
        </w:tc>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F9ADF5"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28,500</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936FB0"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8F1753" w14:paraId="4FCE5E91" w14:textId="77777777">
        <w:trPr>
          <w:trHeight w:val="420"/>
        </w:trPr>
        <w:tc>
          <w:tcPr>
            <w:tcW w:w="58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5362F0"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Accumulated Depreciation on vehicles</w:t>
            </w:r>
          </w:p>
        </w:tc>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077CB6"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481EB2"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7,000</w:t>
            </w:r>
          </w:p>
        </w:tc>
      </w:tr>
      <w:tr w:rsidR="008F1753" w14:paraId="6D465061" w14:textId="77777777">
        <w:trPr>
          <w:trHeight w:val="470"/>
        </w:trPr>
        <w:tc>
          <w:tcPr>
            <w:tcW w:w="58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0EBA97"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Loan (five years)</w:t>
            </w:r>
          </w:p>
        </w:tc>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190B7F"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EDADC68"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10,000</w:t>
            </w:r>
          </w:p>
        </w:tc>
      </w:tr>
      <w:tr w:rsidR="008F1753" w14:paraId="6EC3E34E" w14:textId="77777777">
        <w:trPr>
          <w:trHeight w:val="470"/>
        </w:trPr>
        <w:tc>
          <w:tcPr>
            <w:tcW w:w="58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8687D5"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Interest on loan </w:t>
            </w:r>
          </w:p>
        </w:tc>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15D41D"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773F4A"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8F1753" w14:paraId="58482E72" w14:textId="77777777">
        <w:trPr>
          <w:trHeight w:val="470"/>
        </w:trPr>
        <w:tc>
          <w:tcPr>
            <w:tcW w:w="58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F4170D"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Electricity and gas  expense </w:t>
            </w:r>
          </w:p>
        </w:tc>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254756"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1500</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2E5A3A"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8F1753" w14:paraId="2E2D69B5" w14:textId="77777777">
        <w:trPr>
          <w:trHeight w:val="470"/>
        </w:trPr>
        <w:tc>
          <w:tcPr>
            <w:tcW w:w="58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2AC146"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Vehicle Maintenance</w:t>
            </w:r>
          </w:p>
        </w:tc>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458FEB"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800</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AEFD05"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8F1753" w14:paraId="6CD56BFA" w14:textId="77777777">
        <w:trPr>
          <w:trHeight w:val="470"/>
        </w:trPr>
        <w:tc>
          <w:tcPr>
            <w:tcW w:w="58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3D03C5"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1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C66D31"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2,15,000</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157B55D"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2,15,000</w:t>
            </w:r>
          </w:p>
        </w:tc>
      </w:tr>
    </w:tbl>
    <w:p w14:paraId="529C59B1" w14:textId="77777777" w:rsidR="008F1753" w:rsidRDefault="00347BC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"Coopers Grocery Trial Balance 31st of August 2023"</w:t>
      </w:r>
    </w:p>
    <w:p w14:paraId="5329CF84" w14:textId="77777777" w:rsidR="008F1753" w:rsidRDefault="00347BC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Excel)</w:t>
      </w:r>
    </w:p>
    <w:p w14:paraId="66FCF3A7" w14:textId="6EF1A651" w:rsidR="008F1753" w:rsidRDefault="00DA5FE1">
      <w:pPr>
        <w:spacing w:line="360" w:lineRule="auto"/>
        <w:jc w:val="both"/>
        <w:rPr>
          <w:rFonts w:ascii="Times New Roman" w:eastAsia="Times New Roman" w:hAnsi="Times New Roman" w:cs="Times New Roman"/>
          <w:sz w:val="24"/>
          <w:szCs w:val="24"/>
        </w:rPr>
      </w:pPr>
      <w:r w:rsidRPr="00DA5FE1">
        <w:rPr>
          <w:rFonts w:ascii="Times New Roman" w:eastAsia="Times New Roman" w:hAnsi="Times New Roman" w:cs="Times New Roman"/>
          <w:sz w:val="24"/>
          <w:szCs w:val="24"/>
        </w:rPr>
        <w:t xml:space="preserve">As of August 31, 2023, Table 1 shows Coopers Grocery's trial balance. A trial balance is a primary financial statement that summarizes the balances of all the accounts in a company's ledger and shows the debit and credit values of each account, according to Rhee et al. (2022). This makes it easier to comprehend how much money comes in and goes out because the total of the debits and credits equals the total. In the accounting process, it is a critical stage (Li, 2022).  The proprietor has invested £25,000 in the business, as shown by the capital account. As well as accounting for assets, liabilities, and expenses, the table also includes information on trade payables and receivables, vehicle depreciation, and loan interest (Mwange &amp; Chansa, 2022). </w:t>
      </w:r>
      <w:r w:rsidR="009034F6">
        <w:rPr>
          <w:rFonts w:ascii="Times New Roman" w:eastAsia="Times New Roman" w:hAnsi="Times New Roman" w:cs="Times New Roman"/>
          <w:sz w:val="24"/>
          <w:szCs w:val="24"/>
        </w:rPr>
        <w:t>The financial status of Coopers Grocery is summarized in Table 1, with the equal number of debits and credits attesting to the accuracy of the accounting records. It offers a place to start when creating financial statements and is an essential tool for decision-making and financial analysis.</w:t>
      </w:r>
    </w:p>
    <w:p w14:paraId="69F89EDF" w14:textId="600B1574" w:rsidR="00F20350" w:rsidRDefault="00DA5FE1" w:rsidP="00F20350">
      <w:pPr>
        <w:spacing w:line="360" w:lineRule="auto"/>
        <w:jc w:val="both"/>
        <w:rPr>
          <w:rFonts w:ascii="Times New Roman" w:eastAsia="Times New Roman" w:hAnsi="Times New Roman" w:cs="Times New Roman"/>
          <w:sz w:val="24"/>
          <w:szCs w:val="24"/>
        </w:rPr>
      </w:pPr>
      <w:r w:rsidRPr="00DA5FE1">
        <w:rPr>
          <w:rFonts w:ascii="Times New Roman" w:eastAsia="Times New Roman" w:hAnsi="Times New Roman" w:cs="Times New Roman"/>
          <w:sz w:val="24"/>
          <w:szCs w:val="24"/>
        </w:rPr>
        <w:t xml:space="preserve">The trial balance records first appear to display both debits and credits </w:t>
      </w:r>
      <w:proofErr w:type="spellStart"/>
      <w:r w:rsidRPr="00DA5FE1">
        <w:rPr>
          <w:rFonts w:ascii="Times New Roman" w:eastAsia="Times New Roman" w:hAnsi="Times New Roman" w:cs="Times New Roman"/>
          <w:sz w:val="24"/>
          <w:szCs w:val="24"/>
        </w:rPr>
        <w:t>totaling</w:t>
      </w:r>
      <w:proofErr w:type="spellEnd"/>
      <w:r w:rsidRPr="00DA5FE1">
        <w:rPr>
          <w:rFonts w:ascii="Times New Roman" w:eastAsia="Times New Roman" w:hAnsi="Times New Roman" w:cs="Times New Roman"/>
          <w:sz w:val="24"/>
          <w:szCs w:val="24"/>
        </w:rPr>
        <w:t xml:space="preserve"> £215,000, demonstrating the accuracy and balance of the accounting entries. This balance not only guarantees financial honesty but also lays the groundwork for the creation of more thorough financial statements. Table 1 also shows the company's financial activities as reported in 2023 by Moyo and colleagues. For instance, the £95,000 in acquisition costs might indicate that the business bought goods to resell. The £160,000 in sales, on the other hand, indicates the money made from the selling of those things. When there are sales returns and buy returns, it means that some customers have sent back their purchases, which lowers both sales and acquisitions.</w:t>
      </w:r>
    </w:p>
    <w:tbl>
      <w:tblPr>
        <w:tblStyle w:val="a0"/>
        <w:tblW w:w="7695" w:type="dxa"/>
        <w:tblInd w:w="5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4320"/>
        <w:gridCol w:w="1740"/>
        <w:gridCol w:w="1635"/>
      </w:tblGrid>
      <w:tr w:rsidR="008F1753" w14:paraId="364F2F22" w14:textId="77777777">
        <w:trPr>
          <w:trHeight w:val="740"/>
        </w:trPr>
        <w:tc>
          <w:tcPr>
            <w:tcW w:w="43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11C2CAE" w14:textId="77777777" w:rsidR="008F1753" w:rsidRDefault="00347BCE">
            <w:pPr>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Account</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EACEFB" w14:textId="77777777" w:rsidR="008F1753" w:rsidRDefault="00347BCE">
            <w:pPr>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Debit (£)</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131666" w14:textId="77777777" w:rsidR="008F1753" w:rsidRDefault="00347BCE">
            <w:pPr>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Credit (£)</w:t>
            </w:r>
          </w:p>
        </w:tc>
      </w:tr>
      <w:tr w:rsidR="008F1753" w14:paraId="384613CA" w14:textId="77777777">
        <w:trPr>
          <w:trHeight w:val="470"/>
        </w:trPr>
        <w:tc>
          <w:tcPr>
            <w:tcW w:w="43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CFF5C2"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Sales</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13D51D"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1,60,000</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E397DE"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8F1753" w14:paraId="7C1BF37C" w14:textId="77777777">
        <w:trPr>
          <w:trHeight w:val="470"/>
        </w:trPr>
        <w:tc>
          <w:tcPr>
            <w:tcW w:w="43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71F4D6"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Sales Returns</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CAA861"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AA8E24"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4,000</w:t>
            </w:r>
          </w:p>
        </w:tc>
      </w:tr>
      <w:tr w:rsidR="008F1753" w14:paraId="4281A832" w14:textId="77777777">
        <w:trPr>
          <w:trHeight w:val="555"/>
        </w:trPr>
        <w:tc>
          <w:tcPr>
            <w:tcW w:w="43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58D85A"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Gross Sales</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70DBBA"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1,56,000</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AA18AE"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8F1753" w14:paraId="0C17B5D1" w14:textId="77777777">
        <w:trPr>
          <w:trHeight w:val="645"/>
        </w:trPr>
        <w:tc>
          <w:tcPr>
            <w:tcW w:w="43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1E6FF8"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Opening Inventory</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BA1C7D"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3,000</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E3C560"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8F1753" w14:paraId="0B7B8365" w14:textId="77777777">
        <w:trPr>
          <w:trHeight w:val="470"/>
        </w:trPr>
        <w:tc>
          <w:tcPr>
            <w:tcW w:w="43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A6C069"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Purchases</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303970"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95,000</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18477E"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8F1753" w14:paraId="70723301" w14:textId="77777777">
        <w:trPr>
          <w:trHeight w:val="555"/>
        </w:trPr>
        <w:tc>
          <w:tcPr>
            <w:tcW w:w="43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6C6C45"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Closing Inventory</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825DD9"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570BF2"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2,000</w:t>
            </w:r>
          </w:p>
        </w:tc>
      </w:tr>
      <w:tr w:rsidR="008F1753" w14:paraId="068FB5C0" w14:textId="77777777">
        <w:trPr>
          <w:trHeight w:val="315"/>
        </w:trPr>
        <w:tc>
          <w:tcPr>
            <w:tcW w:w="43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1BA360"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Cost of Goods Sold</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577704"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7D7F76"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96,000</w:t>
            </w:r>
          </w:p>
        </w:tc>
      </w:tr>
      <w:tr w:rsidR="008F1753" w14:paraId="0B060C11" w14:textId="77777777">
        <w:trPr>
          <w:trHeight w:val="435"/>
        </w:trPr>
        <w:tc>
          <w:tcPr>
            <w:tcW w:w="43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3C3F18"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Gross Profit</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4D6C55"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60,000</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41F94E"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8F1753" w14:paraId="3561D81C" w14:textId="77777777">
        <w:trPr>
          <w:trHeight w:val="420"/>
        </w:trPr>
        <w:tc>
          <w:tcPr>
            <w:tcW w:w="43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099CDB"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Salaries (Adjusted)</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D32545"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32,000</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49AC3F"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8F1753" w14:paraId="321F9028" w14:textId="77777777">
        <w:trPr>
          <w:trHeight w:val="405"/>
        </w:trPr>
        <w:tc>
          <w:tcPr>
            <w:tcW w:w="43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AC813E"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Rent (Adjusted)</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E6DD8C"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2,000</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CE1C46"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8F1753" w14:paraId="3112D05E" w14:textId="77777777">
        <w:trPr>
          <w:trHeight w:val="390"/>
        </w:trPr>
        <w:tc>
          <w:tcPr>
            <w:tcW w:w="43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EA297E"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Discounts Allowed</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46B43E"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7D96E7"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700</w:t>
            </w:r>
          </w:p>
        </w:tc>
      </w:tr>
      <w:tr w:rsidR="008F1753" w14:paraId="2F6C32F4" w14:textId="77777777">
        <w:trPr>
          <w:trHeight w:val="390"/>
        </w:trPr>
        <w:tc>
          <w:tcPr>
            <w:tcW w:w="43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D085AF"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Electricity &amp; Gas</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A554C2"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1,500</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B14335"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8F1753" w14:paraId="3BB11651" w14:textId="77777777">
        <w:trPr>
          <w:trHeight w:val="495"/>
        </w:trPr>
        <w:tc>
          <w:tcPr>
            <w:tcW w:w="43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EB874A"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Vehicle Maintenance (Adjusted)</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B21B1E"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C723B1"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8F1753" w14:paraId="29CE6E08" w14:textId="77777777">
        <w:trPr>
          <w:trHeight w:val="495"/>
        </w:trPr>
        <w:tc>
          <w:tcPr>
            <w:tcW w:w="43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B1F32D"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Total Expenses</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CABF58"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36,500</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1B5D12"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8F1753" w14:paraId="3F7C9208" w14:textId="77777777">
        <w:trPr>
          <w:trHeight w:val="585"/>
        </w:trPr>
        <w:tc>
          <w:tcPr>
            <w:tcW w:w="43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5FF15C"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Net Profit (Before Interest &amp; Bad Debt)</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BB4910"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23,500</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EEC15C"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8F1753" w14:paraId="5D322429" w14:textId="77777777">
        <w:trPr>
          <w:trHeight w:val="530"/>
        </w:trPr>
        <w:tc>
          <w:tcPr>
            <w:tcW w:w="43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FB0BCF"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Interest on Loan</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00D8F1"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8F801A"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r>
      <w:tr w:rsidR="008F1753" w14:paraId="73FFCCB7" w14:textId="77777777">
        <w:trPr>
          <w:trHeight w:val="480"/>
        </w:trPr>
        <w:tc>
          <w:tcPr>
            <w:tcW w:w="43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A21401"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Specific Bad Debt</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E665C5"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DB16A0"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800</w:t>
            </w:r>
          </w:p>
        </w:tc>
      </w:tr>
      <w:tr w:rsidR="008F1753" w14:paraId="540E3685" w14:textId="77777777">
        <w:trPr>
          <w:trHeight w:val="525"/>
        </w:trPr>
        <w:tc>
          <w:tcPr>
            <w:tcW w:w="43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5D8B75"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Net Profit </w:t>
            </w:r>
            <w:r>
              <w:rPr>
                <w:rFonts w:ascii="Times New Roman" w:eastAsia="Times New Roman" w:hAnsi="Times New Roman" w:cs="Times New Roman"/>
                <w:sz w:val="24"/>
                <w:szCs w:val="24"/>
              </w:rPr>
              <w:t>(After Interest &amp; Bad Debt)</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BBCE77"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21,700</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EC5F3B"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bl>
    <w:p w14:paraId="404E6F39" w14:textId="77777777" w:rsidR="008F1753" w:rsidRDefault="008F1753">
      <w:pPr>
        <w:spacing w:line="360" w:lineRule="auto"/>
        <w:jc w:val="center"/>
        <w:rPr>
          <w:rFonts w:ascii="Times New Roman" w:eastAsia="Times New Roman" w:hAnsi="Times New Roman" w:cs="Times New Roman"/>
          <w:b/>
          <w:sz w:val="24"/>
          <w:szCs w:val="24"/>
        </w:rPr>
      </w:pPr>
    </w:p>
    <w:p w14:paraId="1C0DAE8F" w14:textId="77777777" w:rsidR="008F1753" w:rsidRDefault="00347BC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Cooper's Profit and Loss Account (Income Statement) for the Year Ending August 31, 2023</w:t>
      </w:r>
    </w:p>
    <w:p w14:paraId="53EE570D" w14:textId="77777777" w:rsidR="008F1753" w:rsidRDefault="00347BC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Excel)</w:t>
      </w:r>
    </w:p>
    <w:p w14:paraId="7003A972" w14:textId="77777777" w:rsidR="00287426" w:rsidRDefault="00347B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Table 2 presents a condensed perspective of major accounts with an emphasis on Coopers Grocery's financial results. For stakeholders looking to evaluate the profitability and financial stability of the organisation, this succinct overview is priceless. The</w:t>
      </w:r>
      <w:r>
        <w:rPr>
          <w:rFonts w:ascii="Times New Roman" w:eastAsia="Times New Roman" w:hAnsi="Times New Roman" w:cs="Times New Roman"/>
          <w:sz w:val="24"/>
          <w:szCs w:val="24"/>
        </w:rPr>
        <w:t xml:space="preserve"> sales account, which reflects the revenue the company generates, is at the top of the table. It displays gross sales of £160,000, which represents the total revenue from the sale of goods or services. The inclusion of "sales returns" indicates, however, t</w:t>
      </w:r>
      <w:r>
        <w:rPr>
          <w:rFonts w:ascii="Times New Roman" w:eastAsia="Times New Roman" w:hAnsi="Times New Roman" w:cs="Times New Roman"/>
          <w:sz w:val="24"/>
          <w:szCs w:val="24"/>
        </w:rPr>
        <w:t xml:space="preserve">hat some consumers have returned merchandise, bringing the total sales amount down to $156,000. The worth of the inventory the company had on hand at the beginning of August was indicated by the opening inventory of £3,000 at that time. The business spent </w:t>
      </w:r>
      <w:r>
        <w:rPr>
          <w:rFonts w:ascii="Times New Roman" w:eastAsia="Times New Roman" w:hAnsi="Times New Roman" w:cs="Times New Roman"/>
          <w:sz w:val="24"/>
          <w:szCs w:val="24"/>
        </w:rPr>
        <w:t>£95,000 on purchases during August to restock its stock. Despite not being mentioned directly, closing inventory can be determined by deducting the cost of goods sold (COGS) from the opening inventory and purchases (Mwange &amp; Chansa, 2022). In this instance</w:t>
      </w:r>
      <w:r>
        <w:rPr>
          <w:rFonts w:ascii="Times New Roman" w:eastAsia="Times New Roman" w:hAnsi="Times New Roman" w:cs="Times New Roman"/>
          <w:sz w:val="24"/>
          <w:szCs w:val="24"/>
        </w:rPr>
        <w:t xml:space="preserve">, the value of unsold items at the end of August equals £96,000 (£3,000 + £95,000 - £4,000 - £156,000). </w:t>
      </w:r>
    </w:p>
    <w:p w14:paraId="798E62EA" w14:textId="36F1A996" w:rsidR="008F1753" w:rsidRDefault="00347B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cost of goods sold (COGS), which shows the direct expenses related to producing the products sold during the period, is an important number. In thi</w:t>
      </w:r>
      <w:r>
        <w:rPr>
          <w:rFonts w:ascii="Times New Roman" w:eastAsia="Times New Roman" w:hAnsi="Times New Roman" w:cs="Times New Roman"/>
          <w:sz w:val="24"/>
          <w:szCs w:val="24"/>
        </w:rPr>
        <w:t>s instance, it is £96,000, which after being subtracted from the total sales results in a gross profit of £60,000. The table then covers other costs, such as wages, rent, permitted discounts, energy and gas costs, and upkeep of vehicles. When added togethe</w:t>
      </w:r>
      <w:r>
        <w:rPr>
          <w:rFonts w:ascii="Times New Roman" w:eastAsia="Times New Roman" w:hAnsi="Times New Roman" w:cs="Times New Roman"/>
          <w:sz w:val="24"/>
          <w:szCs w:val="24"/>
        </w:rPr>
        <w:t>r, these costs come to £36,500. When all expenses are deducted from the gross profit, the net profit (before interest and bad debt) equals £23,500 (Rhee et al., 2022). The loan's interest costs as well as certain bad debt reductions further bring the net p</w:t>
      </w:r>
      <w:r>
        <w:rPr>
          <w:rFonts w:ascii="Times New Roman" w:eastAsia="Times New Roman" w:hAnsi="Times New Roman" w:cs="Times New Roman"/>
          <w:sz w:val="24"/>
          <w:szCs w:val="24"/>
        </w:rPr>
        <w:t>rofit down to £21,700. Table 2 streamlines the financial data display by highlighting the crucial accounts that affect the company's profitability. It is a crucial tool for financial analysis and decision-making since it enables interested parties to under</w:t>
      </w:r>
      <w:r>
        <w:rPr>
          <w:rFonts w:ascii="Times New Roman" w:eastAsia="Times New Roman" w:hAnsi="Times New Roman" w:cs="Times New Roman"/>
          <w:sz w:val="24"/>
          <w:szCs w:val="24"/>
        </w:rPr>
        <w:t>stand Coopers Grocery's financial performance right away.</w:t>
      </w:r>
    </w:p>
    <w:tbl>
      <w:tblPr>
        <w:tblStyle w:val="a1"/>
        <w:tblW w:w="7605" w:type="dxa"/>
        <w:tblInd w:w="7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4650"/>
        <w:gridCol w:w="1410"/>
        <w:gridCol w:w="1545"/>
      </w:tblGrid>
      <w:tr w:rsidR="008F1753" w14:paraId="484DA262" w14:textId="77777777">
        <w:trPr>
          <w:trHeight w:val="450"/>
        </w:trPr>
        <w:tc>
          <w:tcPr>
            <w:tcW w:w="465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66759900"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Account</w:t>
            </w:r>
          </w:p>
        </w:tc>
        <w:tc>
          <w:tcPr>
            <w:tcW w:w="14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7B87B7"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Debit (£)</w:t>
            </w:r>
          </w:p>
        </w:tc>
        <w:tc>
          <w:tcPr>
            <w:tcW w:w="15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1254D7"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Credit (£)</w:t>
            </w:r>
          </w:p>
        </w:tc>
      </w:tr>
      <w:tr w:rsidR="008F1753" w14:paraId="128BBEAD" w14:textId="77777777">
        <w:trPr>
          <w:trHeight w:val="470"/>
        </w:trPr>
        <w:tc>
          <w:tcPr>
            <w:tcW w:w="4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5B611E"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Bank</w:t>
            </w:r>
          </w:p>
        </w:tc>
        <w:tc>
          <w:tcPr>
            <w:tcW w:w="14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A99BBA"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5,000</w:t>
            </w:r>
          </w:p>
        </w:tc>
        <w:tc>
          <w:tcPr>
            <w:tcW w:w="15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C83AFC"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8F1753" w14:paraId="29474300" w14:textId="77777777">
        <w:trPr>
          <w:trHeight w:val="755"/>
        </w:trPr>
        <w:tc>
          <w:tcPr>
            <w:tcW w:w="4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1EA055"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Furniture (Net)</w:t>
            </w:r>
          </w:p>
        </w:tc>
        <w:tc>
          <w:tcPr>
            <w:tcW w:w="14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F99A2C"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15,000</w:t>
            </w:r>
          </w:p>
        </w:tc>
        <w:tc>
          <w:tcPr>
            <w:tcW w:w="15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9C53CB"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8F1753" w14:paraId="1F61655E" w14:textId="77777777">
        <w:trPr>
          <w:trHeight w:val="735"/>
        </w:trPr>
        <w:tc>
          <w:tcPr>
            <w:tcW w:w="4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E22FF1"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Accumulated Depreciation on Furniture</w:t>
            </w:r>
          </w:p>
        </w:tc>
        <w:tc>
          <w:tcPr>
            <w:tcW w:w="14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55FB54"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5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97A9FE"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4,800</w:t>
            </w:r>
          </w:p>
        </w:tc>
      </w:tr>
      <w:tr w:rsidR="008F1753" w14:paraId="405A2CB5" w14:textId="77777777">
        <w:trPr>
          <w:trHeight w:val="510"/>
        </w:trPr>
        <w:tc>
          <w:tcPr>
            <w:tcW w:w="4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7A96CB"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Furniture (Adjusted)</w:t>
            </w:r>
          </w:p>
        </w:tc>
        <w:tc>
          <w:tcPr>
            <w:tcW w:w="14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F7ED2B"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5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527B89"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10,200</w:t>
            </w:r>
          </w:p>
        </w:tc>
      </w:tr>
      <w:tr w:rsidR="008F1753" w14:paraId="1DA61D6F" w14:textId="77777777">
        <w:trPr>
          <w:trHeight w:val="470"/>
        </w:trPr>
        <w:tc>
          <w:tcPr>
            <w:tcW w:w="4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71F1D8"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Vehicles (Net)</w:t>
            </w:r>
          </w:p>
        </w:tc>
        <w:tc>
          <w:tcPr>
            <w:tcW w:w="14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57E05B"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28,500</w:t>
            </w:r>
          </w:p>
        </w:tc>
        <w:tc>
          <w:tcPr>
            <w:tcW w:w="15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46EAAF"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8F1753" w14:paraId="3F0374B8" w14:textId="77777777">
        <w:trPr>
          <w:trHeight w:val="435"/>
        </w:trPr>
        <w:tc>
          <w:tcPr>
            <w:tcW w:w="4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C3E758"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Accumulated Depreciation </w:t>
            </w:r>
            <w:r>
              <w:rPr>
                <w:rFonts w:ascii="Times New Roman" w:eastAsia="Times New Roman" w:hAnsi="Times New Roman" w:cs="Times New Roman"/>
                <w:sz w:val="24"/>
                <w:szCs w:val="24"/>
              </w:rPr>
              <w:t>on Vehicles</w:t>
            </w:r>
          </w:p>
        </w:tc>
        <w:tc>
          <w:tcPr>
            <w:tcW w:w="14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8EE166"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5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69FC5E"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9,975</w:t>
            </w:r>
          </w:p>
        </w:tc>
      </w:tr>
      <w:tr w:rsidR="008F1753" w14:paraId="2C3DCF73" w14:textId="77777777">
        <w:trPr>
          <w:trHeight w:val="405"/>
        </w:trPr>
        <w:tc>
          <w:tcPr>
            <w:tcW w:w="4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A19721"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Vehicles (Adjusted)</w:t>
            </w:r>
          </w:p>
        </w:tc>
        <w:tc>
          <w:tcPr>
            <w:tcW w:w="14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2F9021"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5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B8EBE1"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18,525</w:t>
            </w:r>
          </w:p>
        </w:tc>
      </w:tr>
      <w:tr w:rsidR="008F1753" w14:paraId="65116999" w14:textId="77777777">
        <w:trPr>
          <w:trHeight w:val="435"/>
        </w:trPr>
        <w:tc>
          <w:tcPr>
            <w:tcW w:w="4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4C4CA0"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Trade Receivables</w:t>
            </w:r>
          </w:p>
        </w:tc>
        <w:tc>
          <w:tcPr>
            <w:tcW w:w="14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247027"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17,000</w:t>
            </w:r>
          </w:p>
        </w:tc>
        <w:tc>
          <w:tcPr>
            <w:tcW w:w="15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EF580A"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8F1753" w14:paraId="352E664D" w14:textId="77777777">
        <w:trPr>
          <w:trHeight w:val="510"/>
        </w:trPr>
        <w:tc>
          <w:tcPr>
            <w:tcW w:w="4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0CF6FC"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Trade Payables</w:t>
            </w:r>
          </w:p>
        </w:tc>
        <w:tc>
          <w:tcPr>
            <w:tcW w:w="14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6C0AAC"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5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E23C41"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2,300</w:t>
            </w:r>
          </w:p>
        </w:tc>
      </w:tr>
      <w:tr w:rsidR="008F1753" w14:paraId="3997246C" w14:textId="77777777">
        <w:trPr>
          <w:trHeight w:val="465"/>
        </w:trPr>
        <w:tc>
          <w:tcPr>
            <w:tcW w:w="4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1765E6"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Loan (five years)</w:t>
            </w:r>
          </w:p>
        </w:tc>
        <w:tc>
          <w:tcPr>
            <w:tcW w:w="14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ACFECC"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5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B7B493"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10,000</w:t>
            </w:r>
          </w:p>
        </w:tc>
      </w:tr>
      <w:tr w:rsidR="008F1753" w14:paraId="41422CA4" w14:textId="77777777">
        <w:trPr>
          <w:trHeight w:val="345"/>
        </w:trPr>
        <w:tc>
          <w:tcPr>
            <w:tcW w:w="4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5D25D6"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Capital</w:t>
            </w:r>
          </w:p>
        </w:tc>
        <w:tc>
          <w:tcPr>
            <w:tcW w:w="14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818471"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5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C2CD12"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25,000</w:t>
            </w:r>
          </w:p>
        </w:tc>
      </w:tr>
      <w:tr w:rsidR="008F1753" w14:paraId="0089DF86" w14:textId="77777777">
        <w:trPr>
          <w:trHeight w:val="272"/>
        </w:trPr>
        <w:tc>
          <w:tcPr>
            <w:tcW w:w="4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B76838"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Drawings</w:t>
            </w:r>
          </w:p>
        </w:tc>
        <w:tc>
          <w:tcPr>
            <w:tcW w:w="14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26019C"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13,000</w:t>
            </w:r>
          </w:p>
        </w:tc>
        <w:tc>
          <w:tcPr>
            <w:tcW w:w="15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18B2A2"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8F1753" w14:paraId="7C61AD11" w14:textId="77777777">
        <w:trPr>
          <w:trHeight w:val="435"/>
        </w:trPr>
        <w:tc>
          <w:tcPr>
            <w:tcW w:w="4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50D605"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Total Assets</w:t>
            </w:r>
          </w:p>
        </w:tc>
        <w:tc>
          <w:tcPr>
            <w:tcW w:w="14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2F5C73"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58,500</w:t>
            </w:r>
          </w:p>
        </w:tc>
        <w:tc>
          <w:tcPr>
            <w:tcW w:w="15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FA9CE3"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8F1753" w14:paraId="2074AFB0" w14:textId="77777777">
        <w:trPr>
          <w:trHeight w:val="450"/>
        </w:trPr>
        <w:tc>
          <w:tcPr>
            <w:tcW w:w="4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396813"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Total Liabilities &amp; Equity</w:t>
            </w:r>
          </w:p>
        </w:tc>
        <w:tc>
          <w:tcPr>
            <w:tcW w:w="14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5A8755"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5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0686F9"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55,825</w:t>
            </w:r>
          </w:p>
        </w:tc>
      </w:tr>
    </w:tbl>
    <w:p w14:paraId="3784B360" w14:textId="77777777" w:rsidR="008F1753" w:rsidRDefault="00347BC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3: Cooper's Balance </w:t>
      </w:r>
      <w:r>
        <w:rPr>
          <w:rFonts w:ascii="Times New Roman" w:eastAsia="Times New Roman" w:hAnsi="Times New Roman" w:cs="Times New Roman"/>
          <w:b/>
          <w:sz w:val="24"/>
          <w:szCs w:val="24"/>
        </w:rPr>
        <w:t>Sheet (Statement of Financial Position) as of August 31, 2023</w:t>
      </w:r>
    </w:p>
    <w:p w14:paraId="78E24BCE" w14:textId="77777777" w:rsidR="008F1753" w:rsidRDefault="00347BC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Excel)</w:t>
      </w:r>
    </w:p>
    <w:p w14:paraId="1C830730" w14:textId="77777777" w:rsidR="008F1753" w:rsidRDefault="00347B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Table 3 summarises the assets, liabilities, and equity of Coopers Grocery to give a brief summary of its financial status. For stakeholders looking for a fast evaluation of the c</w:t>
      </w:r>
      <w:r>
        <w:rPr>
          <w:rFonts w:ascii="Times New Roman" w:eastAsia="Times New Roman" w:hAnsi="Times New Roman" w:cs="Times New Roman"/>
          <w:sz w:val="24"/>
          <w:szCs w:val="24"/>
        </w:rPr>
        <w:t>ompany's financial viability, this snapshot is essential. The bank account, which has a balance of £5,000, is in the first row of the table (Rhee et al., 2022). As of the specified date, this sum shows the cash the company had available in its bank account</w:t>
      </w:r>
      <w:r>
        <w:rPr>
          <w:rFonts w:ascii="Times New Roman" w:eastAsia="Times New Roman" w:hAnsi="Times New Roman" w:cs="Times New Roman"/>
          <w:sz w:val="24"/>
          <w:szCs w:val="24"/>
        </w:rPr>
        <w:t>. A key asset worth £15,000 is furniture. The inclusion of "Accumulated Depreciation on Furniture" at £4,800, however, suggests that some of the furniture's value has been expensed because of depreciation, leaving a net value of £10,200. The table also sho</w:t>
      </w:r>
      <w:r>
        <w:rPr>
          <w:rFonts w:ascii="Times New Roman" w:eastAsia="Times New Roman" w:hAnsi="Times New Roman" w:cs="Times New Roman"/>
          <w:sz w:val="24"/>
          <w:szCs w:val="24"/>
        </w:rPr>
        <w:t>ws the net value of the vehicles once depreciation has been added up. The original value of the vehicle is £28,500, and the net worth is £18,525 after subtracting the £9,975 in accumulated depreciation.</w:t>
      </w:r>
    </w:p>
    <w:p w14:paraId="69B77EE6" w14:textId="77777777" w:rsidR="008F1753" w:rsidRDefault="00347B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Trade payables, which represent the company's unpaid </w:t>
      </w:r>
      <w:r>
        <w:rPr>
          <w:rFonts w:ascii="Times New Roman" w:eastAsia="Times New Roman" w:hAnsi="Times New Roman" w:cs="Times New Roman"/>
          <w:sz w:val="24"/>
          <w:szCs w:val="24"/>
        </w:rPr>
        <w:t>bills, total £2,300, while trade receivables indicate monies due to the company by clients total £17,000. Table 3's equity portion is very notable. Owner's capital, which denotes the owner's ownership interest in the company, is an essential part of the co</w:t>
      </w:r>
      <w:r>
        <w:rPr>
          <w:rFonts w:ascii="Times New Roman" w:eastAsia="Times New Roman" w:hAnsi="Times New Roman" w:cs="Times New Roman"/>
          <w:sz w:val="24"/>
          <w:szCs w:val="24"/>
        </w:rPr>
        <w:t xml:space="preserve">mpany's equity. The owner's original investment in Coopers Grocery is represented by the capital account of £25,000. The owner's equity in the company will be directly impacted by any changes in capital. The company's entire assets, which include its bank </w:t>
      </w:r>
      <w:r>
        <w:rPr>
          <w:rFonts w:ascii="Times New Roman" w:eastAsia="Times New Roman" w:hAnsi="Times New Roman" w:cs="Times New Roman"/>
          <w:sz w:val="24"/>
          <w:szCs w:val="24"/>
        </w:rPr>
        <w:t>account, furnishings, and vehicles, are clearly valued at £33,725 (£5,000 + £10,200 + £18,525) in this snapshot (</w:t>
      </w:r>
      <w:proofErr w:type="spellStart"/>
      <w:r>
        <w:rPr>
          <w:rFonts w:ascii="Times New Roman" w:eastAsia="Times New Roman" w:hAnsi="Times New Roman" w:cs="Times New Roman"/>
          <w:sz w:val="24"/>
          <w:szCs w:val="24"/>
        </w:rPr>
        <w:t>Vignini</w:t>
      </w:r>
      <w:proofErr w:type="spellEnd"/>
      <w:r>
        <w:rPr>
          <w:rFonts w:ascii="Times New Roman" w:eastAsia="Times New Roman" w:hAnsi="Times New Roman" w:cs="Times New Roman"/>
          <w:sz w:val="24"/>
          <w:szCs w:val="24"/>
        </w:rPr>
        <w:t>, 2022). Trade payables and the five-year loan add up to a total liability of £12,300 (£2,300 + £10,000). After subtracting obligations,</w:t>
      </w:r>
      <w:r>
        <w:rPr>
          <w:rFonts w:ascii="Times New Roman" w:eastAsia="Times New Roman" w:hAnsi="Times New Roman" w:cs="Times New Roman"/>
          <w:sz w:val="24"/>
          <w:szCs w:val="24"/>
        </w:rPr>
        <w:t xml:space="preserve"> the owner's equity, or the remaining stake in the assets, is £21,425. </w:t>
      </w:r>
    </w:p>
    <w:p w14:paraId="0027BC6F" w14:textId="651E6EBA" w:rsidR="008F1753" w:rsidRDefault="00347B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Table 3 provides a brief overview of the company's financial situation by showing the assets, liabilities, and owner's equity of the business. For interested parties who need a rapid e</w:t>
      </w:r>
      <w:r>
        <w:rPr>
          <w:rFonts w:ascii="Times New Roman" w:eastAsia="Times New Roman" w:hAnsi="Times New Roman" w:cs="Times New Roman"/>
          <w:sz w:val="24"/>
          <w:szCs w:val="24"/>
        </w:rPr>
        <w:t>valuation of Coopers Grocery's financial soundness, it is a useful resource. Making informed judgments on the financial health of the company requires having a thorough understanding of the make-up and changes in these components.</w:t>
      </w:r>
    </w:p>
    <w:p w14:paraId="0F749477" w14:textId="77777777" w:rsidR="008F1753" w:rsidRDefault="00347BCE" w:rsidP="00960D53">
      <w:pPr>
        <w:pStyle w:val="Heading1"/>
      </w:pPr>
      <w:bookmarkStart w:id="2" w:name="_Toc148041706"/>
      <w:r>
        <w:t>Task 2</w:t>
      </w:r>
      <w:bookmarkEnd w:id="2"/>
    </w:p>
    <w:p w14:paraId="06705E2B" w14:textId="77777777" w:rsidR="008F1753" w:rsidRDefault="00347B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September 2023,</w:t>
      </w:r>
      <w:r>
        <w:rPr>
          <w:rFonts w:ascii="Times New Roman" w:eastAsia="Times New Roman" w:hAnsi="Times New Roman" w:cs="Times New Roman"/>
          <w:sz w:val="24"/>
          <w:szCs w:val="24"/>
        </w:rPr>
        <w:t xml:space="preserve"> Sonia's company, which supplies Birmingham City cafes with pancakes, will deal with a number of financial transactions. She must set up the required ledger 'T' accounts at the end of the month and correctly balance them in order to manage these transactio</w:t>
      </w:r>
      <w:r>
        <w:rPr>
          <w:rFonts w:ascii="Times New Roman" w:eastAsia="Times New Roman" w:hAnsi="Times New Roman" w:cs="Times New Roman"/>
          <w:sz w:val="24"/>
          <w:szCs w:val="24"/>
        </w:rPr>
        <w:t>ns successfully. She can create a trial balance for the end of September after balancing these accounts. Sonia put £20,300 of initial cash into her company. Her ownership position in the company is represented by this capital. She is the owner of a van wor</w:t>
      </w:r>
      <w:r>
        <w:rPr>
          <w:rFonts w:ascii="Times New Roman" w:eastAsia="Times New Roman" w:hAnsi="Times New Roman" w:cs="Times New Roman"/>
          <w:sz w:val="24"/>
          <w:szCs w:val="24"/>
        </w:rPr>
        <w:t>th $10,000. It is a tangible asset of the company (</w:t>
      </w:r>
      <w:proofErr w:type="spellStart"/>
      <w:r>
        <w:rPr>
          <w:rFonts w:ascii="Times New Roman" w:eastAsia="Times New Roman" w:hAnsi="Times New Roman" w:cs="Times New Roman"/>
          <w:sz w:val="24"/>
          <w:szCs w:val="24"/>
        </w:rPr>
        <w:t>Vignini</w:t>
      </w:r>
      <w:proofErr w:type="spellEnd"/>
      <w:r>
        <w:rPr>
          <w:rFonts w:ascii="Times New Roman" w:eastAsia="Times New Roman" w:hAnsi="Times New Roman" w:cs="Times New Roman"/>
          <w:sz w:val="24"/>
          <w:szCs w:val="24"/>
        </w:rPr>
        <w:t>, 2022). The balance in the bank account for her company is £7,000. The focal point for all financial transactions is this. Sonia always has a little sum of cash on hand to cover daily needs. She ha</w:t>
      </w:r>
      <w:r>
        <w:rPr>
          <w:rFonts w:ascii="Times New Roman" w:eastAsia="Times New Roman" w:hAnsi="Times New Roman" w:cs="Times New Roman"/>
          <w:sz w:val="24"/>
          <w:szCs w:val="24"/>
        </w:rPr>
        <w:t xml:space="preserve">d £300 in cash as of September 1st. She has several customers that owe her business £5,000 in unpaid invoices. </w:t>
      </w:r>
    </w:p>
    <w:tbl>
      <w:tblPr>
        <w:tblStyle w:val="a2"/>
        <w:tblW w:w="7470" w:type="dxa"/>
        <w:tblInd w:w="11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070"/>
        <w:gridCol w:w="1605"/>
        <w:gridCol w:w="1335"/>
        <w:gridCol w:w="2460"/>
      </w:tblGrid>
      <w:tr w:rsidR="008F1753" w14:paraId="1B4E9520" w14:textId="77777777">
        <w:trPr>
          <w:trHeight w:val="470"/>
        </w:trPr>
        <w:tc>
          <w:tcPr>
            <w:tcW w:w="20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D95DAA"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Capital Account</w:t>
            </w:r>
          </w:p>
        </w:tc>
        <w:tc>
          <w:tcPr>
            <w:tcW w:w="1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EAF7B6"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13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2DF2F0"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24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CD915D"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r>
      <w:tr w:rsidR="008F1753" w14:paraId="15925D83" w14:textId="77777777">
        <w:trPr>
          <w:trHeight w:val="470"/>
        </w:trPr>
        <w:tc>
          <w:tcPr>
            <w:tcW w:w="20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BBA0A0"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Date </w:t>
            </w:r>
          </w:p>
        </w:tc>
        <w:tc>
          <w:tcPr>
            <w:tcW w:w="1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0DF637"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Debit</w:t>
            </w:r>
          </w:p>
        </w:tc>
        <w:tc>
          <w:tcPr>
            <w:tcW w:w="13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AB5886"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Credit</w:t>
            </w:r>
          </w:p>
        </w:tc>
        <w:tc>
          <w:tcPr>
            <w:tcW w:w="24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6FDD88"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Description</w:t>
            </w:r>
          </w:p>
        </w:tc>
      </w:tr>
      <w:tr w:rsidR="008F1753" w14:paraId="1A6B88B4" w14:textId="77777777">
        <w:trPr>
          <w:trHeight w:val="755"/>
        </w:trPr>
        <w:tc>
          <w:tcPr>
            <w:tcW w:w="20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1A196C"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Sep-01</w:t>
            </w:r>
          </w:p>
        </w:tc>
        <w:tc>
          <w:tcPr>
            <w:tcW w:w="1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4E0BDE"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20300</w:t>
            </w:r>
          </w:p>
        </w:tc>
        <w:tc>
          <w:tcPr>
            <w:tcW w:w="13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2A1001"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24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B4AD5C"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Opening Balance</w:t>
            </w:r>
          </w:p>
        </w:tc>
      </w:tr>
      <w:tr w:rsidR="008F1753" w14:paraId="2CFE553E" w14:textId="77777777">
        <w:trPr>
          <w:trHeight w:val="470"/>
        </w:trPr>
        <w:tc>
          <w:tcPr>
            <w:tcW w:w="20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68128C"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Sep-02</w:t>
            </w:r>
          </w:p>
        </w:tc>
        <w:tc>
          <w:tcPr>
            <w:tcW w:w="1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9C3E54"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700</w:t>
            </w:r>
          </w:p>
        </w:tc>
        <w:tc>
          <w:tcPr>
            <w:tcW w:w="13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100292"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24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3F5DCD"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Capital contribution</w:t>
            </w:r>
          </w:p>
        </w:tc>
      </w:tr>
      <w:tr w:rsidR="008F1753" w14:paraId="47EA12A5" w14:textId="77777777">
        <w:trPr>
          <w:trHeight w:val="470"/>
        </w:trPr>
        <w:tc>
          <w:tcPr>
            <w:tcW w:w="20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190836"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Balance</w:t>
            </w:r>
          </w:p>
        </w:tc>
        <w:tc>
          <w:tcPr>
            <w:tcW w:w="1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5CCD8B"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21000</w:t>
            </w:r>
          </w:p>
        </w:tc>
        <w:tc>
          <w:tcPr>
            <w:tcW w:w="13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4623BD"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24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D5E620"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r>
    </w:tbl>
    <w:p w14:paraId="79DA268B" w14:textId="77777777" w:rsidR="008F1753" w:rsidRDefault="00347BC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1: </w:t>
      </w:r>
      <w:r>
        <w:rPr>
          <w:rFonts w:ascii="Times New Roman" w:eastAsia="Times New Roman" w:hAnsi="Times New Roman" w:cs="Times New Roman"/>
          <w:b/>
          <w:sz w:val="24"/>
          <w:szCs w:val="24"/>
        </w:rPr>
        <w:t>Capital account</w:t>
      </w:r>
    </w:p>
    <w:p w14:paraId="4105A432" w14:textId="77777777" w:rsidR="008F1753" w:rsidRDefault="00347B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is an asset that represents accounts receivable. Sonia still owes several vendors £2,000 in unpaid invoices. The company has a debt to its suppliers for this. Sonia gave her company further funding on September 2nd in the shape of £700</w:t>
      </w:r>
      <w:r>
        <w:rPr>
          <w:rFonts w:ascii="Times New Roman" w:eastAsia="Times New Roman" w:hAnsi="Times New Roman" w:cs="Times New Roman"/>
          <w:sz w:val="24"/>
          <w:szCs w:val="24"/>
        </w:rPr>
        <w:t xml:space="preserve"> in cash. Her capital has increased as a result. She paid £1,000 cash for a computer on September 3rd for her company. Cash is going down, while the computer asset is going up. Sonia transferred £800 to a vendor by bank transfer on September 4th. Her cash </w:t>
      </w:r>
      <w:r>
        <w:rPr>
          <w:rFonts w:ascii="Times New Roman" w:eastAsia="Times New Roman" w:hAnsi="Times New Roman" w:cs="Times New Roman"/>
          <w:sz w:val="24"/>
          <w:szCs w:val="24"/>
        </w:rPr>
        <w:t>balance and payables are lowered as a result. She paid £700 via check on September 7th to acquire goods for resale. Inventory has risen while cash has decreased. Sonia received a payment of £3,000 from a receivable on September 9th through her bank account</w:t>
      </w:r>
      <w:r>
        <w:rPr>
          <w:rFonts w:ascii="Times New Roman" w:eastAsia="Times New Roman" w:hAnsi="Times New Roman" w:cs="Times New Roman"/>
          <w:sz w:val="24"/>
          <w:szCs w:val="24"/>
        </w:rPr>
        <w:t xml:space="preserve">. Her cash balance has increased, while her accounts receivable have decreased. </w:t>
      </w:r>
    </w:p>
    <w:tbl>
      <w:tblPr>
        <w:tblStyle w:val="a3"/>
        <w:tblW w:w="6675" w:type="dxa"/>
        <w:tblInd w:w="100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680"/>
        <w:gridCol w:w="1110"/>
        <w:gridCol w:w="1200"/>
        <w:gridCol w:w="2685"/>
      </w:tblGrid>
      <w:tr w:rsidR="008F1753" w14:paraId="6A571A37" w14:textId="77777777">
        <w:trPr>
          <w:trHeight w:val="470"/>
        </w:trPr>
        <w:tc>
          <w:tcPr>
            <w:tcW w:w="16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78FC31"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Van Account</w:t>
            </w:r>
          </w:p>
        </w:tc>
        <w:tc>
          <w:tcPr>
            <w:tcW w:w="1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6F981B"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12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2AEF0B"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26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214B6A"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r>
      <w:tr w:rsidR="008F1753" w14:paraId="2B2A8739" w14:textId="77777777">
        <w:trPr>
          <w:trHeight w:val="470"/>
        </w:trPr>
        <w:tc>
          <w:tcPr>
            <w:tcW w:w="16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95A1CC" w14:textId="77777777" w:rsidR="008F1753" w:rsidRDefault="00347BCE">
            <w:pPr>
              <w:widowControl w:val="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Date </w:t>
            </w:r>
          </w:p>
        </w:tc>
        <w:tc>
          <w:tcPr>
            <w:tcW w:w="1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6CE594" w14:textId="77777777" w:rsidR="008F1753" w:rsidRDefault="00347BCE">
            <w:pPr>
              <w:widowControl w:val="0"/>
              <w:rPr>
                <w:rFonts w:ascii="Times New Roman" w:eastAsia="Times New Roman" w:hAnsi="Times New Roman" w:cs="Times New Roman"/>
                <w:sz w:val="24"/>
                <w:szCs w:val="24"/>
              </w:rPr>
            </w:pPr>
            <w:r>
              <w:rPr>
                <w:rFonts w:ascii="Times New Roman" w:eastAsia="Times New Roman" w:hAnsi="Times New Roman" w:cs="Times New Roman"/>
                <w:sz w:val="24"/>
                <w:szCs w:val="24"/>
              </w:rPr>
              <w:t>Debit</w:t>
            </w:r>
          </w:p>
        </w:tc>
        <w:tc>
          <w:tcPr>
            <w:tcW w:w="12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B029C4" w14:textId="77777777" w:rsidR="008F1753" w:rsidRDefault="00347BCE">
            <w:pPr>
              <w:widowControl w:val="0"/>
              <w:rPr>
                <w:rFonts w:ascii="Times New Roman" w:eastAsia="Times New Roman" w:hAnsi="Times New Roman" w:cs="Times New Roman"/>
                <w:sz w:val="24"/>
                <w:szCs w:val="24"/>
              </w:rPr>
            </w:pPr>
            <w:r>
              <w:rPr>
                <w:rFonts w:ascii="Times New Roman" w:eastAsia="Times New Roman" w:hAnsi="Times New Roman" w:cs="Times New Roman"/>
                <w:sz w:val="24"/>
                <w:szCs w:val="24"/>
              </w:rPr>
              <w:t>Credit</w:t>
            </w:r>
          </w:p>
        </w:tc>
        <w:tc>
          <w:tcPr>
            <w:tcW w:w="26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3F3D97" w14:textId="77777777" w:rsidR="008F1753" w:rsidRDefault="00347BCE">
            <w:pPr>
              <w:widowControl w:val="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Description</w:t>
            </w:r>
          </w:p>
        </w:tc>
      </w:tr>
      <w:tr w:rsidR="008F1753" w14:paraId="213CE859" w14:textId="77777777">
        <w:trPr>
          <w:trHeight w:val="470"/>
        </w:trPr>
        <w:tc>
          <w:tcPr>
            <w:tcW w:w="16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92667B"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1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724F2F"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10000</w:t>
            </w:r>
          </w:p>
        </w:tc>
        <w:tc>
          <w:tcPr>
            <w:tcW w:w="12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547106"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26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80E0CD"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Opening Balance</w:t>
            </w:r>
          </w:p>
        </w:tc>
      </w:tr>
      <w:tr w:rsidR="008F1753" w14:paraId="49FD2662" w14:textId="77777777">
        <w:trPr>
          <w:trHeight w:val="755"/>
        </w:trPr>
        <w:tc>
          <w:tcPr>
            <w:tcW w:w="16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AA69EF"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Sep-27</w:t>
            </w:r>
          </w:p>
        </w:tc>
        <w:tc>
          <w:tcPr>
            <w:tcW w:w="1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AEDA3A"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8000</w:t>
            </w:r>
          </w:p>
        </w:tc>
        <w:tc>
          <w:tcPr>
            <w:tcW w:w="12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F6CC32"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26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046E02"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Sale of van</w:t>
            </w:r>
          </w:p>
        </w:tc>
      </w:tr>
      <w:tr w:rsidR="008F1753" w14:paraId="058C1FFE" w14:textId="77777777">
        <w:trPr>
          <w:trHeight w:val="470"/>
        </w:trPr>
        <w:tc>
          <w:tcPr>
            <w:tcW w:w="16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B64769"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Balance</w:t>
            </w:r>
          </w:p>
        </w:tc>
        <w:tc>
          <w:tcPr>
            <w:tcW w:w="1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DE3766"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18000</w:t>
            </w:r>
          </w:p>
        </w:tc>
        <w:tc>
          <w:tcPr>
            <w:tcW w:w="12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001CFF"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26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652D6B"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r>
    </w:tbl>
    <w:p w14:paraId="6BB3F6A3" w14:textId="77777777" w:rsidR="008F1753" w:rsidRDefault="00347BC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Van account</w:t>
      </w:r>
    </w:p>
    <w:p w14:paraId="7209C139" w14:textId="77777777" w:rsidR="008F1753" w:rsidRDefault="00347B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She purchased $350 worth of gasoline using a debit card on September 11th to be utilised for professional purposes. There has been a cash decrease. Sonia received a cash payment of £2,600 on September 15th from a receiver. This raises her cash balance and </w:t>
      </w:r>
      <w:r>
        <w:rPr>
          <w:rFonts w:ascii="Times New Roman" w:eastAsia="Times New Roman" w:hAnsi="Times New Roman" w:cs="Times New Roman"/>
          <w:sz w:val="24"/>
          <w:szCs w:val="24"/>
        </w:rPr>
        <w:t>lowers her amount owed. She used her company debit card to pay £450 for insurance on September 18. This results in a reduction in cash flow and an increase in insurance costs. Sonia made a resale purchase on September 20th and accepted a 30-day credit peri</w:t>
      </w:r>
      <w:r>
        <w:rPr>
          <w:rFonts w:ascii="Times New Roman" w:eastAsia="Times New Roman" w:hAnsi="Times New Roman" w:cs="Times New Roman"/>
          <w:sz w:val="24"/>
          <w:szCs w:val="24"/>
        </w:rPr>
        <w:t xml:space="preserve">od. Both her inventory and accounts payable have increased as a result. She sent a £2,400 invoice with a 30-day credit period to a new client on September 21. Accounts receivable have increased as a result. On September 30th, Sonia withdrew £1,200 in cash </w:t>
      </w:r>
      <w:r>
        <w:rPr>
          <w:rFonts w:ascii="Times New Roman" w:eastAsia="Times New Roman" w:hAnsi="Times New Roman" w:cs="Times New Roman"/>
          <w:sz w:val="24"/>
          <w:szCs w:val="24"/>
        </w:rPr>
        <w:t xml:space="preserve">for her personal use. This is a reduction in her cash balance. </w:t>
      </w:r>
    </w:p>
    <w:tbl>
      <w:tblPr>
        <w:tblStyle w:val="a4"/>
        <w:tblW w:w="7350" w:type="dxa"/>
        <w:tblInd w:w="9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460"/>
        <w:gridCol w:w="945"/>
        <w:gridCol w:w="945"/>
        <w:gridCol w:w="3000"/>
      </w:tblGrid>
      <w:tr w:rsidR="008F1753" w14:paraId="1169E141" w14:textId="77777777">
        <w:trPr>
          <w:trHeight w:val="755"/>
        </w:trPr>
        <w:tc>
          <w:tcPr>
            <w:tcW w:w="24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46AB34"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Bank Balance Account</w:t>
            </w:r>
          </w:p>
        </w:tc>
        <w:tc>
          <w:tcPr>
            <w:tcW w:w="9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22E1B3"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9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397AF4"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30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2E9DD6"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r>
      <w:tr w:rsidR="008F1753" w14:paraId="674D20D3" w14:textId="77777777">
        <w:trPr>
          <w:trHeight w:val="755"/>
        </w:trPr>
        <w:tc>
          <w:tcPr>
            <w:tcW w:w="24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F32B2B" w14:textId="77777777" w:rsidR="008F1753" w:rsidRDefault="00347BCE">
            <w:pPr>
              <w:widowControl w:val="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Date </w:t>
            </w:r>
          </w:p>
        </w:tc>
        <w:tc>
          <w:tcPr>
            <w:tcW w:w="9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CBDF11" w14:textId="77777777" w:rsidR="008F1753" w:rsidRDefault="00347BCE">
            <w:pPr>
              <w:widowControl w:val="0"/>
              <w:rPr>
                <w:rFonts w:ascii="Times New Roman" w:eastAsia="Times New Roman" w:hAnsi="Times New Roman" w:cs="Times New Roman"/>
                <w:sz w:val="24"/>
                <w:szCs w:val="24"/>
              </w:rPr>
            </w:pPr>
            <w:r>
              <w:rPr>
                <w:rFonts w:ascii="Times New Roman" w:eastAsia="Times New Roman" w:hAnsi="Times New Roman" w:cs="Times New Roman"/>
                <w:sz w:val="24"/>
                <w:szCs w:val="24"/>
              </w:rPr>
              <w:t>Debit</w:t>
            </w:r>
          </w:p>
        </w:tc>
        <w:tc>
          <w:tcPr>
            <w:tcW w:w="9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399633" w14:textId="77777777" w:rsidR="008F1753" w:rsidRDefault="00347BCE">
            <w:pPr>
              <w:widowControl w:val="0"/>
              <w:rPr>
                <w:rFonts w:ascii="Times New Roman" w:eastAsia="Times New Roman" w:hAnsi="Times New Roman" w:cs="Times New Roman"/>
                <w:sz w:val="24"/>
                <w:szCs w:val="24"/>
              </w:rPr>
            </w:pPr>
            <w:r>
              <w:rPr>
                <w:rFonts w:ascii="Times New Roman" w:eastAsia="Times New Roman" w:hAnsi="Times New Roman" w:cs="Times New Roman"/>
                <w:sz w:val="24"/>
                <w:szCs w:val="24"/>
              </w:rPr>
              <w:t>Credit</w:t>
            </w:r>
          </w:p>
        </w:tc>
        <w:tc>
          <w:tcPr>
            <w:tcW w:w="30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43E24B" w14:textId="77777777" w:rsidR="008F1753" w:rsidRDefault="00347BCE">
            <w:pPr>
              <w:widowControl w:val="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Description</w:t>
            </w:r>
          </w:p>
        </w:tc>
      </w:tr>
      <w:tr w:rsidR="008F1753" w14:paraId="4423EEAD" w14:textId="77777777">
        <w:trPr>
          <w:trHeight w:val="590"/>
        </w:trPr>
        <w:tc>
          <w:tcPr>
            <w:tcW w:w="24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F126BB"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9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6792E1"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7000</w:t>
            </w:r>
          </w:p>
        </w:tc>
        <w:tc>
          <w:tcPr>
            <w:tcW w:w="9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7A6507"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30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82AC97"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Opening Balance</w:t>
            </w:r>
          </w:p>
        </w:tc>
      </w:tr>
      <w:tr w:rsidR="008F1753" w14:paraId="781018CD" w14:textId="77777777">
        <w:trPr>
          <w:trHeight w:val="470"/>
        </w:trPr>
        <w:tc>
          <w:tcPr>
            <w:tcW w:w="24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884A2D"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Sep-04</w:t>
            </w:r>
          </w:p>
        </w:tc>
        <w:tc>
          <w:tcPr>
            <w:tcW w:w="9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926654"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800</w:t>
            </w:r>
          </w:p>
        </w:tc>
        <w:tc>
          <w:tcPr>
            <w:tcW w:w="9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6C9762"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30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F84F89"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Payment to Supplier</w:t>
            </w:r>
          </w:p>
        </w:tc>
      </w:tr>
      <w:tr w:rsidR="008F1753" w14:paraId="4E60DC98" w14:textId="77777777">
        <w:trPr>
          <w:trHeight w:val="545"/>
        </w:trPr>
        <w:tc>
          <w:tcPr>
            <w:tcW w:w="24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946F1B"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Sep-07</w:t>
            </w:r>
          </w:p>
        </w:tc>
        <w:tc>
          <w:tcPr>
            <w:tcW w:w="9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771164"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700</w:t>
            </w:r>
          </w:p>
        </w:tc>
        <w:tc>
          <w:tcPr>
            <w:tcW w:w="9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E2CDBE"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30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FBD680"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Payment for products</w:t>
            </w:r>
          </w:p>
        </w:tc>
      </w:tr>
      <w:tr w:rsidR="008F1753" w14:paraId="3FF0CA6A" w14:textId="77777777">
        <w:trPr>
          <w:trHeight w:val="545"/>
        </w:trPr>
        <w:tc>
          <w:tcPr>
            <w:tcW w:w="24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FB82DD"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Sep-08</w:t>
            </w:r>
          </w:p>
        </w:tc>
        <w:tc>
          <w:tcPr>
            <w:tcW w:w="9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D85BB5"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9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431FAB"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3000</w:t>
            </w:r>
          </w:p>
        </w:tc>
        <w:tc>
          <w:tcPr>
            <w:tcW w:w="30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22D922"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Receivable collection</w:t>
            </w:r>
          </w:p>
        </w:tc>
      </w:tr>
      <w:tr w:rsidR="008F1753" w14:paraId="5F079658" w14:textId="77777777">
        <w:trPr>
          <w:trHeight w:val="470"/>
        </w:trPr>
        <w:tc>
          <w:tcPr>
            <w:tcW w:w="24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920EEA"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Sep-18</w:t>
            </w:r>
          </w:p>
        </w:tc>
        <w:tc>
          <w:tcPr>
            <w:tcW w:w="9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52E8A5"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450</w:t>
            </w:r>
          </w:p>
        </w:tc>
        <w:tc>
          <w:tcPr>
            <w:tcW w:w="9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B3E047"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30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AFD191"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Pays insurance</w:t>
            </w:r>
          </w:p>
        </w:tc>
      </w:tr>
      <w:tr w:rsidR="008F1753" w14:paraId="053633F2" w14:textId="77777777">
        <w:trPr>
          <w:trHeight w:val="515"/>
        </w:trPr>
        <w:tc>
          <w:tcPr>
            <w:tcW w:w="24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1F92AC"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Sep-28</w:t>
            </w:r>
          </w:p>
        </w:tc>
        <w:tc>
          <w:tcPr>
            <w:tcW w:w="9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4AAF1E"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6000</w:t>
            </w:r>
          </w:p>
        </w:tc>
        <w:tc>
          <w:tcPr>
            <w:tcW w:w="9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2CFB8D"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30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BB0832"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Deposit from van sale</w:t>
            </w:r>
          </w:p>
        </w:tc>
      </w:tr>
      <w:tr w:rsidR="008F1753" w14:paraId="40F3DDFE" w14:textId="77777777">
        <w:trPr>
          <w:trHeight w:val="470"/>
        </w:trPr>
        <w:tc>
          <w:tcPr>
            <w:tcW w:w="24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736CDC"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Balance</w:t>
            </w:r>
          </w:p>
        </w:tc>
        <w:tc>
          <w:tcPr>
            <w:tcW w:w="9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23F243"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14950</w:t>
            </w:r>
          </w:p>
        </w:tc>
        <w:tc>
          <w:tcPr>
            <w:tcW w:w="9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11D2FA"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3000</w:t>
            </w:r>
          </w:p>
        </w:tc>
        <w:tc>
          <w:tcPr>
            <w:tcW w:w="30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D7841C"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r>
    </w:tbl>
    <w:p w14:paraId="66983F79" w14:textId="77777777" w:rsidR="008F1753" w:rsidRDefault="00347BC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 Bank balance account</w:t>
      </w:r>
    </w:p>
    <w:p w14:paraId="79C7FBDD" w14:textId="77777777" w:rsidR="008F1753" w:rsidRDefault="00347B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Sonia paid her staff's salaries in cash on September 25th in the amount of £800. This results in a decrease in cash and costs the company money. She sent a marketing firm £500 in cash on September 26 in exchange for their promotional services. This is a lo</w:t>
      </w:r>
      <w:r>
        <w:rPr>
          <w:rFonts w:ascii="Times New Roman" w:eastAsia="Times New Roman" w:hAnsi="Times New Roman" w:cs="Times New Roman"/>
          <w:sz w:val="24"/>
          <w:szCs w:val="24"/>
        </w:rPr>
        <w:t>ss of funds as well as an advertising expense. Sonia sold her used van for £8,000 on September 27th. The book value of the vehicle must be ascertained in order to compute the depreciation. A depreciation of £1,000 is required if the book value is £9,000. T</w:t>
      </w:r>
      <w:r>
        <w:rPr>
          <w:rFonts w:ascii="Times New Roman" w:eastAsia="Times New Roman" w:hAnsi="Times New Roman" w:cs="Times New Roman"/>
          <w:sz w:val="24"/>
          <w:szCs w:val="24"/>
        </w:rPr>
        <w:t>he amount of money received increases the balance in the bank. Sonia transferred £6,000 from the sale of the van into her company's bank account on September 28. Sonia must meticulously match debits and credits for each transaction in order to make sure th</w:t>
      </w:r>
      <w:r>
        <w:rPr>
          <w:rFonts w:ascii="Times New Roman" w:eastAsia="Times New Roman" w:hAnsi="Times New Roman" w:cs="Times New Roman"/>
          <w:sz w:val="24"/>
          <w:szCs w:val="24"/>
        </w:rPr>
        <w:t xml:space="preserve">at all ledger 'T' accounts are correctly balanced. </w:t>
      </w:r>
    </w:p>
    <w:tbl>
      <w:tblPr>
        <w:tblStyle w:val="a5"/>
        <w:tblW w:w="7350" w:type="dxa"/>
        <w:tblInd w:w="7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580"/>
        <w:gridCol w:w="945"/>
        <w:gridCol w:w="1050"/>
        <w:gridCol w:w="2775"/>
      </w:tblGrid>
      <w:tr w:rsidR="008F1753" w14:paraId="5F410FF8" w14:textId="77777777">
        <w:trPr>
          <w:trHeight w:val="435"/>
        </w:trPr>
        <w:tc>
          <w:tcPr>
            <w:tcW w:w="2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16579B"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Cash Balance Account</w:t>
            </w:r>
          </w:p>
        </w:tc>
        <w:tc>
          <w:tcPr>
            <w:tcW w:w="9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2B94C5"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10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F74401"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27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EF88632"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r>
      <w:tr w:rsidR="008F1753" w14:paraId="3FC8E25C" w14:textId="77777777">
        <w:trPr>
          <w:trHeight w:val="585"/>
        </w:trPr>
        <w:tc>
          <w:tcPr>
            <w:tcW w:w="2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0E74D5" w14:textId="77777777" w:rsidR="008F1753" w:rsidRDefault="00347BCE">
            <w:pPr>
              <w:widowControl w:val="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Date </w:t>
            </w:r>
          </w:p>
        </w:tc>
        <w:tc>
          <w:tcPr>
            <w:tcW w:w="9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A5041D" w14:textId="77777777" w:rsidR="008F1753" w:rsidRDefault="00347BCE">
            <w:pPr>
              <w:widowControl w:val="0"/>
              <w:rPr>
                <w:rFonts w:ascii="Times New Roman" w:eastAsia="Times New Roman" w:hAnsi="Times New Roman" w:cs="Times New Roman"/>
                <w:sz w:val="24"/>
                <w:szCs w:val="24"/>
              </w:rPr>
            </w:pPr>
            <w:r>
              <w:rPr>
                <w:rFonts w:ascii="Times New Roman" w:eastAsia="Times New Roman" w:hAnsi="Times New Roman" w:cs="Times New Roman"/>
                <w:sz w:val="24"/>
                <w:szCs w:val="24"/>
              </w:rPr>
              <w:t>Debit</w:t>
            </w:r>
          </w:p>
        </w:tc>
        <w:tc>
          <w:tcPr>
            <w:tcW w:w="10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9BCC97" w14:textId="77777777" w:rsidR="008F1753" w:rsidRDefault="00347BCE">
            <w:pPr>
              <w:widowControl w:val="0"/>
              <w:rPr>
                <w:rFonts w:ascii="Times New Roman" w:eastAsia="Times New Roman" w:hAnsi="Times New Roman" w:cs="Times New Roman"/>
                <w:sz w:val="24"/>
                <w:szCs w:val="24"/>
              </w:rPr>
            </w:pPr>
            <w:r>
              <w:rPr>
                <w:rFonts w:ascii="Times New Roman" w:eastAsia="Times New Roman" w:hAnsi="Times New Roman" w:cs="Times New Roman"/>
                <w:sz w:val="24"/>
                <w:szCs w:val="24"/>
              </w:rPr>
              <w:t>Credit</w:t>
            </w:r>
          </w:p>
        </w:tc>
        <w:tc>
          <w:tcPr>
            <w:tcW w:w="27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0480AA" w14:textId="77777777" w:rsidR="008F1753" w:rsidRDefault="00347BCE">
            <w:pPr>
              <w:widowControl w:val="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Description</w:t>
            </w:r>
          </w:p>
        </w:tc>
      </w:tr>
      <w:tr w:rsidR="008F1753" w14:paraId="475BB238" w14:textId="77777777">
        <w:trPr>
          <w:trHeight w:val="470"/>
        </w:trPr>
        <w:tc>
          <w:tcPr>
            <w:tcW w:w="2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A0ACC8"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9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112176"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300</w:t>
            </w:r>
          </w:p>
        </w:tc>
        <w:tc>
          <w:tcPr>
            <w:tcW w:w="10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3D9D89"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27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D1594D"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Opening Balance</w:t>
            </w:r>
          </w:p>
        </w:tc>
      </w:tr>
      <w:tr w:rsidR="008F1753" w14:paraId="5337CDCD" w14:textId="77777777">
        <w:trPr>
          <w:trHeight w:val="470"/>
        </w:trPr>
        <w:tc>
          <w:tcPr>
            <w:tcW w:w="2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D0E09E"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Sep-11</w:t>
            </w:r>
          </w:p>
        </w:tc>
        <w:tc>
          <w:tcPr>
            <w:tcW w:w="9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45D1CF"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350</w:t>
            </w:r>
          </w:p>
        </w:tc>
        <w:tc>
          <w:tcPr>
            <w:tcW w:w="10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8EC5D1"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27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47D80B"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Petrol purchase</w:t>
            </w:r>
          </w:p>
        </w:tc>
      </w:tr>
      <w:tr w:rsidR="008F1753" w14:paraId="238BCF7B" w14:textId="77777777">
        <w:trPr>
          <w:trHeight w:val="470"/>
        </w:trPr>
        <w:tc>
          <w:tcPr>
            <w:tcW w:w="2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DF06F8"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Sep-03</w:t>
            </w:r>
          </w:p>
        </w:tc>
        <w:tc>
          <w:tcPr>
            <w:tcW w:w="9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1B153C"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c>
          <w:tcPr>
            <w:tcW w:w="10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0A8107"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27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04C87B"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Purchased a computer</w:t>
            </w:r>
          </w:p>
        </w:tc>
      </w:tr>
      <w:tr w:rsidR="008F1753" w14:paraId="5376C751" w14:textId="77777777">
        <w:trPr>
          <w:trHeight w:val="470"/>
        </w:trPr>
        <w:tc>
          <w:tcPr>
            <w:tcW w:w="2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A36F62"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Sep-25</w:t>
            </w:r>
          </w:p>
        </w:tc>
        <w:tc>
          <w:tcPr>
            <w:tcW w:w="9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F4EA4E"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800</w:t>
            </w:r>
          </w:p>
        </w:tc>
        <w:tc>
          <w:tcPr>
            <w:tcW w:w="10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CD74CC"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27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06945E"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Wages</w:t>
            </w:r>
          </w:p>
        </w:tc>
      </w:tr>
      <w:tr w:rsidR="008F1753" w14:paraId="5F14A775" w14:textId="77777777">
        <w:trPr>
          <w:trHeight w:val="470"/>
        </w:trPr>
        <w:tc>
          <w:tcPr>
            <w:tcW w:w="2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C9614B"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Sep-26</w:t>
            </w:r>
          </w:p>
        </w:tc>
        <w:tc>
          <w:tcPr>
            <w:tcW w:w="9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A63F2E"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10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D2A5BF"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27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2D68A6"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Advertisement payment</w:t>
            </w:r>
          </w:p>
        </w:tc>
      </w:tr>
      <w:tr w:rsidR="008F1753" w14:paraId="2AA37BE8" w14:textId="77777777">
        <w:trPr>
          <w:trHeight w:val="470"/>
        </w:trPr>
        <w:tc>
          <w:tcPr>
            <w:tcW w:w="2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6916C9"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Sep-30</w:t>
            </w:r>
          </w:p>
        </w:tc>
        <w:tc>
          <w:tcPr>
            <w:tcW w:w="9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9BEA58"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10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7A1D32"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1200</w:t>
            </w:r>
          </w:p>
        </w:tc>
        <w:tc>
          <w:tcPr>
            <w:tcW w:w="27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BEB7F1"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Personal withdrawal</w:t>
            </w:r>
          </w:p>
        </w:tc>
      </w:tr>
      <w:tr w:rsidR="008F1753" w14:paraId="6D645CA5" w14:textId="77777777">
        <w:trPr>
          <w:trHeight w:val="470"/>
        </w:trPr>
        <w:tc>
          <w:tcPr>
            <w:tcW w:w="2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D54793"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Balance</w:t>
            </w:r>
          </w:p>
        </w:tc>
        <w:tc>
          <w:tcPr>
            <w:tcW w:w="9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27B980"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2950</w:t>
            </w:r>
          </w:p>
        </w:tc>
        <w:tc>
          <w:tcPr>
            <w:tcW w:w="10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04614D"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1200</w:t>
            </w:r>
          </w:p>
        </w:tc>
        <w:tc>
          <w:tcPr>
            <w:tcW w:w="27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15C646"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r>
    </w:tbl>
    <w:p w14:paraId="3E431164" w14:textId="77777777" w:rsidR="008F1753" w:rsidRDefault="00347BC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4: Cash account</w:t>
      </w:r>
    </w:p>
    <w:p w14:paraId="2DFEEF16" w14:textId="77777777" w:rsidR="008F1753" w:rsidRDefault="00347B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Maintaining financial correctness and making sure the books of accounts are in harmony both depend on the ledger accounts being balanced. The ledger accounts can be balanced and </w:t>
      </w:r>
      <w:r>
        <w:rPr>
          <w:rFonts w:ascii="Times New Roman" w:eastAsia="Times New Roman" w:hAnsi="Times New Roman" w:cs="Times New Roman"/>
          <w:sz w:val="24"/>
          <w:szCs w:val="24"/>
        </w:rPr>
        <w:t xml:space="preserve">closed off for the month of September if all transactions have been appropriately documented. To do this, subtract the debit and credit columns' values, add them together, and then record the total as "Balance carried down" (b/d) or "Balance brought down" </w:t>
      </w:r>
      <w:r>
        <w:rPr>
          <w:rFonts w:ascii="Times New Roman" w:eastAsia="Times New Roman" w:hAnsi="Times New Roman" w:cs="Times New Roman"/>
          <w:sz w:val="24"/>
          <w:szCs w:val="24"/>
        </w:rPr>
        <w:t>(c/d) in the relevant ledger accounts (</w:t>
      </w:r>
      <w:proofErr w:type="spellStart"/>
      <w:r>
        <w:rPr>
          <w:rFonts w:ascii="Times New Roman" w:eastAsia="Times New Roman" w:hAnsi="Times New Roman" w:cs="Times New Roman"/>
          <w:sz w:val="24"/>
          <w:szCs w:val="24"/>
        </w:rPr>
        <w:t>Kitsantas</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Chytis</w:t>
      </w:r>
      <w:proofErr w:type="spellEnd"/>
      <w:r>
        <w:rPr>
          <w:rFonts w:ascii="Times New Roman" w:eastAsia="Times New Roman" w:hAnsi="Times New Roman" w:cs="Times New Roman"/>
          <w:sz w:val="24"/>
          <w:szCs w:val="24"/>
        </w:rPr>
        <w:t xml:space="preserve">, 2022). At the end of September, Sonia can create a trial balance—a list of the ledger account balances—from these balanced ledger accounts. </w:t>
      </w:r>
    </w:p>
    <w:tbl>
      <w:tblPr>
        <w:tblStyle w:val="a6"/>
        <w:tblW w:w="7140" w:type="dxa"/>
        <w:tblInd w:w="10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310"/>
        <w:gridCol w:w="1245"/>
        <w:gridCol w:w="1230"/>
        <w:gridCol w:w="2355"/>
      </w:tblGrid>
      <w:tr w:rsidR="008F1753" w14:paraId="7FF16CE2" w14:textId="77777777">
        <w:trPr>
          <w:trHeight w:val="470"/>
        </w:trPr>
        <w:tc>
          <w:tcPr>
            <w:tcW w:w="23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26FCF4"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Receivables Account</w:t>
            </w:r>
          </w:p>
        </w:tc>
        <w:tc>
          <w:tcPr>
            <w:tcW w:w="12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C2EDEF"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12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2EED1A"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23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4ABAE9"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r>
      <w:tr w:rsidR="008F1753" w14:paraId="5096F4EC" w14:textId="77777777">
        <w:trPr>
          <w:trHeight w:val="470"/>
        </w:trPr>
        <w:tc>
          <w:tcPr>
            <w:tcW w:w="23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EB1E0C" w14:textId="77777777" w:rsidR="008F1753" w:rsidRDefault="00347BCE">
            <w:pPr>
              <w:widowControl w:val="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Date </w:t>
            </w:r>
          </w:p>
        </w:tc>
        <w:tc>
          <w:tcPr>
            <w:tcW w:w="12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ECAD9E" w14:textId="77777777" w:rsidR="008F1753" w:rsidRDefault="00347BCE">
            <w:pPr>
              <w:widowControl w:val="0"/>
              <w:rPr>
                <w:rFonts w:ascii="Times New Roman" w:eastAsia="Times New Roman" w:hAnsi="Times New Roman" w:cs="Times New Roman"/>
                <w:sz w:val="24"/>
                <w:szCs w:val="24"/>
              </w:rPr>
            </w:pPr>
            <w:r>
              <w:rPr>
                <w:rFonts w:ascii="Times New Roman" w:eastAsia="Times New Roman" w:hAnsi="Times New Roman" w:cs="Times New Roman"/>
                <w:sz w:val="24"/>
                <w:szCs w:val="24"/>
              </w:rPr>
              <w:t>Debit</w:t>
            </w:r>
          </w:p>
        </w:tc>
        <w:tc>
          <w:tcPr>
            <w:tcW w:w="12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CD5898" w14:textId="77777777" w:rsidR="008F1753" w:rsidRDefault="00347BCE">
            <w:pPr>
              <w:widowControl w:val="0"/>
              <w:rPr>
                <w:rFonts w:ascii="Times New Roman" w:eastAsia="Times New Roman" w:hAnsi="Times New Roman" w:cs="Times New Roman"/>
                <w:sz w:val="24"/>
                <w:szCs w:val="24"/>
              </w:rPr>
            </w:pPr>
            <w:r>
              <w:rPr>
                <w:rFonts w:ascii="Times New Roman" w:eastAsia="Times New Roman" w:hAnsi="Times New Roman" w:cs="Times New Roman"/>
                <w:sz w:val="24"/>
                <w:szCs w:val="24"/>
              </w:rPr>
              <w:t>Credit</w:t>
            </w:r>
          </w:p>
        </w:tc>
        <w:tc>
          <w:tcPr>
            <w:tcW w:w="23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CCA307" w14:textId="77777777" w:rsidR="008F1753" w:rsidRDefault="00347BCE">
            <w:pPr>
              <w:widowControl w:val="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Description</w:t>
            </w:r>
          </w:p>
        </w:tc>
      </w:tr>
      <w:tr w:rsidR="008F1753" w14:paraId="15BCFF42" w14:textId="77777777">
        <w:trPr>
          <w:trHeight w:val="590"/>
        </w:trPr>
        <w:tc>
          <w:tcPr>
            <w:tcW w:w="23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3ED01C"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12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C29BDC"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5000</w:t>
            </w:r>
          </w:p>
        </w:tc>
        <w:tc>
          <w:tcPr>
            <w:tcW w:w="12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E23105"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23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7F6E73"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Opening Balance</w:t>
            </w:r>
          </w:p>
        </w:tc>
      </w:tr>
      <w:tr w:rsidR="008F1753" w14:paraId="2B629EB8" w14:textId="77777777">
        <w:trPr>
          <w:trHeight w:val="470"/>
        </w:trPr>
        <w:tc>
          <w:tcPr>
            <w:tcW w:w="23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99336A"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Sep-15</w:t>
            </w:r>
          </w:p>
        </w:tc>
        <w:tc>
          <w:tcPr>
            <w:tcW w:w="12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5611F9"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2600</w:t>
            </w:r>
          </w:p>
        </w:tc>
        <w:tc>
          <w:tcPr>
            <w:tcW w:w="12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FC343B"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23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6C8CCE"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Cash received</w:t>
            </w:r>
          </w:p>
        </w:tc>
      </w:tr>
      <w:tr w:rsidR="008F1753" w14:paraId="4EA4E6C7" w14:textId="77777777">
        <w:trPr>
          <w:trHeight w:val="470"/>
        </w:trPr>
        <w:tc>
          <w:tcPr>
            <w:tcW w:w="23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6FB132"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Balance</w:t>
            </w:r>
          </w:p>
        </w:tc>
        <w:tc>
          <w:tcPr>
            <w:tcW w:w="12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ED6F0E"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7600</w:t>
            </w:r>
          </w:p>
        </w:tc>
        <w:tc>
          <w:tcPr>
            <w:tcW w:w="12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CA4627"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23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F211E2"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r>
      <w:tr w:rsidR="008F1753" w14:paraId="7B6BDFA3" w14:textId="77777777">
        <w:trPr>
          <w:trHeight w:val="470"/>
        </w:trPr>
        <w:tc>
          <w:tcPr>
            <w:tcW w:w="23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363005"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Payables Account</w:t>
            </w:r>
          </w:p>
        </w:tc>
        <w:tc>
          <w:tcPr>
            <w:tcW w:w="12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DCED7B"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12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8F7455"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23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6EA2E4"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r>
      <w:tr w:rsidR="008F1753" w14:paraId="39BFAD10" w14:textId="77777777">
        <w:trPr>
          <w:trHeight w:val="470"/>
        </w:trPr>
        <w:tc>
          <w:tcPr>
            <w:tcW w:w="23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6F761C"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12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1300C9"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12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121F86"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2,000</w:t>
            </w:r>
          </w:p>
        </w:tc>
        <w:tc>
          <w:tcPr>
            <w:tcW w:w="23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501EF0"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Opening Balance</w:t>
            </w:r>
          </w:p>
        </w:tc>
      </w:tr>
      <w:tr w:rsidR="008F1753" w14:paraId="2EE2C7EE" w14:textId="77777777">
        <w:trPr>
          <w:trHeight w:val="755"/>
        </w:trPr>
        <w:tc>
          <w:tcPr>
            <w:tcW w:w="23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5F0A6B"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Sep-20</w:t>
            </w:r>
          </w:p>
        </w:tc>
        <w:tc>
          <w:tcPr>
            <w:tcW w:w="12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1F68EA"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12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089BC5"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1200</w:t>
            </w:r>
          </w:p>
        </w:tc>
        <w:tc>
          <w:tcPr>
            <w:tcW w:w="23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4CA857"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Products purchased on credit</w:t>
            </w:r>
          </w:p>
        </w:tc>
      </w:tr>
      <w:tr w:rsidR="008F1753" w14:paraId="4AFFF224" w14:textId="77777777">
        <w:trPr>
          <w:trHeight w:val="470"/>
        </w:trPr>
        <w:tc>
          <w:tcPr>
            <w:tcW w:w="23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1CC363"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Sep-30</w:t>
            </w:r>
          </w:p>
        </w:tc>
        <w:tc>
          <w:tcPr>
            <w:tcW w:w="12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809A35"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1200</w:t>
            </w:r>
          </w:p>
        </w:tc>
        <w:tc>
          <w:tcPr>
            <w:tcW w:w="12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A8DD03"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c>
          <w:tcPr>
            <w:tcW w:w="23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339C4D"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Payment on credit</w:t>
            </w:r>
          </w:p>
        </w:tc>
      </w:tr>
      <w:tr w:rsidR="008F1753" w14:paraId="6937D99D" w14:textId="77777777">
        <w:trPr>
          <w:trHeight w:val="470"/>
        </w:trPr>
        <w:tc>
          <w:tcPr>
            <w:tcW w:w="23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F92372"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Balance</w:t>
            </w:r>
          </w:p>
        </w:tc>
        <w:tc>
          <w:tcPr>
            <w:tcW w:w="12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D1BA7D"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1200</w:t>
            </w:r>
          </w:p>
        </w:tc>
        <w:tc>
          <w:tcPr>
            <w:tcW w:w="12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EBFA5F" w14:textId="77777777" w:rsidR="008F1753" w:rsidRDefault="00347BCE">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3200</w:t>
            </w:r>
          </w:p>
        </w:tc>
        <w:tc>
          <w:tcPr>
            <w:tcW w:w="23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F0C164" w14:textId="77777777" w:rsidR="008F1753" w:rsidRDefault="008F1753">
            <w:pPr>
              <w:widowControl w:val="0"/>
              <w:pBdr>
                <w:top w:val="nil"/>
                <w:left w:val="nil"/>
                <w:bottom w:val="nil"/>
                <w:right w:val="nil"/>
                <w:between w:val="nil"/>
              </w:pBdr>
              <w:rPr>
                <w:rFonts w:ascii="Times New Roman" w:eastAsia="Times New Roman" w:hAnsi="Times New Roman" w:cs="Times New Roman"/>
                <w:sz w:val="24"/>
                <w:szCs w:val="24"/>
              </w:rPr>
            </w:pPr>
          </w:p>
        </w:tc>
      </w:tr>
    </w:tbl>
    <w:p w14:paraId="1EA45666" w14:textId="77777777" w:rsidR="008F1753" w:rsidRDefault="00347BC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Table 5: Payables and receivables account</w:t>
      </w:r>
    </w:p>
    <w:p w14:paraId="219342ED" w14:textId="77777777" w:rsidR="008F1753" w:rsidRDefault="00347B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 xml:space="preserve">critical step in confirming the correctness of the accounting records is to make sure that the sum of the debit balances and the credit balances is equal. The financial transactions of Sonia's company are precisely recorded, balanced, and shown in a trial </w:t>
      </w:r>
      <w:r>
        <w:rPr>
          <w:rFonts w:ascii="Times New Roman" w:eastAsia="Times New Roman" w:hAnsi="Times New Roman" w:cs="Times New Roman"/>
          <w:sz w:val="24"/>
          <w:szCs w:val="24"/>
        </w:rPr>
        <w:t>balance at the end of September thanks to her use of double-entry bookkeeping (</w:t>
      </w:r>
      <w:proofErr w:type="spellStart"/>
      <w:r>
        <w:rPr>
          <w:rFonts w:ascii="Times New Roman" w:eastAsia="Times New Roman" w:hAnsi="Times New Roman" w:cs="Times New Roman"/>
          <w:sz w:val="24"/>
          <w:szCs w:val="24"/>
        </w:rPr>
        <w:t>Sanoran</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Ruangprapun</w:t>
      </w:r>
      <w:proofErr w:type="spellEnd"/>
      <w:r>
        <w:rPr>
          <w:rFonts w:ascii="Times New Roman" w:eastAsia="Times New Roman" w:hAnsi="Times New Roman" w:cs="Times New Roman"/>
          <w:sz w:val="24"/>
          <w:szCs w:val="24"/>
        </w:rPr>
        <w:t>, 2023). She can use this approach to keep an eye on the financial health of her company, make wise decisions, and get ready for upcoming financial statemen</w:t>
      </w:r>
      <w:r>
        <w:rPr>
          <w:rFonts w:ascii="Times New Roman" w:eastAsia="Times New Roman" w:hAnsi="Times New Roman" w:cs="Times New Roman"/>
          <w:sz w:val="24"/>
          <w:szCs w:val="24"/>
        </w:rPr>
        <w:t>ts and reports.</w:t>
      </w:r>
    </w:p>
    <w:p w14:paraId="297B3698" w14:textId="77777777" w:rsidR="008F1753" w:rsidRDefault="00347BCE" w:rsidP="00960D53">
      <w:pPr>
        <w:pStyle w:val="Heading1"/>
      </w:pPr>
      <w:bookmarkStart w:id="3" w:name="_Toc148041707"/>
      <w:r>
        <w:t>Task 3</w:t>
      </w:r>
      <w:bookmarkEnd w:id="3"/>
    </w:p>
    <w:p w14:paraId="76EA3D68" w14:textId="77777777" w:rsidR="008F1753" w:rsidRDefault="00347B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Businesses utilise double-entry accounting as a key financial recording approach to keep precise and comprehensive financial records. The idea is founded on the idea that every financial transaction affects a company's assets, liabil</w:t>
      </w:r>
      <w:r>
        <w:rPr>
          <w:rFonts w:ascii="Times New Roman" w:eastAsia="Times New Roman" w:hAnsi="Times New Roman" w:cs="Times New Roman"/>
          <w:sz w:val="24"/>
          <w:szCs w:val="24"/>
        </w:rPr>
        <w:t>ities, and owner equity in equal and opposing ways. Each transaction is recorded as a debit (increase) and a credit (reduction) in at least two different accounts. Assets = Liabilities + Owner's Equity is the accounting formula that is maintained in double</w:t>
      </w:r>
      <w:r>
        <w:rPr>
          <w:rFonts w:ascii="Times New Roman" w:eastAsia="Times New Roman" w:hAnsi="Times New Roman" w:cs="Times New Roman"/>
          <w:sz w:val="24"/>
          <w:szCs w:val="24"/>
        </w:rPr>
        <w:t>-entry accounting. There must be a comparable credit entry in another account for each debit entry made to an account (</w:t>
      </w:r>
      <w:proofErr w:type="spellStart"/>
      <w:r>
        <w:rPr>
          <w:rFonts w:ascii="Times New Roman" w:eastAsia="Times New Roman" w:hAnsi="Times New Roman" w:cs="Times New Roman"/>
          <w:sz w:val="24"/>
          <w:szCs w:val="24"/>
        </w:rPr>
        <w:t>Dechsupa</w:t>
      </w:r>
      <w:proofErr w:type="spellEnd"/>
      <w:r>
        <w:rPr>
          <w:rFonts w:ascii="Times New Roman" w:eastAsia="Times New Roman" w:hAnsi="Times New Roman" w:cs="Times New Roman"/>
          <w:sz w:val="24"/>
          <w:szCs w:val="24"/>
        </w:rPr>
        <w:t xml:space="preserve"> et al., 2021). By doing so, the equation is kept in balance and the financial statements reflect the company's financial situati</w:t>
      </w:r>
      <w:r>
        <w:rPr>
          <w:rFonts w:ascii="Times New Roman" w:eastAsia="Times New Roman" w:hAnsi="Times New Roman" w:cs="Times New Roman"/>
          <w:sz w:val="24"/>
          <w:szCs w:val="24"/>
        </w:rPr>
        <w:t>on truthfully. It ensures that the total assets equal the owner's equity, for instance, when a business starts with an initial investment of £70,000 (a debit to the bank account and a credit to owner's equity). Double-entry accounting offers a structured a</w:t>
      </w:r>
      <w:r>
        <w:rPr>
          <w:rFonts w:ascii="Times New Roman" w:eastAsia="Times New Roman" w:hAnsi="Times New Roman" w:cs="Times New Roman"/>
          <w:sz w:val="24"/>
          <w:szCs w:val="24"/>
        </w:rPr>
        <w:t>nd trustworthy way to monitor a company's financial activity, enabling precise financial reporting and decision-making.</w:t>
      </w:r>
    </w:p>
    <w:p w14:paraId="1342B6F8" w14:textId="77777777" w:rsidR="008F1753" w:rsidRDefault="00347B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Double entry accounting is used at Jenny Hotpoint's salon business to keep precise financial records. With £70,000 as her initial </w:t>
      </w:r>
      <w:r>
        <w:rPr>
          <w:rFonts w:ascii="Times New Roman" w:eastAsia="Times New Roman" w:hAnsi="Times New Roman" w:cs="Times New Roman"/>
          <w:sz w:val="24"/>
          <w:szCs w:val="24"/>
        </w:rPr>
        <w:t>investment, she raised both the capital (equity) and the bank account's asset (debit). Dual entries are used to record subsequent transactions, such as buying furniture and equipment, which have an impact on the corresponding asset, liability, or equity ac</w:t>
      </w:r>
      <w:r>
        <w:rPr>
          <w:rFonts w:ascii="Times New Roman" w:eastAsia="Times New Roman" w:hAnsi="Times New Roman" w:cs="Times New Roman"/>
          <w:sz w:val="24"/>
          <w:szCs w:val="24"/>
        </w:rPr>
        <w:t>counts (</w:t>
      </w:r>
      <w:proofErr w:type="spellStart"/>
      <w:r>
        <w:rPr>
          <w:rFonts w:ascii="Times New Roman" w:eastAsia="Times New Roman" w:hAnsi="Times New Roman" w:cs="Times New Roman"/>
          <w:sz w:val="24"/>
          <w:szCs w:val="24"/>
        </w:rPr>
        <w:t>Bakumenko</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Elragal</w:t>
      </w:r>
      <w:proofErr w:type="spellEnd"/>
      <w:r>
        <w:rPr>
          <w:rFonts w:ascii="Times New Roman" w:eastAsia="Times New Roman" w:hAnsi="Times New Roman" w:cs="Times New Roman"/>
          <w:sz w:val="24"/>
          <w:szCs w:val="24"/>
        </w:rPr>
        <w:t>, 2022). For instance, the credit purchase of hairstyling products raises liabilities and assets, respectively, in inventories and accounts payable. Jenny took out £250 for personal use, which resulted in an increase in withdrawa</w:t>
      </w:r>
      <w:r>
        <w:rPr>
          <w:rFonts w:ascii="Times New Roman" w:eastAsia="Times New Roman" w:hAnsi="Times New Roman" w:cs="Times New Roman"/>
          <w:sz w:val="24"/>
          <w:szCs w:val="24"/>
        </w:rPr>
        <w:t>ls (contra-equity) and a drop in the asset (bank account) (credit). Every financial transaction is handled with the same methodical methodology, giving a complete and accurate picture of the company's financial situation.</w:t>
      </w:r>
    </w:p>
    <w:p w14:paraId="0ED24A70" w14:textId="55A44351" w:rsidR="008F1753" w:rsidRPr="00960D53" w:rsidRDefault="00347B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Double-entry accounting has a long</w:t>
      </w:r>
      <w:r>
        <w:rPr>
          <w:rFonts w:ascii="Times New Roman" w:eastAsia="Times New Roman" w:hAnsi="Times New Roman" w:cs="Times New Roman"/>
          <w:sz w:val="24"/>
          <w:szCs w:val="24"/>
        </w:rPr>
        <w:t xml:space="preserve"> history and was first defined in the 15th century by Italian mathematician Luca </w:t>
      </w:r>
      <w:proofErr w:type="spellStart"/>
      <w:r>
        <w:rPr>
          <w:rFonts w:ascii="Times New Roman" w:eastAsia="Times New Roman" w:hAnsi="Times New Roman" w:cs="Times New Roman"/>
          <w:sz w:val="24"/>
          <w:szCs w:val="24"/>
        </w:rPr>
        <w:t>Pacioli</w:t>
      </w:r>
      <w:proofErr w:type="spellEnd"/>
      <w:r>
        <w:rPr>
          <w:rFonts w:ascii="Times New Roman" w:eastAsia="Times New Roman" w:hAnsi="Times New Roman" w:cs="Times New Roman"/>
          <w:sz w:val="24"/>
          <w:szCs w:val="24"/>
        </w:rPr>
        <w:t>. Simple record-keeping techniques utilised by ancient civilizations gave way to the system's contemporary, organised form (</w:t>
      </w:r>
      <w:proofErr w:type="spellStart"/>
      <w:r>
        <w:rPr>
          <w:rFonts w:ascii="Times New Roman" w:eastAsia="Times New Roman" w:hAnsi="Times New Roman" w:cs="Times New Roman"/>
          <w:sz w:val="24"/>
          <w:szCs w:val="24"/>
        </w:rPr>
        <w:t>Abdennadher</w:t>
      </w:r>
      <w:proofErr w:type="spellEnd"/>
      <w:r>
        <w:rPr>
          <w:rFonts w:ascii="Times New Roman" w:eastAsia="Times New Roman" w:hAnsi="Times New Roman" w:cs="Times New Roman"/>
          <w:sz w:val="24"/>
          <w:szCs w:val="24"/>
        </w:rPr>
        <w:t xml:space="preserve"> et al., 2022). Double entry firs</w:t>
      </w:r>
      <w:r>
        <w:rPr>
          <w:rFonts w:ascii="Times New Roman" w:eastAsia="Times New Roman" w:hAnsi="Times New Roman" w:cs="Times New Roman"/>
          <w:sz w:val="24"/>
          <w:szCs w:val="24"/>
        </w:rPr>
        <w:t>t benefited Italian business owners, but it eventually expanded throughout the rest of Europe. It developed into a custom throughout the years and gained acceptance for its dependability and precision. Double-entry accounting moved from manual ledgers to d</w:t>
      </w:r>
      <w:r>
        <w:rPr>
          <w:rFonts w:ascii="Times New Roman" w:eastAsia="Times New Roman" w:hAnsi="Times New Roman" w:cs="Times New Roman"/>
          <w:sz w:val="24"/>
          <w:szCs w:val="24"/>
        </w:rPr>
        <w:t xml:space="preserve">igital platforms with the introduction of computers and software, increasing its efficiency and usability. It now serves as the foundation for financial reporting and regulation, promoting responsibility and openness in the financial sector. </w:t>
      </w:r>
    </w:p>
    <w:p w14:paraId="027F2178" w14:textId="3A0F1341" w:rsidR="009034F6" w:rsidRPr="009034F6" w:rsidRDefault="00347BCE" w:rsidP="00960D53">
      <w:pPr>
        <w:pStyle w:val="Heading1"/>
      </w:pPr>
      <w:bookmarkStart w:id="4" w:name="_Toc148041708"/>
      <w:r>
        <w:t>References</w:t>
      </w:r>
      <w:bookmarkEnd w:id="4"/>
    </w:p>
    <w:p w14:paraId="6233A8C5" w14:textId="77777777" w:rsidR="009034F6" w:rsidRDefault="009034F6" w:rsidP="009034F6">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Abdennadher</w:t>
      </w:r>
      <w:proofErr w:type="spellEnd"/>
      <w:r>
        <w:rPr>
          <w:rFonts w:ascii="Times New Roman" w:eastAsia="Times New Roman" w:hAnsi="Times New Roman" w:cs="Times New Roman"/>
          <w:sz w:val="24"/>
          <w:szCs w:val="24"/>
        </w:rPr>
        <w:t xml:space="preserve">, S., Grassa, R., Abdulla, H., &amp; </w:t>
      </w:r>
      <w:proofErr w:type="spellStart"/>
      <w:r>
        <w:rPr>
          <w:rFonts w:ascii="Times New Roman" w:eastAsia="Times New Roman" w:hAnsi="Times New Roman" w:cs="Times New Roman"/>
          <w:sz w:val="24"/>
          <w:szCs w:val="24"/>
        </w:rPr>
        <w:t>Alfalasi</w:t>
      </w:r>
      <w:proofErr w:type="spellEnd"/>
      <w:r>
        <w:rPr>
          <w:rFonts w:ascii="Times New Roman" w:eastAsia="Times New Roman" w:hAnsi="Times New Roman" w:cs="Times New Roman"/>
          <w:sz w:val="24"/>
          <w:szCs w:val="24"/>
        </w:rPr>
        <w:t xml:space="preserve">, A. (2022). The effects of blockchain technology on the accounting and assurance profession in the UAE: An exploratory study. Journal of Financial Reporting and Accounting, 20(1), 53-71. </w:t>
      </w:r>
      <w:proofErr w:type="spell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://doi.org/10.1108/JFRA-05-2020-0151</w:t>
      </w:r>
    </w:p>
    <w:p w14:paraId="72DE85E7" w14:textId="77777777" w:rsidR="009034F6" w:rsidRDefault="009034F6" w:rsidP="009034F6">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Bakumenko</w:t>
      </w:r>
      <w:proofErr w:type="spellEnd"/>
      <w:r>
        <w:rPr>
          <w:rFonts w:ascii="Times New Roman" w:eastAsia="Times New Roman" w:hAnsi="Times New Roman" w:cs="Times New Roman"/>
          <w:sz w:val="24"/>
          <w:szCs w:val="24"/>
        </w:rPr>
        <w:t xml:space="preserve">, A., &amp; </w:t>
      </w:r>
      <w:proofErr w:type="spellStart"/>
      <w:r>
        <w:rPr>
          <w:rFonts w:ascii="Times New Roman" w:eastAsia="Times New Roman" w:hAnsi="Times New Roman" w:cs="Times New Roman"/>
          <w:sz w:val="24"/>
          <w:szCs w:val="24"/>
        </w:rPr>
        <w:t>Elragal</w:t>
      </w:r>
      <w:proofErr w:type="spellEnd"/>
      <w:r>
        <w:rPr>
          <w:rFonts w:ascii="Times New Roman" w:eastAsia="Times New Roman" w:hAnsi="Times New Roman" w:cs="Times New Roman"/>
          <w:sz w:val="24"/>
          <w:szCs w:val="24"/>
        </w:rPr>
        <w:t xml:space="preserve">, A. (2022). Detecting anomalies in financial data using machine learning algorithms. Systems, 10(5), 130. </w:t>
      </w:r>
      <w:proofErr w:type="spell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://doi.org/10.3390/systems10050130</w:t>
      </w:r>
    </w:p>
    <w:p w14:paraId="5DC3D4D2" w14:textId="77777777" w:rsidR="009034F6" w:rsidRDefault="009034F6" w:rsidP="009034F6">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Dechsupa</w:t>
      </w:r>
      <w:proofErr w:type="spellEnd"/>
      <w:r>
        <w:rPr>
          <w:rFonts w:ascii="Times New Roman" w:eastAsia="Times New Roman" w:hAnsi="Times New Roman" w:cs="Times New Roman"/>
          <w:sz w:val="24"/>
          <w:szCs w:val="24"/>
        </w:rPr>
        <w:t xml:space="preserve">, C., </w:t>
      </w:r>
      <w:proofErr w:type="spellStart"/>
      <w:r>
        <w:rPr>
          <w:rFonts w:ascii="Times New Roman" w:eastAsia="Times New Roman" w:hAnsi="Times New Roman" w:cs="Times New Roman"/>
          <w:sz w:val="24"/>
          <w:szCs w:val="24"/>
        </w:rPr>
        <w:t>Vatanawood</w:t>
      </w:r>
      <w:proofErr w:type="spellEnd"/>
      <w:r>
        <w:rPr>
          <w:rFonts w:ascii="Times New Roman" w:eastAsia="Times New Roman" w:hAnsi="Times New Roman" w:cs="Times New Roman"/>
          <w:sz w:val="24"/>
          <w:szCs w:val="24"/>
        </w:rPr>
        <w:t xml:space="preserve">, W., </w:t>
      </w:r>
      <w:proofErr w:type="spellStart"/>
      <w:r>
        <w:rPr>
          <w:rFonts w:ascii="Times New Roman" w:eastAsia="Times New Roman" w:hAnsi="Times New Roman" w:cs="Times New Roman"/>
          <w:sz w:val="24"/>
          <w:szCs w:val="24"/>
        </w:rPr>
        <w:t>Poolsawasdi</w:t>
      </w:r>
      <w:proofErr w:type="spellEnd"/>
      <w:r>
        <w:rPr>
          <w:rFonts w:ascii="Times New Roman" w:eastAsia="Times New Roman" w:hAnsi="Times New Roman" w:cs="Times New Roman"/>
          <w:sz w:val="24"/>
          <w:szCs w:val="24"/>
        </w:rPr>
        <w:t xml:space="preserve">, W., &amp; </w:t>
      </w:r>
      <w:proofErr w:type="spellStart"/>
      <w:r>
        <w:rPr>
          <w:rFonts w:ascii="Times New Roman" w:eastAsia="Times New Roman" w:hAnsi="Times New Roman" w:cs="Times New Roman"/>
          <w:sz w:val="24"/>
          <w:szCs w:val="24"/>
        </w:rPr>
        <w:t>Thongtak</w:t>
      </w:r>
      <w:proofErr w:type="spellEnd"/>
      <w:r>
        <w:rPr>
          <w:rFonts w:ascii="Times New Roman" w:eastAsia="Times New Roman" w:hAnsi="Times New Roman" w:cs="Times New Roman"/>
          <w:sz w:val="24"/>
          <w:szCs w:val="24"/>
        </w:rPr>
        <w:t xml:space="preserve">, A. (2021). An applying </w:t>
      </w:r>
      <w:proofErr w:type="spellStart"/>
      <w:r>
        <w:rPr>
          <w:rFonts w:ascii="Times New Roman" w:eastAsia="Times New Roman" w:hAnsi="Times New Roman" w:cs="Times New Roman"/>
          <w:sz w:val="24"/>
          <w:szCs w:val="24"/>
        </w:rPr>
        <w:t>colored</w:t>
      </w:r>
      <w:proofErr w:type="spellEnd"/>
      <w:r>
        <w:rPr>
          <w:rFonts w:ascii="Times New Roman" w:eastAsia="Times New Roman" w:hAnsi="Times New Roman" w:cs="Times New Roman"/>
          <w:sz w:val="24"/>
          <w:szCs w:val="24"/>
        </w:rPr>
        <w:t xml:space="preserve"> petri net for computerized accounting system and ledger accounts instruction. Computers, 10(12), 169. </w:t>
      </w:r>
      <w:proofErr w:type="spell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://doi.org/10.3390/computers10120169</w:t>
      </w:r>
    </w:p>
    <w:p w14:paraId="3CC85754" w14:textId="77777777" w:rsidR="009034F6" w:rsidRDefault="009034F6" w:rsidP="009034F6">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Kanyarat</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Lek</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Sanoran</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Ruangprapun</w:t>
      </w:r>
      <w:proofErr w:type="spellEnd"/>
      <w:r>
        <w:rPr>
          <w:rFonts w:ascii="Times New Roman" w:eastAsia="Times New Roman" w:hAnsi="Times New Roman" w:cs="Times New Roman"/>
          <w:sz w:val="24"/>
          <w:szCs w:val="24"/>
        </w:rPr>
        <w:t xml:space="preserve">, J. (2023). Initial implementation of data analytics and audit process management. Sustainability, 15(3), 1766. </w:t>
      </w:r>
      <w:proofErr w:type="spell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://doi.org/10.3390/su15031766</w:t>
      </w:r>
    </w:p>
    <w:p w14:paraId="6CCAFF97" w14:textId="77777777" w:rsidR="009034F6" w:rsidRDefault="009034F6" w:rsidP="009034F6">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Kitsantas</w:t>
      </w:r>
      <w:proofErr w:type="spellEnd"/>
      <w:r>
        <w:rPr>
          <w:rFonts w:ascii="Times New Roman" w:eastAsia="Times New Roman" w:hAnsi="Times New Roman" w:cs="Times New Roman"/>
          <w:sz w:val="24"/>
          <w:szCs w:val="24"/>
        </w:rPr>
        <w:t xml:space="preserve">, T., &amp; </w:t>
      </w:r>
      <w:proofErr w:type="spellStart"/>
      <w:r>
        <w:rPr>
          <w:rFonts w:ascii="Times New Roman" w:eastAsia="Times New Roman" w:hAnsi="Times New Roman" w:cs="Times New Roman"/>
          <w:sz w:val="24"/>
          <w:szCs w:val="24"/>
        </w:rPr>
        <w:t>Chytis</w:t>
      </w:r>
      <w:proofErr w:type="spellEnd"/>
      <w:r>
        <w:rPr>
          <w:rFonts w:ascii="Times New Roman" w:eastAsia="Times New Roman" w:hAnsi="Times New Roman" w:cs="Times New Roman"/>
          <w:sz w:val="24"/>
          <w:szCs w:val="24"/>
        </w:rPr>
        <w:t xml:space="preserve">, E. (2022). Blockchain technology as an ecosystem: Trends and perspectives in accounting and management. Journal of Theoretical and Applied Electronic Commerce Research, 17(3), 1143. </w:t>
      </w:r>
      <w:proofErr w:type="spell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://doi.org/10.3390/jtaer17030058</w:t>
      </w:r>
    </w:p>
    <w:p w14:paraId="42BC2809" w14:textId="77777777" w:rsidR="009034F6" w:rsidRDefault="009034F6" w:rsidP="009034F6">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 Q. (2022). Parallel bookkeeping path of accounting in government accounting system based on deep neural network. Journal of Electrical and Computer Engineering, 2022 </w:t>
      </w:r>
      <w:proofErr w:type="spell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://doi.org/10.1155/2022/2616449</w:t>
      </w:r>
    </w:p>
    <w:p w14:paraId="4758B590" w14:textId="77777777" w:rsidR="009034F6" w:rsidRDefault="009034F6" w:rsidP="009034F6">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Moyo, G. N., </w:t>
      </w:r>
      <w:proofErr w:type="spellStart"/>
      <w:r>
        <w:rPr>
          <w:rFonts w:ascii="Times New Roman" w:eastAsia="Times New Roman" w:hAnsi="Times New Roman" w:cs="Times New Roman"/>
          <w:sz w:val="24"/>
          <w:szCs w:val="24"/>
        </w:rPr>
        <w:t>Moreeng</w:t>
      </w:r>
      <w:proofErr w:type="spellEnd"/>
      <w:r>
        <w:rPr>
          <w:rFonts w:ascii="Times New Roman" w:eastAsia="Times New Roman" w:hAnsi="Times New Roman" w:cs="Times New Roman"/>
          <w:sz w:val="24"/>
          <w:szCs w:val="24"/>
        </w:rPr>
        <w:t xml:space="preserve">, B., &amp; Mosia, M. (2023). Exploring accounting lecturers' use of feedback as a teaching practice: A case of a south </w:t>
      </w:r>
      <w:proofErr w:type="spellStart"/>
      <w:r>
        <w:rPr>
          <w:rFonts w:ascii="Times New Roman" w:eastAsia="Times New Roman" w:hAnsi="Times New Roman" w:cs="Times New Roman"/>
          <w:sz w:val="24"/>
          <w:szCs w:val="24"/>
        </w:rPr>
        <w:t>african</w:t>
      </w:r>
      <w:proofErr w:type="spellEnd"/>
      <w:r>
        <w:rPr>
          <w:rFonts w:ascii="Times New Roman" w:eastAsia="Times New Roman" w:hAnsi="Times New Roman" w:cs="Times New Roman"/>
          <w:sz w:val="24"/>
          <w:szCs w:val="24"/>
        </w:rPr>
        <w:t xml:space="preserve"> university. International Journal of Research in Business and Social Science, </w:t>
      </w:r>
      <w:proofErr w:type="spellStart"/>
      <w:r>
        <w:rPr>
          <w:rFonts w:ascii="Times New Roman" w:eastAsia="Times New Roman" w:hAnsi="Times New Roman" w:cs="Times New Roman"/>
          <w:sz w:val="24"/>
          <w:szCs w:val="24"/>
        </w:rPr>
        <w:t>Suppl.Special</w:t>
      </w:r>
      <w:proofErr w:type="spellEnd"/>
      <w:r>
        <w:rPr>
          <w:rFonts w:ascii="Times New Roman" w:eastAsia="Times New Roman" w:hAnsi="Times New Roman" w:cs="Times New Roman"/>
          <w:sz w:val="24"/>
          <w:szCs w:val="24"/>
        </w:rPr>
        <w:t xml:space="preserve"> Issue, 12(4), 461-470. </w:t>
      </w:r>
      <w:proofErr w:type="spell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://doi.org/10.20525/ijrbs.v12i4.2491</w:t>
      </w:r>
    </w:p>
    <w:p w14:paraId="313A3C6A" w14:textId="77777777" w:rsidR="009034F6" w:rsidRDefault="009034F6" w:rsidP="009034F6">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Mwange, A., &amp; Chansa, M. (2022). Emerging issues in accounting: A theoretical review. Journal of Accounting, Finance and Auditing Studies, 8(4), 172-196. </w:t>
      </w:r>
      <w:proofErr w:type="spell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://doi.org/10.32602/jafas.2022.032</w:t>
      </w:r>
    </w:p>
    <w:p w14:paraId="222C85F4" w14:textId="77777777" w:rsidR="009034F6" w:rsidRDefault="009034F6" w:rsidP="009034F6">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Rhee, Y., Yoon, S., &amp; Park, H. (2022). Exploring knowledge trajectories of accounting information systems using business method patents and knowledge persistence-based main path analysis. Mathematics, 10(18), 3349. </w:t>
      </w:r>
      <w:proofErr w:type="spell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://doi.org/10.3390/math10183349</w:t>
      </w:r>
    </w:p>
    <w:p w14:paraId="211B9425" w14:textId="77777777" w:rsidR="009034F6" w:rsidRDefault="009034F6" w:rsidP="009034F6">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Vignini</w:t>
      </w:r>
      <w:proofErr w:type="spellEnd"/>
      <w:r>
        <w:rPr>
          <w:rFonts w:ascii="Times New Roman" w:eastAsia="Times New Roman" w:hAnsi="Times New Roman" w:cs="Times New Roman"/>
          <w:sz w:val="24"/>
          <w:szCs w:val="24"/>
        </w:rPr>
        <w:t xml:space="preserve">, S. (2022). A study of the accounting system and standards in </w:t>
      </w:r>
      <w:proofErr w:type="spellStart"/>
      <w:r>
        <w:rPr>
          <w:rFonts w:ascii="Times New Roman" w:eastAsia="Times New Roman" w:hAnsi="Times New Roman" w:cs="Times New Roman"/>
          <w:sz w:val="24"/>
          <w:szCs w:val="24"/>
        </w:rPr>
        <w:t>bulgaria</w:t>
      </w:r>
      <w:proofErr w:type="spellEnd"/>
      <w:r>
        <w:rPr>
          <w:rFonts w:ascii="Times New Roman" w:eastAsia="Times New Roman" w:hAnsi="Times New Roman" w:cs="Times New Roman"/>
          <w:sz w:val="24"/>
          <w:szCs w:val="24"/>
        </w:rPr>
        <w:t>. Australasian Accounting Business &amp; Finance Journal, 16(4), 83-114. Retrieved from https://www.proquest.com/scholarly-journals/study-accounting-system-standards-bulgaria/docview/2735288148/se-2</w:t>
      </w:r>
    </w:p>
    <w:sectPr w:rsidR="009034F6">
      <w:head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BD3DA3" w14:textId="77777777" w:rsidR="00347BCE" w:rsidRDefault="00347BCE" w:rsidP="009034F6">
      <w:pPr>
        <w:spacing w:line="240" w:lineRule="auto"/>
      </w:pPr>
      <w:r>
        <w:separator/>
      </w:r>
    </w:p>
  </w:endnote>
  <w:endnote w:type="continuationSeparator" w:id="0">
    <w:p w14:paraId="3482B4A0" w14:textId="77777777" w:rsidR="00347BCE" w:rsidRDefault="00347BCE" w:rsidP="009034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F8130F" w14:textId="77777777" w:rsidR="00347BCE" w:rsidRDefault="00347BCE" w:rsidP="009034F6">
      <w:pPr>
        <w:spacing w:line="240" w:lineRule="auto"/>
      </w:pPr>
      <w:r>
        <w:separator/>
      </w:r>
    </w:p>
  </w:footnote>
  <w:footnote w:type="continuationSeparator" w:id="0">
    <w:p w14:paraId="233D7263" w14:textId="77777777" w:rsidR="00347BCE" w:rsidRDefault="00347BCE" w:rsidP="009034F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0"/>
        <w:szCs w:val="20"/>
      </w:rPr>
      <w:id w:val="-1772308070"/>
      <w:docPartObj>
        <w:docPartGallery w:val="Page Numbers (Top of Page)"/>
        <w:docPartUnique/>
      </w:docPartObj>
    </w:sdtPr>
    <w:sdtEndPr>
      <w:rPr>
        <w:noProof/>
      </w:rPr>
    </w:sdtEndPr>
    <w:sdtContent>
      <w:p w14:paraId="0297323E" w14:textId="2CD43460" w:rsidR="009034F6" w:rsidRPr="009034F6" w:rsidRDefault="009034F6">
        <w:pPr>
          <w:pStyle w:val="Header"/>
          <w:jc w:val="right"/>
          <w:rPr>
            <w:rFonts w:ascii="Times New Roman" w:hAnsi="Times New Roman" w:cs="Times New Roman"/>
            <w:sz w:val="20"/>
            <w:szCs w:val="20"/>
          </w:rPr>
        </w:pPr>
        <w:r w:rsidRPr="009034F6">
          <w:rPr>
            <w:rFonts w:ascii="Times New Roman" w:hAnsi="Times New Roman" w:cs="Times New Roman"/>
            <w:sz w:val="20"/>
            <w:szCs w:val="20"/>
          </w:rPr>
          <w:fldChar w:fldCharType="begin"/>
        </w:r>
        <w:r w:rsidRPr="009034F6">
          <w:rPr>
            <w:rFonts w:ascii="Times New Roman" w:hAnsi="Times New Roman" w:cs="Times New Roman"/>
            <w:sz w:val="20"/>
            <w:szCs w:val="20"/>
          </w:rPr>
          <w:instrText xml:space="preserve"> PAGE   \* MERGEFORMAT </w:instrText>
        </w:r>
        <w:r w:rsidRPr="009034F6">
          <w:rPr>
            <w:rFonts w:ascii="Times New Roman" w:hAnsi="Times New Roman" w:cs="Times New Roman"/>
            <w:sz w:val="20"/>
            <w:szCs w:val="20"/>
          </w:rPr>
          <w:fldChar w:fldCharType="separate"/>
        </w:r>
        <w:r w:rsidRPr="009034F6">
          <w:rPr>
            <w:rFonts w:ascii="Times New Roman" w:hAnsi="Times New Roman" w:cs="Times New Roman"/>
            <w:noProof/>
            <w:sz w:val="20"/>
            <w:szCs w:val="20"/>
          </w:rPr>
          <w:t>2</w:t>
        </w:r>
        <w:r w:rsidRPr="009034F6">
          <w:rPr>
            <w:rFonts w:ascii="Times New Roman" w:hAnsi="Times New Roman" w:cs="Times New Roman"/>
            <w:noProof/>
            <w:sz w:val="20"/>
            <w:szCs w:val="20"/>
          </w:rPr>
          <w:fldChar w:fldCharType="end"/>
        </w:r>
      </w:p>
    </w:sdtContent>
  </w:sdt>
  <w:p w14:paraId="0DE6E99B" w14:textId="77777777" w:rsidR="009034F6" w:rsidRPr="009034F6" w:rsidRDefault="009034F6">
    <w:pPr>
      <w:pStyle w:val="Header"/>
      <w:rPr>
        <w:rFonts w:ascii="Times New Roman" w:hAnsi="Times New Roman" w:cs="Times New Roman"/>
        <w:sz w:val="20"/>
        <w:szCs w:val="2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1753"/>
    <w:rsid w:val="001A5BB3"/>
    <w:rsid w:val="00287426"/>
    <w:rsid w:val="00336D4B"/>
    <w:rsid w:val="00347BCE"/>
    <w:rsid w:val="00626976"/>
    <w:rsid w:val="00826472"/>
    <w:rsid w:val="008F1753"/>
    <w:rsid w:val="009034F6"/>
    <w:rsid w:val="00960D53"/>
    <w:rsid w:val="00B12323"/>
    <w:rsid w:val="00DA5FE1"/>
    <w:rsid w:val="00F20350"/>
    <w:rsid w:val="00F75932"/>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33A5C"/>
  <w15:docId w15:val="{6B34889C-D091-4FEF-9E30-CD2D90A5D9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rsid w:val="00960D53"/>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9034F6"/>
    <w:pPr>
      <w:tabs>
        <w:tab w:val="center" w:pos="4513"/>
        <w:tab w:val="right" w:pos="9026"/>
      </w:tabs>
      <w:spacing w:line="240" w:lineRule="auto"/>
    </w:pPr>
  </w:style>
  <w:style w:type="character" w:customStyle="1" w:styleId="HeaderChar">
    <w:name w:val="Header Char"/>
    <w:basedOn w:val="DefaultParagraphFont"/>
    <w:link w:val="Header"/>
    <w:uiPriority w:val="99"/>
    <w:rsid w:val="009034F6"/>
  </w:style>
  <w:style w:type="paragraph" w:styleId="Footer">
    <w:name w:val="footer"/>
    <w:basedOn w:val="Normal"/>
    <w:link w:val="FooterChar"/>
    <w:uiPriority w:val="99"/>
    <w:unhideWhenUsed/>
    <w:rsid w:val="009034F6"/>
    <w:pPr>
      <w:tabs>
        <w:tab w:val="center" w:pos="4513"/>
        <w:tab w:val="right" w:pos="9026"/>
      </w:tabs>
      <w:spacing w:line="240" w:lineRule="auto"/>
    </w:pPr>
  </w:style>
  <w:style w:type="character" w:customStyle="1" w:styleId="FooterChar">
    <w:name w:val="Footer Char"/>
    <w:basedOn w:val="DefaultParagraphFont"/>
    <w:link w:val="Footer"/>
    <w:uiPriority w:val="99"/>
    <w:rsid w:val="009034F6"/>
  </w:style>
  <w:style w:type="paragraph" w:styleId="TOCHeading">
    <w:name w:val="TOC Heading"/>
    <w:basedOn w:val="Heading1"/>
    <w:next w:val="Normal"/>
    <w:uiPriority w:val="39"/>
    <w:unhideWhenUsed/>
    <w:qFormat/>
    <w:rsid w:val="00960D53"/>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60D53"/>
    <w:pPr>
      <w:spacing w:after="100"/>
    </w:pPr>
  </w:style>
  <w:style w:type="character" w:styleId="Hyperlink">
    <w:name w:val="Hyperlink"/>
    <w:basedOn w:val="DefaultParagraphFont"/>
    <w:uiPriority w:val="99"/>
    <w:unhideWhenUsed/>
    <w:rsid w:val="00960D5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40874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227C9C-BA12-4B9F-B6D3-355C49E91B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2897</Words>
  <Characters>16513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A.User</cp:lastModifiedBy>
  <cp:revision>2</cp:revision>
  <dcterms:created xsi:type="dcterms:W3CDTF">2023-10-13T21:36:00Z</dcterms:created>
  <dcterms:modified xsi:type="dcterms:W3CDTF">2023-10-13T21:36:00Z</dcterms:modified>
</cp:coreProperties>
</file>