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6CA83BE" w14:textId="77777777" w:rsidR="00F7363B" w:rsidRPr="00F93F4C" w:rsidRDefault="00F065DE" w:rsidP="00F93F4C">
      <w:pPr>
        <w:spacing w:line="480" w:lineRule="auto"/>
        <w:jc w:val="center"/>
        <w:rPr>
          <w:sz w:val="24"/>
          <w:szCs w:val="24"/>
        </w:rPr>
      </w:pPr>
      <w:r w:rsidRPr="00F93F4C">
        <w:rPr>
          <w:b/>
          <w:bCs/>
          <w:sz w:val="24"/>
          <w:szCs w:val="24"/>
        </w:rPr>
        <w:t>A Situational Analysis of Tesco PLC Using Porter's Five Forces Model</w:t>
      </w:r>
    </w:p>
    <w:p w14:paraId="622CF88C" w14:textId="5896E604" w:rsidR="00F7363B" w:rsidRPr="00F93F4C" w:rsidRDefault="00F065DE" w:rsidP="00F93F4C">
      <w:pPr>
        <w:spacing w:line="480" w:lineRule="auto"/>
        <w:jc w:val="center"/>
        <w:rPr>
          <w:sz w:val="24"/>
          <w:szCs w:val="24"/>
        </w:rPr>
      </w:pPr>
      <w:r w:rsidRPr="00F93F4C">
        <w:rPr>
          <w:sz w:val="24"/>
          <w:szCs w:val="24"/>
        </w:rPr>
        <w:t>Student Name</w:t>
      </w:r>
      <w:r w:rsidR="0046775B">
        <w:rPr>
          <w:sz w:val="24"/>
          <w:szCs w:val="24"/>
        </w:rPr>
        <w:t xml:space="preserve">: </w:t>
      </w:r>
      <w:proofErr w:type="spellStart"/>
      <w:r w:rsidR="0046775B">
        <w:rPr>
          <w:sz w:val="24"/>
          <w:szCs w:val="24"/>
        </w:rPr>
        <w:t>George-Andreeas</w:t>
      </w:r>
      <w:proofErr w:type="spellEnd"/>
      <w:r w:rsidR="0046775B">
        <w:rPr>
          <w:sz w:val="24"/>
          <w:szCs w:val="24"/>
        </w:rPr>
        <w:t xml:space="preserve"> </w:t>
      </w:r>
      <w:proofErr w:type="spellStart"/>
      <w:r w:rsidR="0046775B">
        <w:rPr>
          <w:sz w:val="24"/>
          <w:szCs w:val="24"/>
        </w:rPr>
        <w:t>Geamanu</w:t>
      </w:r>
      <w:proofErr w:type="spellEnd"/>
    </w:p>
    <w:p w14:paraId="7247FB9B" w14:textId="124C056B" w:rsidR="00F7363B" w:rsidRPr="00F93F4C" w:rsidRDefault="00F065DE" w:rsidP="00F93F4C">
      <w:pPr>
        <w:spacing w:line="480" w:lineRule="auto"/>
        <w:jc w:val="center"/>
        <w:rPr>
          <w:sz w:val="24"/>
          <w:szCs w:val="24"/>
        </w:rPr>
      </w:pPr>
      <w:r w:rsidRPr="00F93F4C">
        <w:rPr>
          <w:sz w:val="24"/>
          <w:szCs w:val="24"/>
        </w:rPr>
        <w:t>Student ID:</w:t>
      </w:r>
      <w:r w:rsidR="0046775B">
        <w:rPr>
          <w:sz w:val="24"/>
          <w:szCs w:val="24"/>
        </w:rPr>
        <w:t xml:space="preserve"> 2440439</w:t>
      </w:r>
    </w:p>
    <w:p w14:paraId="4E8C66F6" w14:textId="14967BFA" w:rsidR="00F7363B" w:rsidRPr="00F93F4C" w:rsidRDefault="00F065DE" w:rsidP="00F93F4C">
      <w:pPr>
        <w:spacing w:line="480" w:lineRule="auto"/>
        <w:jc w:val="center"/>
        <w:rPr>
          <w:sz w:val="24"/>
          <w:szCs w:val="24"/>
        </w:rPr>
      </w:pPr>
      <w:r w:rsidRPr="00F93F4C">
        <w:rPr>
          <w:sz w:val="24"/>
          <w:szCs w:val="24"/>
        </w:rPr>
        <w:t>Module Code:</w:t>
      </w:r>
      <w:r w:rsidR="0046775B">
        <w:rPr>
          <w:sz w:val="24"/>
          <w:szCs w:val="24"/>
        </w:rPr>
        <w:t xml:space="preserve"> </w:t>
      </w:r>
      <w:r w:rsidR="00523FF7">
        <w:rPr>
          <w:sz w:val="24"/>
          <w:szCs w:val="24"/>
        </w:rPr>
        <w:t>LCBB5015</w:t>
      </w:r>
    </w:p>
    <w:p w14:paraId="7B56DCBB" w14:textId="430AC9B6" w:rsidR="00F7363B" w:rsidRPr="00F93F4C" w:rsidRDefault="00F065DE" w:rsidP="00F93F4C">
      <w:pPr>
        <w:spacing w:line="480" w:lineRule="auto"/>
        <w:jc w:val="center"/>
        <w:rPr>
          <w:sz w:val="24"/>
          <w:szCs w:val="24"/>
        </w:rPr>
      </w:pPr>
      <w:r w:rsidRPr="00F93F4C">
        <w:rPr>
          <w:sz w:val="24"/>
          <w:szCs w:val="24"/>
        </w:rPr>
        <w:t>Module Name:</w:t>
      </w:r>
      <w:r w:rsidR="00523FF7">
        <w:rPr>
          <w:sz w:val="24"/>
          <w:szCs w:val="24"/>
        </w:rPr>
        <w:t xml:space="preserve"> Principles of Marketing </w:t>
      </w:r>
    </w:p>
    <w:p w14:paraId="4E5EEB51" w14:textId="77777777" w:rsidR="00F7363B" w:rsidRPr="00F93F4C" w:rsidRDefault="00F065DE" w:rsidP="00F93F4C">
      <w:pPr>
        <w:spacing w:line="480" w:lineRule="auto"/>
        <w:jc w:val="center"/>
        <w:rPr>
          <w:sz w:val="24"/>
          <w:szCs w:val="24"/>
        </w:rPr>
      </w:pPr>
      <w:r w:rsidRPr="00F93F4C">
        <w:rPr>
          <w:sz w:val="24"/>
          <w:szCs w:val="24"/>
        </w:rPr>
        <w:t>Assignment: Component 1 - Individual Report</w:t>
      </w:r>
    </w:p>
    <w:p w14:paraId="2A766628" w14:textId="77777777" w:rsidR="00F7363B" w:rsidRPr="00F93F4C" w:rsidRDefault="00F065DE" w:rsidP="00F93F4C">
      <w:pPr>
        <w:spacing w:line="480" w:lineRule="auto"/>
        <w:jc w:val="center"/>
        <w:rPr>
          <w:sz w:val="24"/>
          <w:szCs w:val="24"/>
        </w:rPr>
      </w:pPr>
      <w:r w:rsidRPr="00F93F4C">
        <w:rPr>
          <w:sz w:val="24"/>
          <w:szCs w:val="24"/>
        </w:rPr>
        <w:t>Chosen Company: Tesco PLC</w:t>
      </w:r>
    </w:p>
    <w:p w14:paraId="1B39DD4E" w14:textId="3C90EC08" w:rsidR="00F7363B" w:rsidRPr="00F93F4C" w:rsidRDefault="00F065DE" w:rsidP="00F93F4C">
      <w:pPr>
        <w:spacing w:line="480" w:lineRule="auto"/>
        <w:jc w:val="center"/>
        <w:rPr>
          <w:sz w:val="24"/>
          <w:szCs w:val="24"/>
        </w:rPr>
      </w:pPr>
      <w:r w:rsidRPr="00F93F4C">
        <w:rPr>
          <w:sz w:val="24"/>
          <w:szCs w:val="24"/>
        </w:rPr>
        <w:t>Lecturer:</w:t>
      </w:r>
      <w:r w:rsidR="007C68C7">
        <w:rPr>
          <w:sz w:val="24"/>
          <w:szCs w:val="24"/>
        </w:rPr>
        <w:t xml:space="preserve"> Dr. Sinan He</w:t>
      </w:r>
    </w:p>
    <w:p w14:paraId="58CEA98A" w14:textId="77777777" w:rsidR="00DE3905" w:rsidRPr="00F93F4C" w:rsidRDefault="00DE3905" w:rsidP="00F93F4C">
      <w:pPr>
        <w:spacing w:line="480" w:lineRule="auto"/>
        <w:rPr>
          <w:sz w:val="24"/>
          <w:szCs w:val="24"/>
        </w:rPr>
      </w:pPr>
      <w:r w:rsidRPr="00F93F4C">
        <w:rPr>
          <w:sz w:val="24"/>
          <w:szCs w:val="24"/>
        </w:rPr>
        <w:br w:type="page"/>
      </w:r>
    </w:p>
    <w:p w14:paraId="11F783B2" w14:textId="4E922CD4" w:rsidR="00F7363B" w:rsidRPr="00F93F4C" w:rsidRDefault="00F065DE" w:rsidP="007D644A">
      <w:pPr>
        <w:spacing w:line="480" w:lineRule="auto"/>
        <w:jc w:val="center"/>
        <w:rPr>
          <w:sz w:val="24"/>
          <w:szCs w:val="24"/>
        </w:rPr>
      </w:pPr>
      <w:r w:rsidRPr="00F93F4C">
        <w:rPr>
          <w:b/>
          <w:bCs/>
          <w:sz w:val="24"/>
          <w:szCs w:val="24"/>
        </w:rPr>
        <w:t>1. Introduction</w:t>
      </w:r>
    </w:p>
    <w:p w14:paraId="0524B2F3" w14:textId="77777777" w:rsidR="00DE3905" w:rsidRPr="00F93F4C" w:rsidRDefault="00DE3905" w:rsidP="00F93F4C">
      <w:pPr>
        <w:spacing w:line="480" w:lineRule="auto"/>
        <w:ind w:firstLine="720"/>
        <w:jc w:val="both"/>
        <w:rPr>
          <w:sz w:val="24"/>
          <w:szCs w:val="24"/>
        </w:rPr>
      </w:pPr>
      <w:r w:rsidRPr="00F93F4C">
        <w:rPr>
          <w:sz w:val="24"/>
          <w:szCs w:val="24"/>
        </w:rPr>
        <w:t>Tesco PLC is the UK's biggest grocery company with stores, superstores, convenience stores, and an online grocery service that caters to customers' food, general merchandise and financial services needs (Tesco PLC, 2025). Tesco's UK grocery market share is just under 30 per cent and it is competing with well-established grocery retailers like Sainsbury's, Asda and the discount retailers Aldi and Lidl (GroceryTradeNews, 2025). This report uses Porter's Five Forces model to examine the internal and external competitive forces that have an impact on Tesco's marketing decisions. The aim is to assess the impact of the threat of new entrants, the bargaining power of suppliers and customers, the threat of substitutes and the degree of rivalry on Tesco's strategic position in the UK grocery market.</w:t>
      </w:r>
    </w:p>
    <w:p w14:paraId="67A3CF9B" w14:textId="45C3D73A" w:rsidR="00F7363B" w:rsidRPr="00F93F4C" w:rsidRDefault="00F065DE" w:rsidP="007D644A">
      <w:pPr>
        <w:spacing w:line="480" w:lineRule="auto"/>
        <w:jc w:val="center"/>
        <w:rPr>
          <w:sz w:val="24"/>
          <w:szCs w:val="24"/>
        </w:rPr>
      </w:pPr>
      <w:r w:rsidRPr="00F93F4C">
        <w:rPr>
          <w:b/>
          <w:bCs/>
          <w:sz w:val="24"/>
          <w:szCs w:val="24"/>
        </w:rPr>
        <w:t>2. Situational Analysis: Porter's Five Forces</w:t>
      </w:r>
    </w:p>
    <w:p w14:paraId="12605F47" w14:textId="77777777" w:rsidR="00F7363B" w:rsidRPr="00F93F4C" w:rsidRDefault="00F065DE" w:rsidP="00F93F4C">
      <w:pPr>
        <w:spacing w:line="480" w:lineRule="auto"/>
        <w:rPr>
          <w:sz w:val="24"/>
          <w:szCs w:val="24"/>
        </w:rPr>
      </w:pPr>
      <w:r w:rsidRPr="00F93F4C">
        <w:rPr>
          <w:b/>
          <w:bCs/>
          <w:sz w:val="24"/>
          <w:szCs w:val="24"/>
        </w:rPr>
        <w:t>2.1 Threat of New Entrants</w:t>
      </w:r>
    </w:p>
    <w:p w14:paraId="1633E4D6" w14:textId="37688867" w:rsidR="00F7363B" w:rsidRPr="00F93F4C" w:rsidRDefault="00DE3905" w:rsidP="00F93F4C">
      <w:pPr>
        <w:spacing w:line="480" w:lineRule="auto"/>
        <w:ind w:firstLine="720"/>
        <w:jc w:val="both"/>
        <w:rPr>
          <w:sz w:val="24"/>
          <w:szCs w:val="24"/>
        </w:rPr>
      </w:pPr>
      <w:r w:rsidRPr="00F93F4C">
        <w:rPr>
          <w:sz w:val="24"/>
          <w:szCs w:val="24"/>
        </w:rPr>
        <w:t xml:space="preserve">The risk of new entrants to the UK grocery sector is relatively low. The need for considerable capital outlay in developing store networks, distribution channels and brand awareness creates a disadvantage for new entrants, as with established players like Tesco (Duke, 1993). It has been the norm that new entrants have only been successful in niche discount formats (Duke, 1993) which are able to overcome high levels of competition and economies of scale and site scarcity. More recently, however, the discounters Aldi and Lidl have taken advantage of planning laws that are more attractive to smaller-sized outlets, growing their share of the market from approximately three per cent in 2002 to more than fourteen per cent by 2021 (O'Connell, Smith and </w:t>
      </w:r>
      <w:proofErr w:type="spellStart"/>
      <w:r w:rsidRPr="00F93F4C">
        <w:rPr>
          <w:sz w:val="24"/>
          <w:szCs w:val="24"/>
        </w:rPr>
        <w:t>Thomassen</w:t>
      </w:r>
      <w:proofErr w:type="spellEnd"/>
      <w:r w:rsidRPr="00F93F4C">
        <w:rPr>
          <w:sz w:val="24"/>
          <w:szCs w:val="24"/>
        </w:rPr>
        <w:t>, 2025). This reflects that the overall level of entry barriers is high, but not too high for well-resourced operators from Europe.</w:t>
      </w:r>
    </w:p>
    <w:p w14:paraId="5FDEA880" w14:textId="77777777" w:rsidR="00F7363B" w:rsidRPr="00F93F4C" w:rsidRDefault="00F065DE" w:rsidP="007D644A">
      <w:pPr>
        <w:spacing w:line="480" w:lineRule="auto"/>
        <w:rPr>
          <w:sz w:val="24"/>
          <w:szCs w:val="24"/>
        </w:rPr>
      </w:pPr>
      <w:r w:rsidRPr="00F93F4C">
        <w:rPr>
          <w:b/>
          <w:bCs/>
          <w:sz w:val="24"/>
          <w:szCs w:val="24"/>
        </w:rPr>
        <w:t>2.2 Bargaining Power of Suppliers</w:t>
      </w:r>
    </w:p>
    <w:p w14:paraId="7BF330A1" w14:textId="6846A2D8" w:rsidR="00F7363B" w:rsidRPr="00F93F4C" w:rsidRDefault="00DE3905" w:rsidP="00F93F4C">
      <w:pPr>
        <w:spacing w:line="480" w:lineRule="auto"/>
        <w:ind w:firstLine="720"/>
        <w:jc w:val="both"/>
        <w:rPr>
          <w:sz w:val="24"/>
          <w:szCs w:val="24"/>
        </w:rPr>
      </w:pPr>
      <w:r w:rsidRPr="00F93F4C">
        <w:rPr>
          <w:sz w:val="24"/>
          <w:szCs w:val="24"/>
        </w:rPr>
        <w:t xml:space="preserve">Tesco's size provides a high level of bargaining power with its suppliers. There are thousands of food and grocery producers vying for shelf space, and the individual producers have less control than a retailer as big as Tesco (O'Connell, Smith and </w:t>
      </w:r>
      <w:proofErr w:type="spellStart"/>
      <w:r w:rsidRPr="00F93F4C">
        <w:rPr>
          <w:sz w:val="24"/>
          <w:szCs w:val="24"/>
        </w:rPr>
        <w:t>Thomassen</w:t>
      </w:r>
      <w:proofErr w:type="spellEnd"/>
      <w:r w:rsidRPr="00F93F4C">
        <w:rPr>
          <w:sz w:val="24"/>
          <w:szCs w:val="24"/>
        </w:rPr>
        <w:t xml:space="preserve">, 2025). The Competition and Markets Authority has concluded that, overall, retailers obtain competitive terms from private-label suppliers, as the process of switching suppliers is easy and there is a high level of transparency around the cost of supplies (Competition and Markets Authority, 2023). Branded manufacturers, however, have some bargaining power because they have the ability to negotiate wholesale prices directly with retailers (O'Connell, Smith and </w:t>
      </w:r>
      <w:proofErr w:type="spellStart"/>
      <w:r w:rsidRPr="00F93F4C">
        <w:rPr>
          <w:sz w:val="24"/>
          <w:szCs w:val="24"/>
        </w:rPr>
        <w:t>Thomassen</w:t>
      </w:r>
      <w:proofErr w:type="spellEnd"/>
      <w:r w:rsidRPr="00F93F4C">
        <w:rPr>
          <w:sz w:val="24"/>
          <w:szCs w:val="24"/>
        </w:rPr>
        <w:t>, 2025).</w:t>
      </w:r>
    </w:p>
    <w:p w14:paraId="3B9D938A" w14:textId="77777777" w:rsidR="00F7363B" w:rsidRPr="00F93F4C" w:rsidRDefault="00F065DE" w:rsidP="00F93F4C">
      <w:pPr>
        <w:spacing w:line="480" w:lineRule="auto"/>
        <w:rPr>
          <w:sz w:val="24"/>
          <w:szCs w:val="24"/>
        </w:rPr>
      </w:pPr>
      <w:r w:rsidRPr="00F93F4C">
        <w:rPr>
          <w:b/>
          <w:bCs/>
          <w:sz w:val="24"/>
          <w:szCs w:val="24"/>
        </w:rPr>
        <w:t>2.3 Bargaining Power of Buyers</w:t>
      </w:r>
    </w:p>
    <w:p w14:paraId="2731E323" w14:textId="616FE147" w:rsidR="00F7363B" w:rsidRPr="00F93F4C" w:rsidRDefault="00DE3905" w:rsidP="00F93F4C">
      <w:pPr>
        <w:spacing w:line="480" w:lineRule="auto"/>
        <w:ind w:firstLine="720"/>
        <w:jc w:val="both"/>
        <w:rPr>
          <w:sz w:val="24"/>
          <w:szCs w:val="24"/>
        </w:rPr>
      </w:pPr>
      <w:r w:rsidRPr="00F93F4C">
        <w:rPr>
          <w:sz w:val="24"/>
          <w:szCs w:val="24"/>
        </w:rPr>
        <w:t xml:space="preserve">The bargaining power of buyers in the grocery retail market in the UK is strong. With low switching costs, consumers can easily switch from one retailer to another to </w:t>
      </w:r>
      <w:proofErr w:type="spellStart"/>
      <w:r w:rsidRPr="00F93F4C">
        <w:rPr>
          <w:sz w:val="24"/>
          <w:szCs w:val="24"/>
        </w:rPr>
        <w:t>maximise</w:t>
      </w:r>
      <w:proofErr w:type="spellEnd"/>
      <w:r w:rsidRPr="00F93F4C">
        <w:rPr>
          <w:sz w:val="24"/>
          <w:szCs w:val="24"/>
        </w:rPr>
        <w:t xml:space="preserve"> value; price comparison and discount retailers are also continuing to increase (O'Connell, Smith and </w:t>
      </w:r>
      <w:proofErr w:type="spellStart"/>
      <w:r w:rsidRPr="00F93F4C">
        <w:rPr>
          <w:sz w:val="24"/>
          <w:szCs w:val="24"/>
        </w:rPr>
        <w:t>Thomassen</w:t>
      </w:r>
      <w:proofErr w:type="spellEnd"/>
      <w:r w:rsidRPr="00F93F4C">
        <w:rPr>
          <w:sz w:val="24"/>
          <w:szCs w:val="24"/>
        </w:rPr>
        <w:t xml:space="preserve">, 2025). Market data reveals that Aldi and Lidl are holding on to their share while the larger chains are losing market share (GroceryTradeNews, 2025). Tesco, in response, has focused heavily on its </w:t>
      </w:r>
      <w:proofErr w:type="spellStart"/>
      <w:r w:rsidRPr="00F93F4C">
        <w:rPr>
          <w:sz w:val="24"/>
          <w:szCs w:val="24"/>
        </w:rPr>
        <w:t>Clubcard</w:t>
      </w:r>
      <w:proofErr w:type="spellEnd"/>
      <w:r w:rsidRPr="00F93F4C">
        <w:rPr>
          <w:sz w:val="24"/>
          <w:szCs w:val="24"/>
        </w:rPr>
        <w:t xml:space="preserve"> loyalty </w:t>
      </w:r>
      <w:proofErr w:type="spellStart"/>
      <w:r w:rsidRPr="00F93F4C">
        <w:rPr>
          <w:sz w:val="24"/>
          <w:szCs w:val="24"/>
        </w:rPr>
        <w:t>programme</w:t>
      </w:r>
      <w:proofErr w:type="spellEnd"/>
      <w:r w:rsidRPr="00F93F4C">
        <w:rPr>
          <w:sz w:val="24"/>
          <w:szCs w:val="24"/>
        </w:rPr>
        <w:t xml:space="preserve">, which is used to </w:t>
      </w:r>
      <w:proofErr w:type="spellStart"/>
      <w:r w:rsidRPr="00F93F4C">
        <w:rPr>
          <w:sz w:val="24"/>
          <w:szCs w:val="24"/>
        </w:rPr>
        <w:t>incentivise</w:t>
      </w:r>
      <w:proofErr w:type="spellEnd"/>
      <w:r w:rsidRPr="00F93F4C">
        <w:rPr>
          <w:sz w:val="24"/>
          <w:szCs w:val="24"/>
        </w:rPr>
        <w:t xml:space="preserve"> repeat purchasing </w:t>
      </w:r>
      <w:proofErr w:type="spellStart"/>
      <w:r w:rsidRPr="00F93F4C">
        <w:rPr>
          <w:sz w:val="24"/>
          <w:szCs w:val="24"/>
        </w:rPr>
        <w:t>behaviour</w:t>
      </w:r>
      <w:proofErr w:type="spellEnd"/>
      <w:r w:rsidRPr="00F93F4C">
        <w:rPr>
          <w:sz w:val="24"/>
          <w:szCs w:val="24"/>
        </w:rPr>
        <w:t xml:space="preserve"> by linking the majority of UK purchases to member pricing and </w:t>
      </w:r>
      <w:proofErr w:type="spellStart"/>
      <w:r w:rsidRPr="00F93F4C">
        <w:rPr>
          <w:sz w:val="24"/>
          <w:szCs w:val="24"/>
        </w:rPr>
        <w:t>personalised</w:t>
      </w:r>
      <w:proofErr w:type="spellEnd"/>
      <w:r w:rsidRPr="00F93F4C">
        <w:rPr>
          <w:sz w:val="24"/>
          <w:szCs w:val="24"/>
        </w:rPr>
        <w:t xml:space="preserve"> discounts, helping to combat buyer power (Tesco PLC, 2025).</w:t>
      </w:r>
    </w:p>
    <w:p w14:paraId="3FE36C90" w14:textId="77777777" w:rsidR="00F7363B" w:rsidRPr="00F93F4C" w:rsidRDefault="00F065DE" w:rsidP="00F93F4C">
      <w:pPr>
        <w:spacing w:line="480" w:lineRule="auto"/>
        <w:rPr>
          <w:sz w:val="24"/>
          <w:szCs w:val="24"/>
        </w:rPr>
      </w:pPr>
      <w:r w:rsidRPr="00F93F4C">
        <w:rPr>
          <w:b/>
          <w:bCs/>
          <w:sz w:val="24"/>
          <w:szCs w:val="24"/>
        </w:rPr>
        <w:t>2.4 Threat of Substitutes</w:t>
      </w:r>
    </w:p>
    <w:p w14:paraId="12C8A8A8" w14:textId="59A12432" w:rsidR="00F7363B" w:rsidRPr="00F93F4C" w:rsidRDefault="00DE3905" w:rsidP="00F93F4C">
      <w:pPr>
        <w:spacing w:line="480" w:lineRule="auto"/>
        <w:ind w:firstLine="720"/>
        <w:jc w:val="both"/>
        <w:rPr>
          <w:sz w:val="24"/>
          <w:szCs w:val="24"/>
        </w:rPr>
      </w:pPr>
      <w:r w:rsidRPr="00F93F4C">
        <w:rPr>
          <w:sz w:val="24"/>
          <w:szCs w:val="24"/>
        </w:rPr>
        <w:t>The substitute channels are increasing in threat. Online grocery delivery, meal-kit services and convenience formats are alternative ways to shop for food, and help to reduce the reliance on traditional superstore shopping (</w:t>
      </w:r>
      <w:proofErr w:type="spellStart"/>
      <w:r w:rsidRPr="00F93F4C">
        <w:rPr>
          <w:sz w:val="24"/>
          <w:szCs w:val="24"/>
        </w:rPr>
        <w:t>Stecula</w:t>
      </w:r>
      <w:proofErr w:type="spellEnd"/>
      <w:r w:rsidRPr="00F93F4C">
        <w:rPr>
          <w:sz w:val="24"/>
          <w:szCs w:val="24"/>
        </w:rPr>
        <w:t xml:space="preserve">, </w:t>
      </w:r>
      <w:proofErr w:type="spellStart"/>
      <w:r w:rsidRPr="00F93F4C">
        <w:rPr>
          <w:sz w:val="24"/>
          <w:szCs w:val="24"/>
        </w:rPr>
        <w:t>Wolniak</w:t>
      </w:r>
      <w:proofErr w:type="spellEnd"/>
      <w:r w:rsidRPr="00F93F4C">
        <w:rPr>
          <w:sz w:val="24"/>
          <w:szCs w:val="24"/>
        </w:rPr>
        <w:t xml:space="preserve"> and Aydin, 2024). With online ordering, click-and-collect and fast delivery continuing to grow, retailers face a challenge to keep adding the digital channel to their proposition, or risk to lose business to more agile retailers (Hood </w:t>
      </w:r>
      <w:proofErr w:type="spellStart"/>
      <w:r w:rsidRPr="00F93F4C">
        <w:rPr>
          <w:sz w:val="24"/>
          <w:szCs w:val="24"/>
        </w:rPr>
        <w:t>etal</w:t>
      </w:r>
      <w:proofErr w:type="spellEnd"/>
      <w:r w:rsidRPr="00F93F4C">
        <w:rPr>
          <w:sz w:val="24"/>
          <w:szCs w:val="24"/>
        </w:rPr>
        <w:t xml:space="preserve">., 2020). In response, Tesco launched its own online grocery service and </w:t>
      </w:r>
      <w:r w:rsidR="00F93F4C" w:rsidRPr="00F93F4C">
        <w:rPr>
          <w:sz w:val="24"/>
          <w:szCs w:val="24"/>
        </w:rPr>
        <w:t>raid-</w:t>
      </w:r>
      <w:r w:rsidRPr="00F93F4C">
        <w:rPr>
          <w:sz w:val="24"/>
          <w:szCs w:val="24"/>
        </w:rPr>
        <w:t>delivery to keep customers engaged in various channels.</w:t>
      </w:r>
    </w:p>
    <w:p w14:paraId="36FAEE6D" w14:textId="77777777" w:rsidR="00F7363B" w:rsidRPr="00F93F4C" w:rsidRDefault="00F065DE" w:rsidP="00F93F4C">
      <w:pPr>
        <w:spacing w:line="480" w:lineRule="auto"/>
        <w:rPr>
          <w:sz w:val="24"/>
          <w:szCs w:val="24"/>
        </w:rPr>
      </w:pPr>
      <w:r w:rsidRPr="00F93F4C">
        <w:rPr>
          <w:b/>
          <w:bCs/>
          <w:sz w:val="24"/>
          <w:szCs w:val="24"/>
        </w:rPr>
        <w:t>2.5 Industry Rivalry</w:t>
      </w:r>
    </w:p>
    <w:p w14:paraId="447D15E3" w14:textId="77777777" w:rsidR="00F93F4C" w:rsidRPr="00F93F4C" w:rsidRDefault="00F93F4C" w:rsidP="00F93F4C">
      <w:pPr>
        <w:spacing w:line="480" w:lineRule="auto"/>
        <w:ind w:firstLine="720"/>
        <w:jc w:val="both"/>
        <w:rPr>
          <w:sz w:val="24"/>
          <w:szCs w:val="24"/>
        </w:rPr>
      </w:pPr>
      <w:r w:rsidRPr="00F93F4C">
        <w:rPr>
          <w:sz w:val="24"/>
          <w:szCs w:val="24"/>
        </w:rPr>
        <w:t xml:space="preserve">Competition in the UK grocery retailing sector is fierce. The top retailers are price driven, loyalty schemes and store format, whilst the discount retailers continually squeeze margins (O'Connell, Smith and </w:t>
      </w:r>
      <w:proofErr w:type="spellStart"/>
      <w:r w:rsidRPr="00F93F4C">
        <w:rPr>
          <w:sz w:val="24"/>
          <w:szCs w:val="24"/>
        </w:rPr>
        <w:t>Thomassen</w:t>
      </w:r>
      <w:proofErr w:type="spellEnd"/>
      <w:r w:rsidRPr="00F93F4C">
        <w:rPr>
          <w:sz w:val="24"/>
          <w:szCs w:val="24"/>
        </w:rPr>
        <w:t>, 2025). Tesco's price matching promotions show a direct competitive reaction to the growth of the discounters and are designed to reassure the price conscious shoppers but not lose out on the broader value proposition (Consumer Edge, 2025). This competition has squeezed margins for retailers in the industry, forcing them to constantly innovate in prices and promotions.</w:t>
      </w:r>
    </w:p>
    <w:p w14:paraId="4935C24E" w14:textId="24895B37" w:rsidR="00F7363B" w:rsidRPr="00F93F4C" w:rsidRDefault="00F065DE" w:rsidP="007D644A">
      <w:pPr>
        <w:spacing w:line="480" w:lineRule="auto"/>
        <w:jc w:val="center"/>
        <w:rPr>
          <w:sz w:val="24"/>
          <w:szCs w:val="24"/>
        </w:rPr>
      </w:pPr>
      <w:r w:rsidRPr="00F93F4C">
        <w:rPr>
          <w:b/>
          <w:bCs/>
          <w:sz w:val="24"/>
          <w:szCs w:val="24"/>
        </w:rPr>
        <w:t>3. Critical Analysis and Evaluation</w:t>
      </w:r>
    </w:p>
    <w:p w14:paraId="2E6C1629" w14:textId="0AC00A40" w:rsidR="00F7363B" w:rsidRPr="00F93F4C" w:rsidRDefault="00F93F4C" w:rsidP="00F93F4C">
      <w:pPr>
        <w:spacing w:line="480" w:lineRule="auto"/>
        <w:ind w:firstLine="720"/>
        <w:jc w:val="both"/>
        <w:rPr>
          <w:sz w:val="24"/>
          <w:szCs w:val="24"/>
        </w:rPr>
      </w:pPr>
      <w:r w:rsidRPr="00F93F4C">
        <w:rPr>
          <w:sz w:val="24"/>
          <w:szCs w:val="24"/>
        </w:rPr>
        <w:t xml:space="preserve">The five forces suggest that Tesco is facing a very competitive environment with low margins, with buyer power and industry competition the most important pressures influencing strategy. The reason for Tesco's ongoing focus on </w:t>
      </w:r>
      <w:proofErr w:type="spellStart"/>
      <w:r w:rsidRPr="00F93F4C">
        <w:rPr>
          <w:sz w:val="24"/>
          <w:szCs w:val="24"/>
        </w:rPr>
        <w:t>Clubcard</w:t>
      </w:r>
      <w:proofErr w:type="spellEnd"/>
      <w:r w:rsidRPr="00F93F4C">
        <w:rPr>
          <w:sz w:val="24"/>
          <w:szCs w:val="24"/>
        </w:rPr>
        <w:t xml:space="preserve"> </w:t>
      </w:r>
      <w:proofErr w:type="spellStart"/>
      <w:r w:rsidRPr="00F93F4C">
        <w:rPr>
          <w:sz w:val="24"/>
          <w:szCs w:val="24"/>
        </w:rPr>
        <w:t>personalisation</w:t>
      </w:r>
      <w:proofErr w:type="spellEnd"/>
      <w:r w:rsidRPr="00F93F4C">
        <w:rPr>
          <w:sz w:val="24"/>
          <w:szCs w:val="24"/>
        </w:rPr>
        <w:t xml:space="preserve">, price-matching promotions and infrastructure for online and quick delivery is to ensure it holds on to market share against discounters, and mitigate the impact of low switching costs (Tesco PLC, 2025; </w:t>
      </w:r>
      <w:proofErr w:type="spellStart"/>
      <w:r w:rsidRPr="00F93F4C">
        <w:rPr>
          <w:sz w:val="24"/>
          <w:szCs w:val="24"/>
        </w:rPr>
        <w:t>Stecula</w:t>
      </w:r>
      <w:proofErr w:type="spellEnd"/>
      <w:r w:rsidRPr="00F93F4C">
        <w:rPr>
          <w:sz w:val="24"/>
          <w:szCs w:val="24"/>
        </w:rPr>
        <w:t xml:space="preserve">, </w:t>
      </w:r>
      <w:proofErr w:type="spellStart"/>
      <w:r w:rsidRPr="00F93F4C">
        <w:rPr>
          <w:sz w:val="24"/>
          <w:szCs w:val="24"/>
        </w:rPr>
        <w:t>Wolniak</w:t>
      </w:r>
      <w:proofErr w:type="spellEnd"/>
      <w:r w:rsidRPr="00F93F4C">
        <w:rPr>
          <w:sz w:val="24"/>
          <w:szCs w:val="24"/>
        </w:rPr>
        <w:t xml:space="preserve"> and Aydin, 2024). Tesco's scale also means that it has the potential to leverage its suppliers into a competitive advantage, further exemplifying the notion that bargaining power is not fixed but is influenced by relative firm size (O'Connell, Smith and </w:t>
      </w:r>
      <w:proofErr w:type="spellStart"/>
      <w:r w:rsidRPr="00F93F4C">
        <w:rPr>
          <w:sz w:val="24"/>
          <w:szCs w:val="24"/>
        </w:rPr>
        <w:t>Thomassen</w:t>
      </w:r>
      <w:proofErr w:type="spellEnd"/>
      <w:r w:rsidRPr="00F93F4C">
        <w:rPr>
          <w:sz w:val="24"/>
          <w:szCs w:val="24"/>
        </w:rPr>
        <w:t>, 2025).</w:t>
      </w:r>
    </w:p>
    <w:p w14:paraId="6827E431" w14:textId="77777777" w:rsidR="00F93F4C" w:rsidRPr="00F93F4C" w:rsidRDefault="00F93F4C" w:rsidP="00F93F4C">
      <w:pPr>
        <w:spacing w:line="480" w:lineRule="auto"/>
        <w:ind w:firstLine="720"/>
        <w:jc w:val="both"/>
        <w:rPr>
          <w:sz w:val="24"/>
          <w:szCs w:val="24"/>
        </w:rPr>
      </w:pPr>
      <w:r w:rsidRPr="00F93F4C">
        <w:rPr>
          <w:sz w:val="24"/>
          <w:szCs w:val="24"/>
        </w:rPr>
        <w:t xml:space="preserve">Porter's Five Forces model, however, has its limitations. It was created for relatively static industry structures, and has not been able to adequately encompass digital ecosystems, platform competition, or the impact of data-driven </w:t>
      </w:r>
      <w:proofErr w:type="spellStart"/>
      <w:r w:rsidRPr="00F93F4C">
        <w:rPr>
          <w:sz w:val="24"/>
          <w:szCs w:val="24"/>
        </w:rPr>
        <w:t>personalisation</w:t>
      </w:r>
      <w:proofErr w:type="spellEnd"/>
      <w:r w:rsidRPr="00F93F4C">
        <w:rPr>
          <w:sz w:val="24"/>
          <w:szCs w:val="24"/>
        </w:rPr>
        <w:t xml:space="preserve"> strategies that are more prevalent amongst retailers today (</w:t>
      </w:r>
      <w:proofErr w:type="spellStart"/>
      <w:r w:rsidRPr="00F93F4C">
        <w:rPr>
          <w:sz w:val="24"/>
          <w:szCs w:val="24"/>
        </w:rPr>
        <w:t>Shi</w:t>
      </w:r>
      <w:proofErr w:type="spellEnd"/>
      <w:r w:rsidRPr="00F93F4C">
        <w:rPr>
          <w:sz w:val="24"/>
          <w:szCs w:val="24"/>
        </w:rPr>
        <w:t xml:space="preserve">, </w:t>
      </w:r>
      <w:proofErr w:type="spellStart"/>
      <w:r w:rsidRPr="00F93F4C">
        <w:rPr>
          <w:sz w:val="24"/>
          <w:szCs w:val="24"/>
        </w:rPr>
        <w:t>Agbaku</w:t>
      </w:r>
      <w:proofErr w:type="spellEnd"/>
      <w:r w:rsidRPr="00F93F4C">
        <w:rPr>
          <w:sz w:val="24"/>
          <w:szCs w:val="24"/>
        </w:rPr>
        <w:t xml:space="preserve"> and Zhang, 2021). Critics also believe that the model assumes that competition factors are independent, whereas in reality they are interdependent; as the buying power increases, it can stimulate competition (Goyal, 2021). Despite these limitations, the framework is useful for determining the key external forces that affect a marketing </w:t>
      </w:r>
      <w:proofErr w:type="spellStart"/>
      <w:r w:rsidRPr="00F93F4C">
        <w:rPr>
          <w:sz w:val="24"/>
          <w:szCs w:val="24"/>
        </w:rPr>
        <w:t>organisation</w:t>
      </w:r>
      <w:proofErr w:type="spellEnd"/>
      <w:r w:rsidRPr="00F93F4C">
        <w:rPr>
          <w:sz w:val="24"/>
          <w:szCs w:val="24"/>
        </w:rPr>
        <w:t>, especially in the context of digital markets where external conditions evolve rapidly and require more dynamic tools to be used alongside.</w:t>
      </w:r>
    </w:p>
    <w:p w14:paraId="684F52F6" w14:textId="2E861031" w:rsidR="00F7363B" w:rsidRPr="00F93F4C" w:rsidRDefault="00F065DE" w:rsidP="007D644A">
      <w:pPr>
        <w:spacing w:line="480" w:lineRule="auto"/>
        <w:jc w:val="center"/>
        <w:rPr>
          <w:sz w:val="24"/>
          <w:szCs w:val="24"/>
        </w:rPr>
      </w:pPr>
      <w:r w:rsidRPr="00F93F4C">
        <w:rPr>
          <w:b/>
          <w:bCs/>
          <w:sz w:val="24"/>
          <w:szCs w:val="24"/>
        </w:rPr>
        <w:t>4. Conclusion</w:t>
      </w:r>
    </w:p>
    <w:p w14:paraId="462EA925" w14:textId="31A2395D" w:rsidR="00F7363B" w:rsidRPr="00F93F4C" w:rsidRDefault="00F93F4C" w:rsidP="00F93F4C">
      <w:pPr>
        <w:spacing w:line="480" w:lineRule="auto"/>
        <w:ind w:firstLine="720"/>
        <w:jc w:val="both"/>
        <w:rPr>
          <w:sz w:val="24"/>
          <w:szCs w:val="24"/>
        </w:rPr>
      </w:pPr>
      <w:r w:rsidRPr="00F93F4C">
        <w:rPr>
          <w:sz w:val="24"/>
          <w:szCs w:val="24"/>
        </w:rPr>
        <w:t xml:space="preserve">This report has used Porter's Five Forces model to </w:t>
      </w:r>
      <w:proofErr w:type="spellStart"/>
      <w:r w:rsidRPr="00F93F4C">
        <w:rPr>
          <w:sz w:val="24"/>
          <w:szCs w:val="24"/>
        </w:rPr>
        <w:t>analyse</w:t>
      </w:r>
      <w:proofErr w:type="spellEnd"/>
      <w:r w:rsidRPr="00F93F4C">
        <w:rPr>
          <w:sz w:val="24"/>
          <w:szCs w:val="24"/>
        </w:rPr>
        <w:t xml:space="preserve"> Tesco PLC's marketing strategy and found that the most influential is the buyer power and the industry rivalry, supplier power is comparatively weak as Tesco is so large. However, the threat of new entrants is not insignificant and substitutes, especially online and fast delivery, are becoming more significant. Tesco should continue to enhance </w:t>
      </w:r>
      <w:proofErr w:type="spellStart"/>
      <w:r w:rsidRPr="00F93F4C">
        <w:rPr>
          <w:sz w:val="24"/>
          <w:szCs w:val="24"/>
        </w:rPr>
        <w:t>Clubcard</w:t>
      </w:r>
      <w:proofErr w:type="spellEnd"/>
      <w:r w:rsidRPr="00F93F4C">
        <w:rPr>
          <w:sz w:val="24"/>
          <w:szCs w:val="24"/>
        </w:rPr>
        <w:t xml:space="preserve"> </w:t>
      </w:r>
      <w:proofErr w:type="spellStart"/>
      <w:r w:rsidRPr="00F93F4C">
        <w:rPr>
          <w:sz w:val="24"/>
          <w:szCs w:val="24"/>
        </w:rPr>
        <w:t>personalisation</w:t>
      </w:r>
      <w:proofErr w:type="spellEnd"/>
      <w:r w:rsidRPr="00F93F4C">
        <w:rPr>
          <w:sz w:val="24"/>
          <w:szCs w:val="24"/>
        </w:rPr>
        <w:t xml:space="preserve"> to further strengthen customer loyalty, develop online and convenience formats to reduce the threat from substitutes and continue to price-match selectively to fend off discounter competition without compromising overall margins. Situational analysis is still relevant for strategic planning because it enables decision-makers in marketing to foresee the competitive challenges and allocate resources for safeguarding sources of advantage.</w:t>
      </w:r>
    </w:p>
    <w:p w14:paraId="071BBB00" w14:textId="77777777" w:rsidR="00F7363B" w:rsidRPr="00F93F4C" w:rsidRDefault="00F065DE" w:rsidP="00F93F4C">
      <w:pPr>
        <w:spacing w:line="480" w:lineRule="auto"/>
        <w:rPr>
          <w:sz w:val="24"/>
          <w:szCs w:val="24"/>
        </w:rPr>
      </w:pPr>
      <w:r w:rsidRPr="00F93F4C">
        <w:rPr>
          <w:sz w:val="24"/>
          <w:szCs w:val="24"/>
        </w:rPr>
        <w:br w:type="page"/>
      </w:r>
    </w:p>
    <w:p w14:paraId="4DE19836" w14:textId="77777777" w:rsidR="00F7363B" w:rsidRPr="00F93F4C" w:rsidRDefault="00F065DE" w:rsidP="00F93F4C">
      <w:pPr>
        <w:pStyle w:val="Heading1"/>
        <w:spacing w:line="480" w:lineRule="auto"/>
        <w:rPr>
          <w:sz w:val="24"/>
          <w:szCs w:val="24"/>
        </w:rPr>
      </w:pPr>
      <w:r w:rsidRPr="00F93F4C">
        <w:rPr>
          <w:b/>
          <w:bCs/>
          <w:sz w:val="24"/>
          <w:szCs w:val="24"/>
        </w:rPr>
        <w:t>References</w:t>
      </w:r>
    </w:p>
    <w:p w14:paraId="284885A5" w14:textId="5A13B5ED" w:rsidR="00F7363B" w:rsidRPr="00F93F4C" w:rsidRDefault="00DE3905" w:rsidP="00F93F4C">
      <w:pPr>
        <w:spacing w:line="480" w:lineRule="auto"/>
        <w:ind w:left="720" w:hanging="720"/>
        <w:rPr>
          <w:sz w:val="24"/>
          <w:szCs w:val="24"/>
        </w:rPr>
      </w:pPr>
      <w:r w:rsidRPr="00F93F4C">
        <w:rPr>
          <w:i/>
          <w:iCs/>
          <w:sz w:val="24"/>
          <w:szCs w:val="24"/>
        </w:rPr>
        <w:t xml:space="preserve">Hood, N., Urquhart, R., </w:t>
      </w:r>
      <w:proofErr w:type="spellStart"/>
      <w:r w:rsidRPr="00F93F4C">
        <w:rPr>
          <w:i/>
          <w:iCs/>
          <w:sz w:val="24"/>
          <w:szCs w:val="24"/>
        </w:rPr>
        <w:t>Newing</w:t>
      </w:r>
      <w:proofErr w:type="spellEnd"/>
      <w:r w:rsidRPr="00F93F4C">
        <w:rPr>
          <w:i/>
          <w:iCs/>
          <w:sz w:val="24"/>
          <w:szCs w:val="24"/>
        </w:rPr>
        <w:t xml:space="preserve">, A. and </w:t>
      </w:r>
      <w:proofErr w:type="spellStart"/>
      <w:r w:rsidRPr="00F93F4C">
        <w:rPr>
          <w:i/>
          <w:iCs/>
          <w:sz w:val="24"/>
          <w:szCs w:val="24"/>
        </w:rPr>
        <w:t>Heppenstall</w:t>
      </w:r>
      <w:proofErr w:type="spellEnd"/>
      <w:r w:rsidRPr="00F93F4C">
        <w:rPr>
          <w:i/>
          <w:iCs/>
          <w:sz w:val="24"/>
          <w:szCs w:val="24"/>
        </w:rPr>
        <w:t xml:space="preserve">, A. (2020) 'Sociodemographic and spatial disaggregation of e-commerce channel use in the grocery market in Great Britain', Journal of Retailing and Consumer Services, 55, p. 102076. Available at: </w:t>
      </w:r>
      <w:hyperlink r:id="rId7" w:history="1">
        <w:r w:rsidRPr="00F93F4C">
          <w:rPr>
            <w:rStyle w:val="Hyperlink"/>
            <w:i/>
            <w:iCs/>
            <w:sz w:val="24"/>
            <w:szCs w:val="24"/>
          </w:rPr>
          <w:t>https://eprints.whiterose.ac.uk/id/eprint/157262/</w:t>
        </w:r>
      </w:hyperlink>
      <w:r w:rsidRPr="00F93F4C">
        <w:rPr>
          <w:i/>
          <w:iCs/>
          <w:sz w:val="24"/>
          <w:szCs w:val="24"/>
        </w:rPr>
        <w:t xml:space="preserve"> (Accessed: 11 July 2026).</w:t>
      </w:r>
      <w:r w:rsidR="00F065DE" w:rsidRPr="00F93F4C">
        <w:rPr>
          <w:i/>
          <w:iCs/>
          <w:sz w:val="24"/>
          <w:szCs w:val="24"/>
        </w:rPr>
        <w:t xml:space="preserve">Competition and Markets Authority (2023) </w:t>
      </w:r>
      <w:r w:rsidR="00F065DE" w:rsidRPr="00F93F4C">
        <w:rPr>
          <w:sz w:val="24"/>
          <w:szCs w:val="24"/>
        </w:rPr>
        <w:t>Price Inflation and Competition in Food and Grocery Manufacturing and Supply. London: CMA. Available at: https://www.gov.uk/cma-cases (Accessed: 10 July 2026).</w:t>
      </w:r>
    </w:p>
    <w:p w14:paraId="013BCC35" w14:textId="77777777" w:rsidR="00F7363B" w:rsidRPr="00F93F4C" w:rsidRDefault="00F065DE" w:rsidP="00F93F4C">
      <w:pPr>
        <w:spacing w:line="480" w:lineRule="auto"/>
        <w:ind w:left="720" w:hanging="720"/>
        <w:rPr>
          <w:sz w:val="24"/>
          <w:szCs w:val="24"/>
        </w:rPr>
      </w:pPr>
      <w:r w:rsidRPr="00F93F4C">
        <w:rPr>
          <w:i/>
          <w:iCs/>
          <w:sz w:val="24"/>
          <w:szCs w:val="24"/>
        </w:rPr>
        <w:t xml:space="preserve">Consumer Edge (2025) </w:t>
      </w:r>
      <w:r w:rsidRPr="00F93F4C">
        <w:rPr>
          <w:sz w:val="24"/>
          <w:szCs w:val="24"/>
        </w:rPr>
        <w:t>UK Grocery Market Share Report - August 2025. Available at: https://www.consumeredge.com/resources/insights/consumer-edge-uk-grocery-market-share-report-august-2025/ (Accessed: 10 July 2026).</w:t>
      </w:r>
    </w:p>
    <w:p w14:paraId="6E15C8BF" w14:textId="77777777" w:rsidR="00F7363B" w:rsidRPr="00F93F4C" w:rsidRDefault="00F065DE" w:rsidP="00F93F4C">
      <w:pPr>
        <w:spacing w:line="480" w:lineRule="auto"/>
        <w:ind w:left="720" w:hanging="720"/>
        <w:rPr>
          <w:sz w:val="24"/>
          <w:szCs w:val="24"/>
        </w:rPr>
      </w:pPr>
      <w:r w:rsidRPr="00F93F4C">
        <w:rPr>
          <w:i/>
          <w:iCs/>
          <w:sz w:val="24"/>
          <w:szCs w:val="24"/>
        </w:rPr>
        <w:t xml:space="preserve">Duke, R.C. (1993) 'European new entry into UK grocery retailing', </w:t>
      </w:r>
      <w:r w:rsidRPr="00F93F4C">
        <w:rPr>
          <w:sz w:val="24"/>
          <w:szCs w:val="24"/>
        </w:rPr>
        <w:t>International Journal of Retail &amp; Distribution Management, 21(1), pp. 35-39. Available at: https://eprints.whiterose.ac.uk/339/1/dukerc1.pdf (Accessed: 10 July 2026).</w:t>
      </w:r>
    </w:p>
    <w:p w14:paraId="54C329C5" w14:textId="77777777" w:rsidR="00F7363B" w:rsidRPr="00F93F4C" w:rsidRDefault="00F065DE" w:rsidP="00F93F4C">
      <w:pPr>
        <w:spacing w:line="480" w:lineRule="auto"/>
        <w:ind w:left="720" w:hanging="720"/>
        <w:rPr>
          <w:sz w:val="24"/>
          <w:szCs w:val="24"/>
        </w:rPr>
      </w:pPr>
      <w:r w:rsidRPr="00F93F4C">
        <w:rPr>
          <w:i/>
          <w:iCs/>
          <w:sz w:val="24"/>
          <w:szCs w:val="24"/>
        </w:rPr>
        <w:t xml:space="preserve">Goyal, A. (2021) </w:t>
      </w:r>
      <w:r w:rsidRPr="00F93F4C">
        <w:rPr>
          <w:sz w:val="24"/>
          <w:szCs w:val="24"/>
        </w:rPr>
        <w:t>A Critical Analysis of Porter's 5 Forces Model of Competitive Advantage. SSRN. Available at: https://papers.ssrn.com/sol3/papers.cfm?abstract_id=3765758 (Accessed: 10 July 2026).</w:t>
      </w:r>
    </w:p>
    <w:p w14:paraId="5E263C9D" w14:textId="77777777" w:rsidR="00F7363B" w:rsidRPr="00F93F4C" w:rsidRDefault="00F065DE" w:rsidP="00F93F4C">
      <w:pPr>
        <w:spacing w:line="480" w:lineRule="auto"/>
        <w:ind w:left="720" w:hanging="720"/>
        <w:rPr>
          <w:sz w:val="24"/>
          <w:szCs w:val="24"/>
        </w:rPr>
      </w:pPr>
      <w:r w:rsidRPr="00F93F4C">
        <w:rPr>
          <w:i/>
          <w:iCs/>
          <w:sz w:val="24"/>
          <w:szCs w:val="24"/>
        </w:rPr>
        <w:t xml:space="preserve">GroceryTradeNews (2025) </w:t>
      </w:r>
      <w:r w:rsidRPr="00F93F4C">
        <w:rPr>
          <w:sz w:val="24"/>
          <w:szCs w:val="24"/>
        </w:rPr>
        <w:t>UK Grocery Market Share 2025 - Tesco Leads Again. Available at: https://www.grocerytradenews.com/uk-grocery-market-share-2025/ (Accessed: 10 July 2026).</w:t>
      </w:r>
    </w:p>
    <w:p w14:paraId="7BF028E6" w14:textId="77777777" w:rsidR="00F7363B" w:rsidRPr="00F93F4C" w:rsidRDefault="00F065DE" w:rsidP="00F93F4C">
      <w:pPr>
        <w:spacing w:line="480" w:lineRule="auto"/>
        <w:ind w:left="720" w:hanging="720"/>
        <w:rPr>
          <w:sz w:val="24"/>
          <w:szCs w:val="24"/>
        </w:rPr>
      </w:pPr>
      <w:r w:rsidRPr="00F93F4C">
        <w:rPr>
          <w:i/>
          <w:iCs/>
          <w:sz w:val="24"/>
          <w:szCs w:val="24"/>
        </w:rPr>
        <w:t xml:space="preserve">O'Connell, M., Smith, H. and </w:t>
      </w:r>
      <w:proofErr w:type="spellStart"/>
      <w:r w:rsidRPr="00F93F4C">
        <w:rPr>
          <w:i/>
          <w:iCs/>
          <w:sz w:val="24"/>
          <w:szCs w:val="24"/>
        </w:rPr>
        <w:t>Thomassen</w:t>
      </w:r>
      <w:proofErr w:type="spellEnd"/>
      <w:r w:rsidRPr="00F93F4C">
        <w:rPr>
          <w:i/>
          <w:iCs/>
          <w:sz w:val="24"/>
          <w:szCs w:val="24"/>
        </w:rPr>
        <w:t xml:space="preserve">, O. (2025) </w:t>
      </w:r>
      <w:r w:rsidRPr="00F93F4C">
        <w:rPr>
          <w:sz w:val="24"/>
          <w:szCs w:val="24"/>
        </w:rPr>
        <w:t>The Rise of Discounters and its Impact on Concentration, Market Power and Welfare. IFS Working Paper WP202529. London: Institute for Fiscal Studies. Available at: https://ifs.org.uk/sites/default/files/2025-09/WP202529-The-rise-of-discounters-and-its-impact-on-concentration-market-power-and-welfare.pdf (Accessed: 10 July 2026).</w:t>
      </w:r>
    </w:p>
    <w:p w14:paraId="475E05E7" w14:textId="77777777" w:rsidR="00F7363B" w:rsidRPr="00F93F4C" w:rsidRDefault="00F065DE" w:rsidP="00F93F4C">
      <w:pPr>
        <w:spacing w:line="480" w:lineRule="auto"/>
        <w:ind w:left="720" w:hanging="720"/>
        <w:rPr>
          <w:sz w:val="24"/>
          <w:szCs w:val="24"/>
        </w:rPr>
      </w:pPr>
      <w:proofErr w:type="spellStart"/>
      <w:r w:rsidRPr="00F93F4C">
        <w:rPr>
          <w:i/>
          <w:iCs/>
          <w:sz w:val="24"/>
          <w:szCs w:val="24"/>
        </w:rPr>
        <w:t>Shi</w:t>
      </w:r>
      <w:proofErr w:type="spellEnd"/>
      <w:r w:rsidRPr="00F93F4C">
        <w:rPr>
          <w:i/>
          <w:iCs/>
          <w:sz w:val="24"/>
          <w:szCs w:val="24"/>
        </w:rPr>
        <w:t xml:space="preserve">, C., </w:t>
      </w:r>
      <w:proofErr w:type="spellStart"/>
      <w:r w:rsidRPr="00F93F4C">
        <w:rPr>
          <w:i/>
          <w:iCs/>
          <w:sz w:val="24"/>
          <w:szCs w:val="24"/>
        </w:rPr>
        <w:t>Agbaku</w:t>
      </w:r>
      <w:proofErr w:type="spellEnd"/>
      <w:r w:rsidRPr="00F93F4C">
        <w:rPr>
          <w:i/>
          <w:iCs/>
          <w:sz w:val="24"/>
          <w:szCs w:val="24"/>
        </w:rPr>
        <w:t xml:space="preserve">, C.A. and Zhang, F. (2021) 'How do upper echelons perceive Porter's five forces? Evidence from strategic entrepreneurship in China', </w:t>
      </w:r>
      <w:r w:rsidRPr="00F93F4C">
        <w:rPr>
          <w:sz w:val="24"/>
          <w:szCs w:val="24"/>
        </w:rPr>
        <w:t>Frontiers in Psychology, 12, 649574. Available at: https://pmc.ncbi.nlm.nih.gov/articles/PMC8685311/ (Accessed: 10 July 2026).</w:t>
      </w:r>
    </w:p>
    <w:p w14:paraId="7D153C9D" w14:textId="77777777" w:rsidR="00F7363B" w:rsidRPr="00F93F4C" w:rsidRDefault="00F065DE" w:rsidP="00F93F4C">
      <w:pPr>
        <w:spacing w:line="480" w:lineRule="auto"/>
        <w:ind w:left="720" w:hanging="720"/>
        <w:rPr>
          <w:sz w:val="24"/>
          <w:szCs w:val="24"/>
        </w:rPr>
      </w:pPr>
      <w:proofErr w:type="spellStart"/>
      <w:r w:rsidRPr="00F93F4C">
        <w:rPr>
          <w:i/>
          <w:iCs/>
          <w:sz w:val="24"/>
          <w:szCs w:val="24"/>
        </w:rPr>
        <w:t>Stecula</w:t>
      </w:r>
      <w:proofErr w:type="spellEnd"/>
      <w:r w:rsidRPr="00F93F4C">
        <w:rPr>
          <w:i/>
          <w:iCs/>
          <w:sz w:val="24"/>
          <w:szCs w:val="24"/>
        </w:rPr>
        <w:t xml:space="preserve">, K., </w:t>
      </w:r>
      <w:proofErr w:type="spellStart"/>
      <w:r w:rsidRPr="00F93F4C">
        <w:rPr>
          <w:i/>
          <w:iCs/>
          <w:sz w:val="24"/>
          <w:szCs w:val="24"/>
        </w:rPr>
        <w:t>Wolniak</w:t>
      </w:r>
      <w:proofErr w:type="spellEnd"/>
      <w:r w:rsidRPr="00F93F4C">
        <w:rPr>
          <w:i/>
          <w:iCs/>
          <w:sz w:val="24"/>
          <w:szCs w:val="24"/>
        </w:rPr>
        <w:t xml:space="preserve">, R. and Aydin, B. (2024) 'Technology development in online grocery shopping - from shopping services to virtual reality, metaverse, and smart devices: a review', </w:t>
      </w:r>
      <w:r w:rsidRPr="00F93F4C">
        <w:rPr>
          <w:sz w:val="24"/>
          <w:szCs w:val="24"/>
        </w:rPr>
        <w:t>Foods, 13(23), 3959. Available at: https://www.mdpi.com/2304-8158/13/23/3959 (Accessed: 10 July 2026).</w:t>
      </w:r>
    </w:p>
    <w:p w14:paraId="32C3611A" w14:textId="77777777" w:rsidR="00F7363B" w:rsidRPr="00F93F4C" w:rsidRDefault="00F065DE" w:rsidP="00F93F4C">
      <w:pPr>
        <w:spacing w:line="480" w:lineRule="auto"/>
        <w:ind w:left="720" w:hanging="720"/>
        <w:rPr>
          <w:sz w:val="24"/>
          <w:szCs w:val="24"/>
        </w:rPr>
      </w:pPr>
      <w:r w:rsidRPr="00F93F4C">
        <w:rPr>
          <w:i/>
          <w:iCs/>
          <w:sz w:val="24"/>
          <w:szCs w:val="24"/>
        </w:rPr>
        <w:t xml:space="preserve">Tesco PLC (2025) </w:t>
      </w:r>
      <w:r w:rsidRPr="00F93F4C">
        <w:rPr>
          <w:sz w:val="24"/>
          <w:szCs w:val="24"/>
        </w:rPr>
        <w:t>Annual Report and Financial Statements. Available at: https://www.tescoplc.com (Accessed: 10 July 2026).</w:t>
      </w:r>
    </w:p>
    <w:sectPr w:rsidR="00F7363B" w:rsidRPr="00F93F4C">
      <w:head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A7989BF" w14:textId="77777777" w:rsidR="006B7CFB" w:rsidRDefault="006B7CFB">
      <w:r>
        <w:separator/>
      </w:r>
    </w:p>
  </w:endnote>
  <w:endnote w:type="continuationSeparator" w:id="0">
    <w:p w14:paraId="44B7D8ED" w14:textId="77777777" w:rsidR="006B7CFB" w:rsidRDefault="006B7C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D282547" w14:textId="77777777" w:rsidR="006B7CFB" w:rsidRDefault="006B7CFB">
      <w:r>
        <w:separator/>
      </w:r>
    </w:p>
  </w:footnote>
  <w:footnote w:type="continuationSeparator" w:id="0">
    <w:p w14:paraId="7A5DA73D" w14:textId="77777777" w:rsidR="006B7CFB" w:rsidRDefault="006B7C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sz w:val="24"/>
        <w:szCs w:val="24"/>
      </w:rPr>
      <w:id w:val="1261415433"/>
      <w:docPartObj>
        <w:docPartGallery w:val="Page Numbers (Top of Page)"/>
        <w:docPartUnique/>
      </w:docPartObj>
    </w:sdtPr>
    <w:sdtEndPr>
      <w:rPr>
        <w:noProof/>
      </w:rPr>
    </w:sdtEndPr>
    <w:sdtContent>
      <w:p w14:paraId="1E7DDD01" w14:textId="17C9FB1E" w:rsidR="003A6603" w:rsidRPr="003A6603" w:rsidRDefault="003A6603">
        <w:pPr>
          <w:pStyle w:val="Header"/>
          <w:jc w:val="right"/>
          <w:rPr>
            <w:sz w:val="24"/>
            <w:szCs w:val="24"/>
          </w:rPr>
        </w:pPr>
        <w:r w:rsidRPr="003A6603">
          <w:rPr>
            <w:sz w:val="24"/>
            <w:szCs w:val="24"/>
          </w:rPr>
          <w:fldChar w:fldCharType="begin"/>
        </w:r>
        <w:r w:rsidRPr="003A6603">
          <w:rPr>
            <w:sz w:val="24"/>
            <w:szCs w:val="24"/>
          </w:rPr>
          <w:instrText xml:space="preserve"> PAGE   \* MERGEFORMAT </w:instrText>
        </w:r>
        <w:r w:rsidRPr="003A6603">
          <w:rPr>
            <w:sz w:val="24"/>
            <w:szCs w:val="24"/>
          </w:rPr>
          <w:fldChar w:fldCharType="separate"/>
        </w:r>
        <w:r w:rsidRPr="003A6603">
          <w:rPr>
            <w:noProof/>
            <w:sz w:val="24"/>
            <w:szCs w:val="24"/>
          </w:rPr>
          <w:t>2</w:t>
        </w:r>
        <w:r w:rsidRPr="003A6603">
          <w:rPr>
            <w:noProof/>
            <w:sz w:val="24"/>
            <w:szCs w:val="24"/>
          </w:rPr>
          <w:fldChar w:fldCharType="end"/>
        </w:r>
      </w:p>
    </w:sdtContent>
  </w:sdt>
  <w:p w14:paraId="711FF569" w14:textId="77777777" w:rsidR="00F7363B" w:rsidRPr="003A6603" w:rsidRDefault="00F7363B">
    <w:pPr>
      <w:rPr>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8CD12DD"/>
    <w:multiLevelType w:val="hybridMultilevel"/>
    <w:tmpl w:val="AED48E02"/>
    <w:lvl w:ilvl="0" w:tplc="84C880BC">
      <w:start w:val="1"/>
      <w:numFmt w:val="bullet"/>
      <w:lvlText w:val="●"/>
      <w:lvlJc w:val="left"/>
      <w:pPr>
        <w:ind w:left="720" w:hanging="360"/>
      </w:pPr>
    </w:lvl>
    <w:lvl w:ilvl="1" w:tplc="2AEE646C">
      <w:start w:val="1"/>
      <w:numFmt w:val="bullet"/>
      <w:lvlText w:val="○"/>
      <w:lvlJc w:val="left"/>
      <w:pPr>
        <w:ind w:left="1440" w:hanging="360"/>
      </w:pPr>
    </w:lvl>
    <w:lvl w:ilvl="2" w:tplc="055854CC">
      <w:start w:val="1"/>
      <w:numFmt w:val="bullet"/>
      <w:lvlText w:val="■"/>
      <w:lvlJc w:val="left"/>
      <w:pPr>
        <w:ind w:left="2160" w:hanging="360"/>
      </w:pPr>
    </w:lvl>
    <w:lvl w:ilvl="3" w:tplc="71787746">
      <w:start w:val="1"/>
      <w:numFmt w:val="bullet"/>
      <w:lvlText w:val="●"/>
      <w:lvlJc w:val="left"/>
      <w:pPr>
        <w:ind w:left="2880" w:hanging="360"/>
      </w:pPr>
    </w:lvl>
    <w:lvl w:ilvl="4" w:tplc="210891A2">
      <w:start w:val="1"/>
      <w:numFmt w:val="bullet"/>
      <w:lvlText w:val="○"/>
      <w:lvlJc w:val="left"/>
      <w:pPr>
        <w:ind w:left="3600" w:hanging="360"/>
      </w:pPr>
    </w:lvl>
    <w:lvl w:ilvl="5" w:tplc="83EA34E4">
      <w:start w:val="1"/>
      <w:numFmt w:val="bullet"/>
      <w:lvlText w:val="■"/>
      <w:lvlJc w:val="left"/>
      <w:pPr>
        <w:ind w:left="4320" w:hanging="360"/>
      </w:pPr>
    </w:lvl>
    <w:lvl w:ilvl="6" w:tplc="8DC65DA2">
      <w:start w:val="1"/>
      <w:numFmt w:val="bullet"/>
      <w:lvlText w:val="●"/>
      <w:lvlJc w:val="left"/>
      <w:pPr>
        <w:ind w:left="5040" w:hanging="360"/>
      </w:pPr>
    </w:lvl>
    <w:lvl w:ilvl="7" w:tplc="8408B1DE">
      <w:start w:val="1"/>
      <w:numFmt w:val="bullet"/>
      <w:lvlText w:val="●"/>
      <w:lvlJc w:val="left"/>
      <w:pPr>
        <w:ind w:left="5760" w:hanging="360"/>
      </w:pPr>
    </w:lvl>
    <w:lvl w:ilvl="8" w:tplc="403238B6">
      <w:start w:val="1"/>
      <w:numFmt w:val="bullet"/>
      <w:lvlText w:val="●"/>
      <w:lvlJc w:val="left"/>
      <w:pPr>
        <w:ind w:left="6480" w:hanging="360"/>
      </w:pPr>
    </w:lvl>
  </w:abstractNum>
  <w:num w:numId="1" w16cid:durableId="2083093365">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1"/>
  <w:displayBackgroundShap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63B"/>
    <w:rsid w:val="00373AE1"/>
    <w:rsid w:val="003A6603"/>
    <w:rsid w:val="0046775B"/>
    <w:rsid w:val="004D7DCB"/>
    <w:rsid w:val="00523FF7"/>
    <w:rsid w:val="006B7CFB"/>
    <w:rsid w:val="00777F7D"/>
    <w:rsid w:val="007C68C7"/>
    <w:rsid w:val="007D644A"/>
    <w:rsid w:val="00D06AB1"/>
    <w:rsid w:val="00DE3905"/>
    <w:rsid w:val="00ED7265"/>
    <w:rsid w:val="00F065DE"/>
    <w:rsid w:val="00F7363B"/>
    <w:rsid w:val="00F93F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FDEBE"/>
  <w15:docId w15:val="{75823B98-9E79-4DED-812F-3ECC5597A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3A6603"/>
    <w:pPr>
      <w:tabs>
        <w:tab w:val="center" w:pos="4680"/>
        <w:tab w:val="right" w:pos="9360"/>
      </w:tabs>
    </w:pPr>
  </w:style>
  <w:style w:type="character" w:customStyle="1" w:styleId="HeaderChar">
    <w:name w:val="Header Char"/>
    <w:basedOn w:val="DefaultParagraphFont"/>
    <w:link w:val="Header"/>
    <w:uiPriority w:val="99"/>
    <w:rsid w:val="003A6603"/>
  </w:style>
  <w:style w:type="paragraph" w:styleId="Footer">
    <w:name w:val="footer"/>
    <w:basedOn w:val="Normal"/>
    <w:link w:val="FooterChar"/>
    <w:uiPriority w:val="99"/>
    <w:unhideWhenUsed/>
    <w:rsid w:val="003A6603"/>
    <w:pPr>
      <w:tabs>
        <w:tab w:val="center" w:pos="4680"/>
        <w:tab w:val="right" w:pos="9360"/>
      </w:tabs>
    </w:pPr>
  </w:style>
  <w:style w:type="character" w:customStyle="1" w:styleId="FooterChar">
    <w:name w:val="Footer Char"/>
    <w:basedOn w:val="DefaultParagraphFont"/>
    <w:link w:val="Footer"/>
    <w:uiPriority w:val="99"/>
    <w:rsid w:val="003A6603"/>
  </w:style>
  <w:style w:type="character" w:styleId="UnresolvedMention">
    <w:name w:val="Unresolved Mention"/>
    <w:basedOn w:val="DefaultParagraphFont"/>
    <w:uiPriority w:val="99"/>
    <w:semiHidden/>
    <w:unhideWhenUsed/>
    <w:rsid w:val="00DE39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eprints.whiterose.ac.uk/id/eprint/15726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1461</Words>
  <Characters>8331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George Andreeas Geamanu (2440439)</cp:lastModifiedBy>
  <cp:revision>5</cp:revision>
  <dcterms:created xsi:type="dcterms:W3CDTF">2026-07-11T12:48:00Z</dcterms:created>
  <dcterms:modified xsi:type="dcterms:W3CDTF">2026-07-13T19:15:00Z</dcterms:modified>
</cp:coreProperties>
</file>