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C2BA5" w:rsidRDefault="007E4150" w:rsidP="002C2BA5">
      <w:pPr>
        <w:spacing w:after="200" w:line="276" w:lineRule="auto"/>
        <w:jc w:val="center"/>
        <w:rPr>
          <w:rFonts w:ascii="Times New Roman" w:eastAsiaTheme="minorHAnsi" w:hAnsi="Times New Roman" w:cs="Times New Roman"/>
          <w:sz w:val="96"/>
          <w:szCs w:val="96"/>
          <w:lang w:val="en-IN" w:eastAsia="en-US"/>
        </w:rPr>
      </w:pPr>
      <w:r>
        <w:rPr>
          <w:rFonts w:ascii="Times New Roman" w:eastAsiaTheme="minorHAnsi" w:hAnsi="Times New Roman" w:cs="Times New Roman"/>
          <w:sz w:val="96"/>
          <w:szCs w:val="96"/>
          <w:lang w:val="en-IN" w:eastAsia="en-US"/>
        </w:rPr>
        <w:t>Assignmen</w:t>
      </w:r>
      <w:r w:rsidR="00774E02">
        <w:rPr>
          <w:rFonts w:ascii="Times New Roman" w:eastAsiaTheme="minorHAnsi" w:hAnsi="Times New Roman" w:cs="Times New Roman"/>
          <w:sz w:val="96"/>
          <w:szCs w:val="96"/>
          <w:lang w:val="en-IN" w:eastAsia="en-US"/>
        </w:rPr>
        <w:t>t  1</w:t>
      </w:r>
      <w:r>
        <w:rPr>
          <w:rFonts w:ascii="Times New Roman" w:eastAsiaTheme="minorHAnsi" w:hAnsi="Times New Roman" w:cs="Times New Roman"/>
          <w:sz w:val="96"/>
          <w:szCs w:val="96"/>
          <w:lang w:val="en-IN" w:eastAsia="en-US"/>
        </w:rPr>
        <w:t xml:space="preserve"> </w:t>
      </w:r>
      <w:r w:rsidR="002C2BA5" w:rsidRPr="002C2BA5">
        <w:rPr>
          <w:rFonts w:ascii="Times New Roman" w:eastAsiaTheme="minorHAnsi" w:hAnsi="Times New Roman" w:cs="Times New Roman"/>
          <w:sz w:val="96"/>
          <w:szCs w:val="96"/>
          <w:lang w:val="en-IN" w:eastAsia="en-US"/>
        </w:rPr>
        <w:t xml:space="preserve">Community Engagement </w:t>
      </w:r>
    </w:p>
    <w:p w:rsidR="00774E02" w:rsidRDefault="00774E02" w:rsidP="002C2BA5">
      <w:pPr>
        <w:spacing w:after="200" w:line="276" w:lineRule="auto"/>
        <w:jc w:val="center"/>
        <w:rPr>
          <w:rFonts w:ascii="Times New Roman" w:eastAsiaTheme="minorHAnsi" w:hAnsi="Times New Roman" w:cs="Times New Roman"/>
          <w:sz w:val="96"/>
          <w:szCs w:val="96"/>
          <w:lang w:val="en-IN" w:eastAsia="en-US"/>
        </w:rPr>
      </w:pPr>
      <w:r>
        <w:rPr>
          <w:rFonts w:ascii="Times New Roman" w:eastAsiaTheme="minorHAnsi" w:hAnsi="Times New Roman" w:cs="Times New Roman"/>
          <w:sz w:val="96"/>
          <w:szCs w:val="96"/>
          <w:lang w:val="en-IN" w:eastAsia="en-US"/>
        </w:rPr>
        <w:t xml:space="preserve">By Ivelina </w:t>
      </w:r>
      <w:proofErr w:type="spellStart"/>
      <w:r>
        <w:rPr>
          <w:rFonts w:ascii="Times New Roman" w:eastAsiaTheme="minorHAnsi" w:hAnsi="Times New Roman" w:cs="Times New Roman"/>
          <w:sz w:val="96"/>
          <w:szCs w:val="96"/>
          <w:lang w:val="en-IN" w:eastAsia="en-US"/>
        </w:rPr>
        <w:t>Gardzheva</w:t>
      </w:r>
      <w:proofErr w:type="spellEnd"/>
      <w:r>
        <w:rPr>
          <w:rFonts w:ascii="Times New Roman" w:eastAsiaTheme="minorHAnsi" w:hAnsi="Times New Roman" w:cs="Times New Roman"/>
          <w:sz w:val="96"/>
          <w:szCs w:val="96"/>
          <w:lang w:val="en-IN" w:eastAsia="en-US"/>
        </w:rPr>
        <w:t xml:space="preserve"> </w:t>
      </w:r>
    </w:p>
    <w:p w:rsidR="002D6D9C" w:rsidRDefault="002D6D9C" w:rsidP="002C2BA5">
      <w:pPr>
        <w:spacing w:after="200" w:line="276" w:lineRule="auto"/>
        <w:jc w:val="center"/>
        <w:rPr>
          <w:rFonts w:ascii="Times New Roman" w:eastAsiaTheme="minorHAnsi" w:hAnsi="Times New Roman" w:cs="Times New Roman"/>
          <w:sz w:val="96"/>
          <w:szCs w:val="96"/>
          <w:lang w:val="en-IN" w:eastAsia="en-US"/>
        </w:rPr>
      </w:pPr>
      <w:r>
        <w:rPr>
          <w:rFonts w:ascii="Times New Roman" w:eastAsiaTheme="minorHAnsi" w:hAnsi="Times New Roman" w:cs="Times New Roman"/>
          <w:sz w:val="96"/>
          <w:szCs w:val="96"/>
          <w:lang w:val="en-IN" w:eastAsia="en-US"/>
        </w:rPr>
        <w:t>Student No191978</w:t>
      </w:r>
      <w:r w:rsidR="00C6077D">
        <w:rPr>
          <w:rFonts w:ascii="Times New Roman" w:eastAsiaTheme="minorHAnsi" w:hAnsi="Times New Roman" w:cs="Times New Roman"/>
          <w:sz w:val="96"/>
          <w:szCs w:val="96"/>
          <w:lang w:val="en-IN" w:eastAsia="en-US"/>
        </w:rPr>
        <w:t>2</w:t>
      </w:r>
    </w:p>
    <w:p w:rsidR="00EA4B75" w:rsidRDefault="00B079A0" w:rsidP="002C2BA5">
      <w:pPr>
        <w:spacing w:after="200" w:line="276" w:lineRule="auto"/>
        <w:jc w:val="center"/>
        <w:rPr>
          <w:rFonts w:ascii="Times New Roman" w:eastAsiaTheme="minorHAnsi" w:hAnsi="Times New Roman" w:cs="Times New Roman"/>
          <w:sz w:val="104"/>
          <w:szCs w:val="104"/>
          <w:lang w:val="en-IN" w:eastAsia="en-US"/>
        </w:rPr>
      </w:pPr>
      <w:r>
        <w:rPr>
          <w:rFonts w:ascii="Times New Roman" w:eastAsiaTheme="minorHAnsi" w:hAnsi="Times New Roman" w:cs="Times New Roman"/>
          <w:sz w:val="104"/>
          <w:szCs w:val="104"/>
          <w:lang w:val="en-IN" w:eastAsia="en-US"/>
        </w:rPr>
        <w:t xml:space="preserve">Tutor: </w:t>
      </w:r>
      <w:proofErr w:type="spellStart"/>
      <w:r w:rsidR="007F6948">
        <w:rPr>
          <w:rFonts w:ascii="Times New Roman" w:eastAsiaTheme="minorHAnsi" w:hAnsi="Times New Roman" w:cs="Times New Roman"/>
          <w:sz w:val="104"/>
          <w:szCs w:val="104"/>
          <w:lang w:val="en-IN" w:eastAsia="en-US"/>
        </w:rPr>
        <w:t>Rula</w:t>
      </w:r>
      <w:proofErr w:type="spellEnd"/>
      <w:r w:rsidR="007F6948">
        <w:rPr>
          <w:rFonts w:ascii="Times New Roman" w:eastAsiaTheme="minorHAnsi" w:hAnsi="Times New Roman" w:cs="Times New Roman"/>
          <w:sz w:val="104"/>
          <w:szCs w:val="104"/>
          <w:lang w:val="en-IN" w:eastAsia="en-US"/>
        </w:rPr>
        <w:t xml:space="preserve"> </w:t>
      </w:r>
      <w:proofErr w:type="spellStart"/>
      <w:r w:rsidR="00F222B6">
        <w:rPr>
          <w:rFonts w:ascii="Times New Roman" w:eastAsiaTheme="minorHAnsi" w:hAnsi="Times New Roman" w:cs="Times New Roman"/>
          <w:sz w:val="104"/>
          <w:szCs w:val="104"/>
          <w:lang w:val="en-IN" w:eastAsia="en-US"/>
        </w:rPr>
        <w:t>Alousi</w:t>
      </w:r>
      <w:proofErr w:type="spellEnd"/>
    </w:p>
    <w:p w:rsidR="00F222B6" w:rsidRPr="002C2BA5" w:rsidRDefault="00F222B6" w:rsidP="002C2BA5">
      <w:pPr>
        <w:spacing w:after="200" w:line="276" w:lineRule="auto"/>
        <w:jc w:val="center"/>
        <w:rPr>
          <w:rFonts w:ascii="Times New Roman" w:eastAsiaTheme="minorHAnsi" w:hAnsi="Times New Roman" w:cs="Times New Roman"/>
          <w:sz w:val="104"/>
          <w:szCs w:val="104"/>
          <w:lang w:eastAsia="en-US"/>
        </w:rPr>
      </w:pPr>
      <w:r>
        <w:rPr>
          <w:rFonts w:ascii="Times New Roman" w:eastAsiaTheme="minorHAnsi" w:hAnsi="Times New Roman" w:cs="Times New Roman"/>
          <w:sz w:val="104"/>
          <w:szCs w:val="104"/>
          <w:lang w:val="en-IN" w:eastAsia="en-US"/>
        </w:rPr>
        <w:t xml:space="preserve">Module code – </w:t>
      </w:r>
      <w:r w:rsidR="009A0D0E">
        <w:rPr>
          <w:rFonts w:ascii="Times New Roman" w:eastAsiaTheme="minorHAnsi" w:hAnsi="Times New Roman" w:cs="Times New Roman"/>
          <w:sz w:val="104"/>
          <w:szCs w:val="104"/>
          <w:lang w:val="en-IN" w:eastAsia="en-US"/>
        </w:rPr>
        <w:t xml:space="preserve">and </w:t>
      </w:r>
      <w:r>
        <w:rPr>
          <w:rFonts w:ascii="Times New Roman" w:eastAsiaTheme="minorHAnsi" w:hAnsi="Times New Roman" w:cs="Times New Roman"/>
          <w:sz w:val="104"/>
          <w:szCs w:val="104"/>
          <w:lang w:val="en-IN" w:eastAsia="en-US"/>
        </w:rPr>
        <w:t>LCBB4002</w:t>
      </w:r>
    </w:p>
    <w:p w:rsidR="002C2BA5" w:rsidRPr="002C2BA5" w:rsidRDefault="002C2BA5" w:rsidP="002C2BA5">
      <w:pPr>
        <w:spacing w:after="200" w:line="276" w:lineRule="auto"/>
        <w:jc w:val="center"/>
        <w:rPr>
          <w:rFonts w:ascii="Times New Roman" w:eastAsiaTheme="minorHAnsi" w:hAnsi="Times New Roman" w:cs="Times New Roman"/>
          <w:sz w:val="96"/>
          <w:szCs w:val="96"/>
          <w:lang w:val="en-IN" w:eastAsia="en-US"/>
        </w:rPr>
      </w:pPr>
    </w:p>
    <w:p w:rsidR="002C2BA5" w:rsidRPr="002C2BA5" w:rsidRDefault="002C2BA5" w:rsidP="002C2BA5">
      <w:pPr>
        <w:spacing w:after="200" w:line="276" w:lineRule="auto"/>
        <w:jc w:val="center"/>
        <w:rPr>
          <w:rFonts w:ascii="Times New Roman" w:eastAsiaTheme="minorHAnsi" w:hAnsi="Times New Roman" w:cs="Times New Roman"/>
          <w:sz w:val="96"/>
          <w:szCs w:val="96"/>
          <w:lang w:val="en-IN" w:eastAsia="en-US"/>
        </w:rPr>
      </w:pPr>
    </w:p>
    <w:p w:rsidR="002C2BA5" w:rsidRPr="002C2BA5" w:rsidRDefault="002C2BA5" w:rsidP="002C2BA5">
      <w:pPr>
        <w:spacing w:after="200" w:line="276" w:lineRule="auto"/>
        <w:jc w:val="center"/>
        <w:rPr>
          <w:rFonts w:ascii="Times New Roman" w:eastAsiaTheme="minorHAnsi" w:hAnsi="Times New Roman" w:cs="Times New Roman"/>
          <w:sz w:val="96"/>
          <w:szCs w:val="96"/>
          <w:lang w:val="en-IN" w:eastAsia="en-US"/>
        </w:rPr>
      </w:pPr>
    </w:p>
    <w:p w:rsidR="002C2BA5" w:rsidRPr="002C2BA5" w:rsidRDefault="002C2BA5" w:rsidP="002C2BA5">
      <w:pPr>
        <w:spacing w:after="200" w:line="276" w:lineRule="auto"/>
        <w:jc w:val="center"/>
        <w:rPr>
          <w:rFonts w:ascii="Times New Roman" w:eastAsiaTheme="minorHAnsi" w:hAnsi="Times New Roman" w:cs="Times New Roman"/>
          <w:sz w:val="96"/>
          <w:szCs w:val="96"/>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jc w:val="center"/>
        <w:rPr>
          <w:rFonts w:ascii="Times New Roman" w:eastAsiaTheme="minorHAnsi" w:hAnsi="Times New Roman" w:cs="Times New Roman"/>
          <w:b/>
          <w:sz w:val="28"/>
          <w:szCs w:val="28"/>
          <w:lang w:val="en-IN" w:eastAsia="en-US"/>
        </w:rPr>
      </w:pPr>
      <w:r w:rsidRPr="002C2BA5">
        <w:rPr>
          <w:rFonts w:ascii="Times New Roman" w:eastAsiaTheme="minorHAnsi" w:hAnsi="Times New Roman" w:cs="Times New Roman"/>
          <w:b/>
          <w:sz w:val="28"/>
          <w:szCs w:val="28"/>
          <w:lang w:val="en-IN" w:eastAsia="en-US"/>
        </w:rPr>
        <w:t>Table Of Contents</w:t>
      </w:r>
    </w:p>
    <w:p w:rsidR="002C2BA5" w:rsidRPr="002C2BA5" w:rsidRDefault="002C2BA5" w:rsidP="002C2BA5">
      <w:pPr>
        <w:spacing w:after="200" w:line="276" w:lineRule="auto"/>
        <w:jc w:val="center"/>
        <w:rPr>
          <w:rFonts w:ascii="Times New Roman" w:eastAsiaTheme="minorHAnsi" w:hAnsi="Times New Roman" w:cs="Times New Roman"/>
          <w:sz w:val="24"/>
          <w:szCs w:val="24"/>
          <w:lang w:val="en-IN" w:eastAsia="en-US"/>
        </w:rPr>
      </w:pPr>
    </w:p>
    <w:p w:rsidR="002C2BA5" w:rsidRPr="002C2BA5" w:rsidRDefault="002C2BA5" w:rsidP="002C2BA5">
      <w:pPr>
        <w:spacing w:after="200"/>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INTRODUCTION………………………………………………………………………….3</w:t>
      </w:r>
    </w:p>
    <w:p w:rsidR="002C2BA5" w:rsidRPr="002C2BA5" w:rsidRDefault="002C2BA5" w:rsidP="002C2BA5">
      <w:pPr>
        <w:spacing w:after="200"/>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 xml:space="preserve">PART A </w:t>
      </w:r>
    </w:p>
    <w:p w:rsidR="002C2BA5" w:rsidRPr="002C2BA5" w:rsidRDefault="002C2BA5" w:rsidP="002C2BA5">
      <w:pPr>
        <w:spacing w:after="200"/>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 xml:space="preserve">UNESCO-The connect 2 </w:t>
      </w:r>
      <w:proofErr w:type="spellStart"/>
      <w:r w:rsidRPr="002C2BA5">
        <w:rPr>
          <w:rFonts w:ascii="Times New Roman" w:eastAsiaTheme="minorHAnsi" w:hAnsi="Times New Roman" w:cs="Times New Roman"/>
          <w:sz w:val="24"/>
          <w:szCs w:val="24"/>
          <w:lang w:val="en-IN" w:eastAsia="en-US"/>
        </w:rPr>
        <w:t>Socotra</w:t>
      </w:r>
      <w:proofErr w:type="spellEnd"/>
      <w:r w:rsidRPr="002C2BA5">
        <w:rPr>
          <w:rFonts w:ascii="Times New Roman" w:eastAsiaTheme="minorHAnsi" w:hAnsi="Times New Roman" w:cs="Times New Roman"/>
          <w:sz w:val="24"/>
          <w:szCs w:val="24"/>
          <w:lang w:val="en-IN" w:eastAsia="en-US"/>
        </w:rPr>
        <w:t xml:space="preserve"> Campaign……………………………………………...3</w:t>
      </w:r>
    </w:p>
    <w:p w:rsidR="002C2BA5" w:rsidRPr="002C2BA5" w:rsidRDefault="002C2BA5" w:rsidP="002C2BA5">
      <w:pPr>
        <w:spacing w:after="200"/>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CONCLUSION…………………………………………………………………………….7</w:t>
      </w:r>
    </w:p>
    <w:p w:rsidR="002C2BA5" w:rsidRPr="002C2BA5" w:rsidRDefault="002C2BA5" w:rsidP="002C2BA5">
      <w:pPr>
        <w:spacing w:after="200"/>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REFERENCES…………………………………………………………………………….8</w:t>
      </w:r>
    </w:p>
    <w:p w:rsidR="002C2BA5" w:rsidRPr="002C2BA5" w:rsidRDefault="002C2BA5" w:rsidP="002C2BA5">
      <w:pPr>
        <w:spacing w:after="200" w:line="276" w:lineRule="auto"/>
        <w:rPr>
          <w:rFonts w:ascii="Times New Roman" w:eastAsiaTheme="minorHAnsi" w:hAnsi="Times New Roman" w:cs="Times New Roman"/>
          <w:sz w:val="24"/>
          <w:szCs w:val="24"/>
          <w:lang w:val="en-IN" w:eastAsia="en-US"/>
        </w:rPr>
      </w:pPr>
    </w:p>
    <w:p w:rsidR="002C2BA5" w:rsidRPr="002C2BA5" w:rsidRDefault="002C2BA5" w:rsidP="002C2BA5">
      <w:pPr>
        <w:spacing w:after="200" w:line="276" w:lineRule="auto"/>
        <w:rPr>
          <w:rFonts w:ascii="Times New Roman" w:eastAsiaTheme="minorHAnsi" w:hAnsi="Times New Roman" w:cs="Times New Roman"/>
          <w:sz w:val="24"/>
          <w:szCs w:val="24"/>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r w:rsidRPr="002C2BA5">
        <w:rPr>
          <w:rFonts w:ascii="Times New Roman" w:eastAsiaTheme="minorHAnsi" w:hAnsi="Times New Roman" w:cs="Times New Roman"/>
          <w:b/>
          <w:sz w:val="28"/>
          <w:szCs w:val="28"/>
          <w:lang w:val="en-IN" w:eastAsia="en-US"/>
        </w:rPr>
        <w:t>INTRODUCTION</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ab/>
        <w:t>Community engagement refers to the process of working has been done in collaboratively manner, with the groups of people who are from similar geographic pattern, special interest or similar situations to  address the issues which is affecting the well-being of people. It is a powerful vehicle for bringing about the environmental and behavioural changes  that will improve the health of the community and its members. In this report, the analysis has been done on the chosen organisation for the purpose of literature review and the organisation’s best practices particularly on community engagement and stakeholder participation. (</w:t>
      </w:r>
      <w:proofErr w:type="spellStart"/>
      <w:r w:rsidRPr="002C2BA5">
        <w:rPr>
          <w:rFonts w:ascii="Times New Roman" w:eastAsiaTheme="minorHAnsi" w:hAnsi="Times New Roman" w:cs="Times New Roman"/>
          <w:color w:val="222222"/>
          <w:sz w:val="24"/>
          <w:szCs w:val="24"/>
          <w:shd w:val="clear" w:color="auto" w:fill="FFFFFF"/>
          <w:lang w:val="en-IN" w:eastAsia="en-US"/>
        </w:rPr>
        <w:t>Gelmon</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and et.al., 2018). </w:t>
      </w:r>
      <w:r w:rsidRPr="002C2BA5">
        <w:rPr>
          <w:rFonts w:ascii="Times New Roman" w:eastAsiaTheme="minorHAnsi" w:hAnsi="Times New Roman" w:cs="Times New Roman"/>
          <w:sz w:val="24"/>
          <w:szCs w:val="24"/>
          <w:lang w:val="en-IN" w:eastAsia="en-US"/>
        </w:rPr>
        <w:t xml:space="preserve">The chosen social programme is a campaign named as UNESCO-The connect 2 </w:t>
      </w:r>
      <w:proofErr w:type="spellStart"/>
      <w:r w:rsidRPr="002C2BA5">
        <w:rPr>
          <w:rFonts w:ascii="Times New Roman" w:eastAsiaTheme="minorHAnsi" w:hAnsi="Times New Roman" w:cs="Times New Roman"/>
          <w:sz w:val="24"/>
          <w:szCs w:val="24"/>
          <w:lang w:val="en-IN" w:eastAsia="en-US"/>
        </w:rPr>
        <w:t>Socotra</w:t>
      </w:r>
      <w:proofErr w:type="spellEnd"/>
      <w:r w:rsidRPr="002C2BA5">
        <w:rPr>
          <w:rFonts w:ascii="Times New Roman" w:eastAsiaTheme="minorHAnsi" w:hAnsi="Times New Roman" w:cs="Times New Roman"/>
          <w:sz w:val="24"/>
          <w:szCs w:val="24"/>
          <w:lang w:val="en-IN" w:eastAsia="en-US"/>
        </w:rPr>
        <w:t xml:space="preserve"> Campaign. To raise the awareness on the rich and distinct natural and cultural heritage of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this campaign has been launched by the UNESCO and the friends of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Association in Palermo Italy. Major museums, botanical gardens, academic institutes and other organisations around the world that host historically important collections and advise or stimulate ongoing projects related to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are </w:t>
      </w:r>
      <w:proofErr w:type="spellStart"/>
      <w:r w:rsidRPr="002C2BA5">
        <w:rPr>
          <w:rFonts w:ascii="Times New Roman" w:eastAsiaTheme="minorHAnsi" w:hAnsi="Times New Roman" w:cs="Times New Roman"/>
          <w:sz w:val="24"/>
          <w:szCs w:val="24"/>
          <w:lang w:val="en-IN" w:eastAsia="en-US"/>
        </w:rPr>
        <w:t>organizing</w:t>
      </w:r>
      <w:proofErr w:type="spellEnd"/>
      <w:r w:rsidRPr="002C2BA5">
        <w:rPr>
          <w:rFonts w:ascii="Times New Roman" w:eastAsiaTheme="minorHAnsi" w:hAnsi="Times New Roman" w:cs="Times New Roman"/>
          <w:sz w:val="24"/>
          <w:szCs w:val="24"/>
          <w:lang w:val="en-IN" w:eastAsia="en-US"/>
        </w:rPr>
        <w:t xml:space="preserve"> natural history and photography exhibitions, public talks and lectures, workshops, film screenings and other events to connect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to the world and the world to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w:t>
      </w:r>
    </w:p>
    <w:p w:rsidR="002C2BA5" w:rsidRPr="002C2BA5" w:rsidRDefault="002C2BA5" w:rsidP="002C2BA5">
      <w:pPr>
        <w:spacing w:after="200" w:line="360" w:lineRule="auto"/>
        <w:jc w:val="both"/>
        <w:rPr>
          <w:rFonts w:ascii="Times New Roman" w:eastAsiaTheme="minorHAnsi" w:hAnsi="Times New Roman" w:cs="Times New Roman"/>
          <w:b/>
          <w:sz w:val="28"/>
          <w:szCs w:val="28"/>
          <w:lang w:val="en-IN" w:eastAsia="en-US"/>
        </w:rPr>
      </w:pPr>
      <w:r w:rsidRPr="002C2BA5">
        <w:rPr>
          <w:rFonts w:ascii="Times New Roman" w:eastAsiaTheme="minorHAnsi" w:hAnsi="Times New Roman" w:cs="Times New Roman"/>
          <w:b/>
          <w:sz w:val="28"/>
          <w:szCs w:val="28"/>
          <w:lang w:val="en-IN" w:eastAsia="en-US"/>
        </w:rPr>
        <w:t xml:space="preserve">PART A </w:t>
      </w:r>
    </w:p>
    <w:p w:rsidR="002C2BA5" w:rsidRPr="002C2BA5" w:rsidRDefault="002C2BA5" w:rsidP="002C2BA5">
      <w:pPr>
        <w:spacing w:after="200" w:line="360" w:lineRule="auto"/>
        <w:jc w:val="both"/>
        <w:rPr>
          <w:rFonts w:ascii="Times New Roman" w:eastAsiaTheme="minorHAnsi" w:hAnsi="Times New Roman" w:cs="Times New Roman"/>
          <w:sz w:val="24"/>
          <w:szCs w:val="24"/>
          <w:u w:val="single"/>
          <w:lang w:val="en-IN" w:eastAsia="en-US"/>
        </w:rPr>
      </w:pPr>
      <w:r w:rsidRPr="002C2BA5">
        <w:rPr>
          <w:rFonts w:ascii="Times New Roman" w:eastAsiaTheme="minorHAnsi" w:hAnsi="Times New Roman" w:cs="Times New Roman"/>
          <w:sz w:val="24"/>
          <w:szCs w:val="24"/>
          <w:u w:val="single"/>
          <w:lang w:val="en-IN" w:eastAsia="en-US"/>
        </w:rPr>
        <w:t xml:space="preserve">UNESCO-The connect 2 </w:t>
      </w:r>
      <w:proofErr w:type="spellStart"/>
      <w:r w:rsidRPr="002C2BA5">
        <w:rPr>
          <w:rFonts w:ascii="Times New Roman" w:eastAsiaTheme="minorHAnsi" w:hAnsi="Times New Roman" w:cs="Times New Roman"/>
          <w:sz w:val="24"/>
          <w:szCs w:val="24"/>
          <w:u w:val="single"/>
          <w:lang w:val="en-IN" w:eastAsia="en-US"/>
        </w:rPr>
        <w:t>Socotra</w:t>
      </w:r>
      <w:proofErr w:type="spellEnd"/>
      <w:r w:rsidRPr="002C2BA5">
        <w:rPr>
          <w:rFonts w:ascii="Times New Roman" w:eastAsiaTheme="minorHAnsi" w:hAnsi="Times New Roman" w:cs="Times New Roman"/>
          <w:sz w:val="24"/>
          <w:szCs w:val="24"/>
          <w:u w:val="single"/>
          <w:lang w:val="en-IN" w:eastAsia="en-US"/>
        </w:rPr>
        <w:t xml:space="preserve"> Campaign</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lastRenderedPageBreak/>
        <w:tab/>
        <w:t xml:space="preserve">UNESCO-The connect 2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Campaign is conducted for the reason of raising international awareness on the great richness and the vulnerability of the unique biodiversity of the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Archipelago and the importance and its conservation. There is a need to safeguard the richness of </w:t>
      </w:r>
      <w:proofErr w:type="spellStart"/>
      <w:r w:rsidRPr="002C2BA5">
        <w:rPr>
          <w:rFonts w:ascii="Times New Roman" w:eastAsiaTheme="minorHAnsi" w:hAnsi="Times New Roman" w:cs="Times New Roman"/>
          <w:sz w:val="24"/>
          <w:szCs w:val="24"/>
          <w:lang w:val="en-IN" w:eastAsia="en-US"/>
        </w:rPr>
        <w:t>Scorta’s</w:t>
      </w:r>
      <w:proofErr w:type="spellEnd"/>
      <w:r w:rsidRPr="002C2BA5">
        <w:rPr>
          <w:rFonts w:ascii="Times New Roman" w:eastAsiaTheme="minorHAnsi" w:hAnsi="Times New Roman" w:cs="Times New Roman"/>
          <w:sz w:val="24"/>
          <w:szCs w:val="24"/>
          <w:lang w:val="en-IN" w:eastAsia="en-US"/>
        </w:rPr>
        <w:t xml:space="preserve"> unique intangible cultural heritage, in particular about knowledge and practices related to nature and universe and the </w:t>
      </w:r>
      <w:proofErr w:type="spellStart"/>
      <w:r w:rsidRPr="002C2BA5">
        <w:rPr>
          <w:rFonts w:ascii="Times New Roman" w:eastAsiaTheme="minorHAnsi" w:hAnsi="Times New Roman" w:cs="Times New Roman"/>
          <w:sz w:val="24"/>
          <w:szCs w:val="24"/>
          <w:lang w:val="en-IN" w:eastAsia="en-US"/>
        </w:rPr>
        <w:t>Socorti</w:t>
      </w:r>
      <w:proofErr w:type="spellEnd"/>
      <w:r w:rsidRPr="002C2BA5">
        <w:rPr>
          <w:rFonts w:ascii="Times New Roman" w:eastAsiaTheme="minorHAnsi" w:hAnsi="Times New Roman" w:cs="Times New Roman"/>
          <w:sz w:val="24"/>
          <w:szCs w:val="24"/>
          <w:lang w:val="en-IN" w:eastAsia="en-US"/>
        </w:rPr>
        <w:t xml:space="preserve"> language.</w:t>
      </w:r>
      <w:r w:rsidRPr="002C2BA5">
        <w:rPr>
          <w:rFonts w:ascii="Times New Roman" w:eastAsiaTheme="minorHAnsi" w:hAnsi="Times New Roman" w:cs="Times New Roman"/>
          <w:color w:val="222222"/>
          <w:sz w:val="24"/>
          <w:szCs w:val="24"/>
          <w:shd w:val="clear" w:color="auto" w:fill="FFFFFF"/>
          <w:lang w:val="en-IN" w:eastAsia="en-US"/>
        </w:rPr>
        <w:t xml:space="preserve"> (Orphan, and et.al., 2018). </w:t>
      </w:r>
      <w:r w:rsidRPr="002C2BA5">
        <w:rPr>
          <w:rFonts w:ascii="Times New Roman" w:eastAsiaTheme="minorHAnsi" w:hAnsi="Times New Roman" w:cs="Times New Roman"/>
          <w:sz w:val="24"/>
          <w:szCs w:val="24"/>
          <w:lang w:val="en-IN" w:eastAsia="en-US"/>
        </w:rPr>
        <w:t xml:space="preserve"> This campaign has been conducted for supporting the efforts of Yemen’s Environment Protection Authority and its branch on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in preserving and promoting biodiversity. Identifying follow-up actions to be taken for further preservation of the Archipelago’s natural and cultural heritage. Stimulate research on the impact of climate change and other threats on the Archipelago’s biodiversity and propose mitigation measures. Focus of the campaign is that in the field of nature, events will pay particular attention to the link with other natural world heritage properties, the study of insular endemic species and lineages, conservation needs and methods including traditional methods and the main threats to natural heritage. To raise awareness on the needs to safeguard the Archipelago’s cultural heritage, the campaign will focus on the knowledge and practices concerning nature and the universe of the local population, oral traditions, indigenous languages or the challenges to conserve vernacular architecture.</w:t>
      </w:r>
      <w:r w:rsidRPr="002C2BA5">
        <w:rPr>
          <w:rFonts w:ascii="Times New Roman" w:eastAsiaTheme="minorHAnsi" w:hAnsi="Times New Roman" w:cs="Times New Roman"/>
          <w:color w:val="222222"/>
          <w:sz w:val="24"/>
          <w:szCs w:val="24"/>
          <w:shd w:val="clear" w:color="auto" w:fill="FFFFFF"/>
          <w:lang w:val="en-IN" w:eastAsia="en-US"/>
        </w:rPr>
        <w:t xml:space="preserve"> (</w:t>
      </w:r>
      <w:proofErr w:type="spellStart"/>
      <w:r w:rsidRPr="002C2BA5">
        <w:rPr>
          <w:rFonts w:ascii="Times New Roman" w:eastAsiaTheme="minorHAnsi" w:hAnsi="Times New Roman" w:cs="Times New Roman"/>
          <w:color w:val="222222"/>
          <w:sz w:val="24"/>
          <w:szCs w:val="24"/>
          <w:shd w:val="clear" w:color="auto" w:fill="FFFFFF"/>
          <w:lang w:val="en-IN" w:eastAsia="en-US"/>
        </w:rPr>
        <w:t>Vaeliverronen</w:t>
      </w:r>
      <w:proofErr w:type="spellEnd"/>
      <w:r w:rsidRPr="002C2BA5">
        <w:rPr>
          <w:rFonts w:ascii="Times New Roman" w:eastAsiaTheme="minorHAnsi" w:hAnsi="Times New Roman" w:cs="Times New Roman"/>
          <w:color w:val="222222"/>
          <w:sz w:val="24"/>
          <w:szCs w:val="24"/>
          <w:shd w:val="clear" w:color="auto" w:fill="FFFFFF"/>
          <w:lang w:val="en-IN" w:eastAsia="en-US"/>
        </w:rPr>
        <w:t>, and et.al., 2017).</w:t>
      </w:r>
      <w:r w:rsidRPr="002C2BA5">
        <w:rPr>
          <w:rFonts w:ascii="Times New Roman" w:eastAsiaTheme="minorHAnsi" w:hAnsi="Times New Roman" w:cs="Times New Roman"/>
          <w:sz w:val="24"/>
          <w:szCs w:val="24"/>
          <w:lang w:val="en-IN" w:eastAsia="en-US"/>
        </w:rPr>
        <w:t xml:space="preserve"> Benefits of this campaign is that by protecting these heritage sites, an opportunity will be there for conserving the culture of the particular country. Benefit is also in the terms of that spreading awareness on how the challenges and the care connect us to the vulnerability of ecosystems all over the world. </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 xml:space="preserve">The stakeholders of the campaign are some of the participants institutes. It includes World Museum, Botanical garden of Rome, research centre in biodiversity and genetic resources, university of Palermo’s Botanical Garden, Mendel University, </w:t>
      </w:r>
      <w:proofErr w:type="spellStart"/>
      <w:r w:rsidRPr="002C2BA5">
        <w:rPr>
          <w:rFonts w:ascii="Times New Roman" w:eastAsiaTheme="minorHAnsi" w:hAnsi="Times New Roman" w:cs="Times New Roman"/>
          <w:sz w:val="24"/>
          <w:szCs w:val="24"/>
          <w:lang w:val="en-IN" w:eastAsia="en-US"/>
        </w:rPr>
        <w:t>ghent</w:t>
      </w:r>
      <w:proofErr w:type="spellEnd"/>
      <w:r w:rsidRPr="002C2BA5">
        <w:rPr>
          <w:rFonts w:ascii="Times New Roman" w:eastAsiaTheme="minorHAnsi" w:hAnsi="Times New Roman" w:cs="Times New Roman"/>
          <w:sz w:val="24"/>
          <w:szCs w:val="24"/>
          <w:lang w:val="en-IN" w:eastAsia="en-US"/>
        </w:rPr>
        <w:t xml:space="preserve"> university botanical garden, lower </w:t>
      </w:r>
      <w:proofErr w:type="spellStart"/>
      <w:r w:rsidRPr="002C2BA5">
        <w:rPr>
          <w:rFonts w:ascii="Times New Roman" w:eastAsiaTheme="minorHAnsi" w:hAnsi="Times New Roman" w:cs="Times New Roman"/>
          <w:sz w:val="24"/>
          <w:szCs w:val="24"/>
          <w:lang w:val="en-IN" w:eastAsia="en-US"/>
        </w:rPr>
        <w:t>Morava</w:t>
      </w:r>
      <w:proofErr w:type="spellEnd"/>
      <w:r w:rsidRPr="002C2BA5">
        <w:rPr>
          <w:rFonts w:ascii="Times New Roman" w:eastAsiaTheme="minorHAnsi" w:hAnsi="Times New Roman" w:cs="Times New Roman"/>
          <w:sz w:val="24"/>
          <w:szCs w:val="24"/>
          <w:lang w:val="en-IN" w:eastAsia="en-US"/>
        </w:rPr>
        <w:t xml:space="preserve"> biosphere reserve </w:t>
      </w:r>
      <w:proofErr w:type="spellStart"/>
      <w:r w:rsidRPr="002C2BA5">
        <w:rPr>
          <w:rFonts w:ascii="Times New Roman" w:eastAsiaTheme="minorHAnsi" w:hAnsi="Times New Roman" w:cs="Times New Roman"/>
          <w:sz w:val="24"/>
          <w:szCs w:val="24"/>
          <w:lang w:val="en-IN" w:eastAsia="en-US"/>
        </w:rPr>
        <w:t>meise</w:t>
      </w:r>
      <w:proofErr w:type="spellEnd"/>
      <w:r w:rsidRPr="002C2BA5">
        <w:rPr>
          <w:rFonts w:ascii="Times New Roman" w:eastAsiaTheme="minorHAnsi" w:hAnsi="Times New Roman" w:cs="Times New Roman"/>
          <w:sz w:val="24"/>
          <w:szCs w:val="24"/>
          <w:lang w:val="en-IN" w:eastAsia="en-US"/>
        </w:rPr>
        <w:t xml:space="preserve"> botanic garden, royal botanic garden Edinburgh. The sort of relationship shared between the campaign and stakeholders is a kind of mutual interest, same goal and the intentions towards attracting the people for visiting these heritage sites for the purpose of exploring themselves.  The stakeholders who are engaged with this campaign or involved with this campaign are also associated or active on social media platforms. </w:t>
      </w:r>
      <w:r w:rsidRPr="002C2BA5">
        <w:rPr>
          <w:rFonts w:ascii="Times New Roman" w:eastAsiaTheme="minorHAnsi" w:hAnsi="Times New Roman" w:cs="Times New Roman"/>
          <w:color w:val="222222"/>
          <w:sz w:val="24"/>
          <w:szCs w:val="24"/>
          <w:shd w:val="clear" w:color="auto" w:fill="FFFFFF"/>
          <w:lang w:val="en-IN" w:eastAsia="en-US"/>
        </w:rPr>
        <w:t xml:space="preserve">(Metro-Roland, M., 2018). </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 xml:space="preserve">The purpose of remaining active on social media platform is that they can create awareness about the heritage sites so that it does not lost with the fast time of modern era. The reason for creating this kind of awareness is that people can make themselves aware about the historic development and comes to know about the culture of the country. The campaign main aim is </w:t>
      </w:r>
      <w:r w:rsidRPr="002C2BA5">
        <w:rPr>
          <w:rFonts w:ascii="Times New Roman" w:eastAsiaTheme="minorHAnsi" w:hAnsi="Times New Roman" w:cs="Times New Roman"/>
          <w:sz w:val="24"/>
          <w:szCs w:val="24"/>
          <w:lang w:val="en-IN" w:eastAsia="en-US"/>
        </w:rPr>
        <w:lastRenderedPageBreak/>
        <w:t xml:space="preserve">that the value of this historic or heritage places do not get lost over the period of time. Social media platforms plays a very important role in spreading the awareness about these places and can reach to the lakhs of number of people with their message. There are different kinds of social media platforms. It involves youtube, </w:t>
      </w:r>
      <w:proofErr w:type="spellStart"/>
      <w:r w:rsidRPr="002C2BA5">
        <w:rPr>
          <w:rFonts w:ascii="Times New Roman" w:eastAsiaTheme="minorHAnsi" w:hAnsi="Times New Roman" w:cs="Times New Roman"/>
          <w:sz w:val="24"/>
          <w:szCs w:val="24"/>
          <w:lang w:val="en-IN" w:eastAsia="en-US"/>
        </w:rPr>
        <w:t>facebook</w:t>
      </w:r>
      <w:proofErr w:type="spellEnd"/>
      <w:r w:rsidRPr="002C2BA5">
        <w:rPr>
          <w:rFonts w:ascii="Times New Roman" w:eastAsiaTheme="minorHAnsi" w:hAnsi="Times New Roman" w:cs="Times New Roman"/>
          <w:sz w:val="24"/>
          <w:szCs w:val="24"/>
          <w:lang w:val="en-IN" w:eastAsia="en-US"/>
        </w:rPr>
        <w:t xml:space="preserve">, twitter and other media platforms can make the work easy for spreading this message. The campaign has been launched in 2019 October to 2020 February. </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 xml:space="preserve">Under this campaign major museums, botanical gardens, academic institutes and other organisations around the world that host historically important collections and advise or stimulate ongoing projects related to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They are </w:t>
      </w:r>
      <w:proofErr w:type="spellStart"/>
      <w:r w:rsidRPr="002C2BA5">
        <w:rPr>
          <w:rFonts w:ascii="Times New Roman" w:eastAsiaTheme="minorHAnsi" w:hAnsi="Times New Roman" w:cs="Times New Roman"/>
          <w:sz w:val="24"/>
          <w:szCs w:val="24"/>
          <w:lang w:val="en-IN" w:eastAsia="en-US"/>
        </w:rPr>
        <w:t>organizing</w:t>
      </w:r>
      <w:proofErr w:type="spellEnd"/>
      <w:r w:rsidRPr="002C2BA5">
        <w:rPr>
          <w:rFonts w:ascii="Times New Roman" w:eastAsiaTheme="minorHAnsi" w:hAnsi="Times New Roman" w:cs="Times New Roman"/>
          <w:sz w:val="24"/>
          <w:szCs w:val="24"/>
          <w:lang w:val="en-IN" w:eastAsia="en-US"/>
        </w:rPr>
        <w:t xml:space="preserve"> different kinds of photography exhibitions, public talks and lectures, workshops, film screenings and other events to connect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to the world and the world to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The people involved in this campaign has tried to do various activities for spreading the awareness. The skills or more improvement can be done regarding this campaign through by popularising these activities on the world level. </w:t>
      </w:r>
      <w:r w:rsidRPr="002C2BA5">
        <w:rPr>
          <w:rFonts w:ascii="Times New Roman" w:eastAsiaTheme="minorHAnsi" w:hAnsi="Times New Roman" w:cs="Times New Roman"/>
          <w:color w:val="222222"/>
          <w:sz w:val="24"/>
          <w:szCs w:val="24"/>
          <w:shd w:val="clear" w:color="auto" w:fill="FFFFFF"/>
          <w:lang w:val="en-IN" w:eastAsia="en-US"/>
        </w:rPr>
        <w:t>(</w:t>
      </w:r>
      <w:proofErr w:type="spellStart"/>
      <w:r w:rsidRPr="002C2BA5">
        <w:rPr>
          <w:rFonts w:ascii="Times New Roman" w:eastAsiaTheme="minorHAnsi" w:hAnsi="Times New Roman" w:cs="Times New Roman"/>
          <w:color w:val="222222"/>
          <w:sz w:val="24"/>
          <w:szCs w:val="24"/>
          <w:shd w:val="clear" w:color="auto" w:fill="FFFFFF"/>
          <w:lang w:val="en-IN" w:eastAsia="en-US"/>
        </w:rPr>
        <w:t>Molinillo</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and et.al., 2020). </w:t>
      </w:r>
      <w:r w:rsidRPr="002C2BA5">
        <w:rPr>
          <w:rFonts w:ascii="Times New Roman" w:eastAsiaTheme="minorHAnsi" w:hAnsi="Times New Roman" w:cs="Times New Roman"/>
          <w:sz w:val="24"/>
          <w:szCs w:val="24"/>
          <w:lang w:val="en-IN" w:eastAsia="en-US"/>
        </w:rPr>
        <w:t xml:space="preserve">This can be done through online media where it has been lots of possibilities for reaching to the large number of people. For connecting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to the world its really important that to convey all the knowledge, kinds of activities through modern approach. This modern approach can be the shift towards digital media and the people also associated with it needs to work on digital media so that they can make themselves aware that how they can use and access the particular kind of media platform and using it in a wise manner. In this way, the campaign working can be done in a result-oriented and active manner.</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The campaign can take efforts in reaching to the large number of people through social media platform. It not only increase the popularity of the campaign but also gives a new chance to connect with people in a different manner.</w:t>
      </w:r>
      <w:r w:rsidRPr="002C2BA5">
        <w:rPr>
          <w:rFonts w:ascii="Times New Roman" w:eastAsiaTheme="minorHAnsi" w:hAnsi="Times New Roman" w:cs="Times New Roman"/>
          <w:color w:val="222222"/>
          <w:sz w:val="24"/>
          <w:szCs w:val="24"/>
          <w:shd w:val="clear" w:color="auto" w:fill="FFFFFF"/>
          <w:lang w:val="en-IN" w:eastAsia="en-US"/>
        </w:rPr>
        <w:t xml:space="preserve"> (Singh, and et.al., 2018).</w:t>
      </w:r>
      <w:r w:rsidRPr="002C2BA5">
        <w:rPr>
          <w:rFonts w:ascii="Times New Roman" w:eastAsiaTheme="minorHAnsi" w:hAnsi="Times New Roman" w:cs="Times New Roman"/>
          <w:sz w:val="24"/>
          <w:szCs w:val="24"/>
          <w:lang w:val="en-IN" w:eastAsia="en-US"/>
        </w:rPr>
        <w:t xml:space="preserve"> Through social media platform, feedback can be received through users who take interest in this campaign. By using this kind of approach, opportunity has been created for building the email marketing lists. Website traffic can also be increased by making the content to the point, heart-centric and attractive approach so that large number of people can connect with this campaign. Through this digital media, improvement can be done through overall campaign engagement. These kind of activities can contribute in attracting the large number of people for visiting the different heritage sites. It is important to give training to those people who are associated with this campaign for the purpose of success of this campaign.</w:t>
      </w:r>
      <w:r w:rsidRPr="002C2BA5">
        <w:rPr>
          <w:rFonts w:ascii="Times New Roman" w:eastAsiaTheme="minorHAnsi" w:hAnsi="Times New Roman" w:cs="Times New Roman"/>
          <w:color w:val="222222"/>
          <w:sz w:val="24"/>
          <w:szCs w:val="24"/>
          <w:shd w:val="clear" w:color="auto" w:fill="FFFFFF"/>
          <w:lang w:val="en-IN" w:eastAsia="en-US"/>
        </w:rPr>
        <w:t xml:space="preserve"> (</w:t>
      </w:r>
      <w:proofErr w:type="spellStart"/>
      <w:r w:rsidRPr="002C2BA5">
        <w:rPr>
          <w:rFonts w:ascii="Times New Roman" w:eastAsiaTheme="minorHAnsi" w:hAnsi="Times New Roman" w:cs="Times New Roman"/>
          <w:color w:val="222222"/>
          <w:sz w:val="24"/>
          <w:szCs w:val="24"/>
          <w:shd w:val="clear" w:color="auto" w:fill="FFFFFF"/>
          <w:lang w:val="en-IN" w:eastAsia="en-US"/>
        </w:rPr>
        <w:t>Winschiers-Theophilus</w:t>
      </w:r>
      <w:proofErr w:type="spellEnd"/>
      <w:r w:rsidRPr="002C2BA5">
        <w:rPr>
          <w:rFonts w:ascii="Times New Roman" w:eastAsiaTheme="minorHAnsi" w:hAnsi="Times New Roman" w:cs="Times New Roman"/>
          <w:color w:val="222222"/>
          <w:sz w:val="24"/>
          <w:szCs w:val="24"/>
          <w:shd w:val="clear" w:color="auto" w:fill="FFFFFF"/>
          <w:lang w:val="en-IN" w:eastAsia="en-US"/>
        </w:rPr>
        <w:t>, and et.al., 2015).</w:t>
      </w:r>
      <w:r w:rsidRPr="002C2BA5">
        <w:rPr>
          <w:rFonts w:ascii="Times New Roman" w:eastAsiaTheme="minorHAnsi" w:hAnsi="Times New Roman" w:cs="Times New Roman"/>
          <w:sz w:val="24"/>
          <w:szCs w:val="24"/>
          <w:lang w:val="en-IN" w:eastAsia="en-US"/>
        </w:rPr>
        <w:t xml:space="preserve"> They need to be trained regarding how to use social media platform in an effective manner. Give them training how to interact with social media posts. The training is very </w:t>
      </w:r>
      <w:r w:rsidRPr="002C2BA5">
        <w:rPr>
          <w:rFonts w:ascii="Times New Roman" w:eastAsiaTheme="minorHAnsi" w:hAnsi="Times New Roman" w:cs="Times New Roman"/>
          <w:sz w:val="24"/>
          <w:szCs w:val="24"/>
          <w:lang w:val="en-IN" w:eastAsia="en-US"/>
        </w:rPr>
        <w:lastRenderedPageBreak/>
        <w:t>important so that people can understand that how they can deal with this large number of group of people. The training helps in contributing towards dealing with different kinds of people with different backgrounds.</w:t>
      </w:r>
    </w:p>
    <w:p w:rsidR="002C2BA5" w:rsidRPr="002C2BA5" w:rsidRDefault="002C2BA5" w:rsidP="002C2BA5">
      <w:pPr>
        <w:spacing w:after="200" w:line="360" w:lineRule="auto"/>
        <w:jc w:val="both"/>
        <w:rPr>
          <w:rFonts w:ascii="Times New Roman" w:eastAsiaTheme="minorHAnsi" w:hAnsi="Times New Roman" w:cs="Times New Roman"/>
          <w:color w:val="222222"/>
          <w:sz w:val="24"/>
          <w:szCs w:val="24"/>
          <w:shd w:val="clear" w:color="auto" w:fill="FFFFFF"/>
          <w:lang w:val="en-IN" w:eastAsia="en-US"/>
        </w:rPr>
      </w:pPr>
      <w:r w:rsidRPr="002C2BA5">
        <w:rPr>
          <w:rFonts w:ascii="Times New Roman" w:eastAsiaTheme="minorHAnsi" w:hAnsi="Times New Roman" w:cs="Times New Roman"/>
          <w:sz w:val="24"/>
          <w:szCs w:val="24"/>
          <w:lang w:val="en-IN" w:eastAsia="en-US"/>
        </w:rPr>
        <w:t xml:space="preserve"> The training infused new skills, sharpen the existing ones, perform better, increase productivity in terms of attracting the large number of people for visiting these heritage sites. Forward –looking approach is very important for the campaign because of the fast-moving changing technological environment. In this modern era, due to development and changing environment the working style of many people has changed in a very fast manner. Modern approach not only connects with large number of people but also gives the opportunity for growing themselves to a next higher level.</w:t>
      </w:r>
      <w:r w:rsidRPr="002C2BA5">
        <w:rPr>
          <w:rFonts w:ascii="Times New Roman" w:eastAsiaTheme="minorHAnsi" w:hAnsi="Times New Roman" w:cs="Times New Roman"/>
          <w:color w:val="222222"/>
          <w:sz w:val="24"/>
          <w:szCs w:val="24"/>
          <w:shd w:val="clear" w:color="auto" w:fill="FFFFFF"/>
          <w:lang w:val="en-IN" w:eastAsia="en-US"/>
        </w:rPr>
        <w:t xml:space="preserve"> (Nagar, R. B., 2016).</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 xml:space="preserve"> There are different kinds of people on social media platforms with different kinds of cultural background and different thinking people. Its very difficult to make understand the importance of these heritage sites because they have their own mindset. There are certain kinds of external factors which will create hindrance in the successful implementation of this campaign. External factors can be economic, political, social, technological, environmental. These factors play a very important role in making the connection between this campaign and its stakeholders. Stakeholders behaviour towards the campaign is very important because if they are positive towards the campaign then there is a lots of good chances then campaign can achieve its objectives. Stakeholders and their partners support plays a very important role in spreading the awareness regarding the heritage sites. Whether it is a economic factor or any other factor, the changes in these factors result into the performance of the campaign. If the results ad impact are in the positive manner then it will support the main aim of the campaign. And if the results are not favourable then it may deviate the working of campaign from its target. It can be in the form of that due to political changes where government does not support for this kind of campaign. So its really important to observe that how these external factors are working and how does it affect for any kind of activities within that area. </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To achieve a competitive advantage, community engagement has to follow some particular and modern steps so that they can follow the current trend on which the whole people are focusing. Competitive advantage is something where strategies and planning has been done in such a manner that it can be achievable within limited resources or within low cost of investment.</w:t>
      </w:r>
      <w:r w:rsidRPr="002C2BA5">
        <w:rPr>
          <w:rFonts w:ascii="Times New Roman" w:eastAsiaTheme="minorHAnsi" w:hAnsi="Times New Roman" w:cs="Times New Roman"/>
          <w:color w:val="222222"/>
          <w:sz w:val="24"/>
          <w:szCs w:val="24"/>
          <w:shd w:val="clear" w:color="auto" w:fill="FFFFFF"/>
          <w:lang w:val="en-IN" w:eastAsia="en-US"/>
        </w:rPr>
        <w:t xml:space="preserve"> (</w:t>
      </w:r>
      <w:proofErr w:type="spellStart"/>
      <w:r w:rsidRPr="002C2BA5">
        <w:rPr>
          <w:rFonts w:ascii="Times New Roman" w:eastAsiaTheme="minorHAnsi" w:hAnsi="Times New Roman" w:cs="Times New Roman"/>
          <w:color w:val="222222"/>
          <w:sz w:val="24"/>
          <w:szCs w:val="24"/>
          <w:shd w:val="clear" w:color="auto" w:fill="FFFFFF"/>
          <w:lang w:val="en-IN" w:eastAsia="en-US"/>
        </w:rPr>
        <w:t>Schudde</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L., 2019). </w:t>
      </w:r>
      <w:r w:rsidRPr="002C2BA5">
        <w:rPr>
          <w:rFonts w:ascii="Times New Roman" w:eastAsiaTheme="minorHAnsi" w:hAnsi="Times New Roman" w:cs="Times New Roman"/>
          <w:sz w:val="24"/>
          <w:szCs w:val="24"/>
          <w:lang w:val="en-IN" w:eastAsia="en-US"/>
        </w:rPr>
        <w:t xml:space="preserve">It is a kind of something achieving big with small kinds of investment. </w:t>
      </w:r>
      <w:r w:rsidRPr="002C2BA5">
        <w:rPr>
          <w:rFonts w:ascii="Times New Roman" w:eastAsiaTheme="minorHAnsi" w:hAnsi="Times New Roman" w:cs="Times New Roman"/>
          <w:sz w:val="24"/>
          <w:szCs w:val="24"/>
          <w:lang w:val="en-IN" w:eastAsia="en-US"/>
        </w:rPr>
        <w:lastRenderedPageBreak/>
        <w:t xml:space="preserve">Community engagement needs to understand that for what purpose the campaign has been organised. </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They have to think in a broader perspective so that different kinds of people from different communities and background can come together and spread the awareness among people in a positive manner.</w:t>
      </w:r>
      <w:r w:rsidRPr="002C2BA5">
        <w:rPr>
          <w:rFonts w:ascii="Times New Roman" w:eastAsiaTheme="minorHAnsi" w:hAnsi="Times New Roman" w:cs="Times New Roman"/>
          <w:color w:val="222222"/>
          <w:sz w:val="24"/>
          <w:szCs w:val="24"/>
          <w:shd w:val="clear" w:color="auto" w:fill="FFFFFF"/>
          <w:lang w:val="en-IN" w:eastAsia="en-US"/>
        </w:rPr>
        <w:t xml:space="preserve"> (</w:t>
      </w:r>
      <w:proofErr w:type="spellStart"/>
      <w:r w:rsidRPr="002C2BA5">
        <w:rPr>
          <w:rFonts w:ascii="Times New Roman" w:eastAsiaTheme="minorHAnsi" w:hAnsi="Times New Roman" w:cs="Times New Roman"/>
          <w:color w:val="222222"/>
          <w:sz w:val="24"/>
          <w:szCs w:val="24"/>
          <w:shd w:val="clear" w:color="auto" w:fill="FFFFFF"/>
          <w:lang w:val="en-IN" w:eastAsia="en-US"/>
        </w:rPr>
        <w:t>Baudish</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I. and Bruce, A., 2015). </w:t>
      </w:r>
      <w:r w:rsidRPr="002C2BA5">
        <w:rPr>
          <w:rFonts w:ascii="Times New Roman" w:eastAsiaTheme="minorHAnsi" w:hAnsi="Times New Roman" w:cs="Times New Roman"/>
          <w:sz w:val="24"/>
          <w:szCs w:val="24"/>
          <w:lang w:val="en-IN" w:eastAsia="en-US"/>
        </w:rPr>
        <w:t xml:space="preserve"> Community engagement is the best way for fulfilling the bigger targets in a positive manner. Community engagement can be improved by increasing the communication skills and knowledge so that people can understand the value of the campaign.</w:t>
      </w:r>
    </w:p>
    <w:p w:rsidR="002C2BA5" w:rsidRPr="002C2BA5" w:rsidRDefault="002C2BA5" w:rsidP="002C2BA5">
      <w:pPr>
        <w:spacing w:after="200" w:line="360" w:lineRule="auto"/>
        <w:jc w:val="both"/>
        <w:rPr>
          <w:rFonts w:ascii="Times New Roman" w:eastAsiaTheme="minorHAnsi" w:hAnsi="Times New Roman" w:cs="Times New Roman"/>
          <w:b/>
          <w:sz w:val="28"/>
          <w:szCs w:val="28"/>
          <w:lang w:val="en-IN" w:eastAsia="en-US"/>
        </w:rPr>
      </w:pPr>
    </w:p>
    <w:p w:rsidR="002C2BA5" w:rsidRPr="002C2BA5" w:rsidRDefault="002C2BA5" w:rsidP="002C2BA5">
      <w:pPr>
        <w:spacing w:after="200" w:line="360" w:lineRule="auto"/>
        <w:jc w:val="both"/>
        <w:rPr>
          <w:rFonts w:ascii="Times New Roman" w:eastAsiaTheme="minorHAnsi" w:hAnsi="Times New Roman" w:cs="Times New Roman"/>
          <w:b/>
          <w:sz w:val="28"/>
          <w:szCs w:val="28"/>
          <w:lang w:val="en-IN" w:eastAsia="en-US"/>
        </w:rPr>
      </w:pPr>
    </w:p>
    <w:p w:rsidR="002C2BA5" w:rsidRPr="002C2BA5" w:rsidRDefault="002C2BA5" w:rsidP="002C2BA5">
      <w:pPr>
        <w:spacing w:after="200" w:line="360" w:lineRule="auto"/>
        <w:jc w:val="both"/>
        <w:rPr>
          <w:rFonts w:ascii="Times New Roman" w:eastAsiaTheme="minorHAnsi" w:hAnsi="Times New Roman" w:cs="Times New Roman"/>
          <w:b/>
          <w:sz w:val="28"/>
          <w:szCs w:val="28"/>
          <w:lang w:val="en-IN" w:eastAsia="en-US"/>
        </w:rPr>
      </w:pPr>
      <w:r w:rsidRPr="002C2BA5">
        <w:rPr>
          <w:rFonts w:ascii="Times New Roman" w:eastAsiaTheme="minorHAnsi" w:hAnsi="Times New Roman" w:cs="Times New Roman"/>
          <w:b/>
          <w:sz w:val="28"/>
          <w:szCs w:val="28"/>
          <w:lang w:val="en-IN" w:eastAsia="en-US"/>
        </w:rPr>
        <w:t>CONCLUSION</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 xml:space="preserve">Community engagement is a process where the bigger targets can be achieved through the collaboration of different kinds of people from different backgrounds, different communities. The campaign named as The connect 2 </w:t>
      </w:r>
      <w:proofErr w:type="spellStart"/>
      <w:r w:rsidRPr="002C2BA5">
        <w:rPr>
          <w:rFonts w:ascii="Times New Roman" w:eastAsiaTheme="minorHAnsi" w:hAnsi="Times New Roman" w:cs="Times New Roman"/>
          <w:sz w:val="24"/>
          <w:szCs w:val="24"/>
          <w:lang w:val="en-IN" w:eastAsia="en-US"/>
        </w:rPr>
        <w:t>Socorta</w:t>
      </w:r>
      <w:proofErr w:type="spellEnd"/>
      <w:r w:rsidRPr="002C2BA5">
        <w:rPr>
          <w:rFonts w:ascii="Times New Roman" w:eastAsiaTheme="minorHAnsi" w:hAnsi="Times New Roman" w:cs="Times New Roman"/>
          <w:sz w:val="24"/>
          <w:szCs w:val="24"/>
          <w:lang w:val="en-IN" w:eastAsia="en-US"/>
        </w:rPr>
        <w:t xml:space="preserve"> Campaign is a very good initiative for protecting and create awareness about the heritage sites. These heritage sites infused with their historical knowledge, importance and with their own stories in it. Campaign has their own partners and stakeholders which contribute and gives support so that they can focus on their aim. </w:t>
      </w:r>
      <w:r w:rsidRPr="002C2BA5">
        <w:rPr>
          <w:rFonts w:ascii="Times New Roman" w:eastAsiaTheme="minorHAnsi" w:hAnsi="Times New Roman" w:cs="Times New Roman"/>
          <w:color w:val="222222"/>
          <w:sz w:val="24"/>
          <w:szCs w:val="24"/>
          <w:shd w:val="clear" w:color="auto" w:fill="FFFFFF"/>
          <w:lang w:val="en-IN" w:eastAsia="en-US"/>
        </w:rPr>
        <w:t xml:space="preserve">(Golden, and et.al., 2018). </w:t>
      </w:r>
      <w:r w:rsidRPr="002C2BA5">
        <w:rPr>
          <w:rFonts w:ascii="Times New Roman" w:eastAsiaTheme="minorHAnsi" w:hAnsi="Times New Roman" w:cs="Times New Roman"/>
          <w:sz w:val="24"/>
          <w:szCs w:val="24"/>
          <w:lang w:val="en-IN" w:eastAsia="en-US"/>
        </w:rPr>
        <w:t>To carry out the objective of this campaign it is necessary that the people who are associated with this campaign have some skills, qualities so that they can spread the awareness in an effective and result-oriented manner. The awareness can spread through using modern approach according to the current time requirement. Awareness can be created through the use of social media platforms. It is  a very good and strong way to connect with large number of people. This kind of awareness through wise use of social media platform can be very effective and can be into the category of downfall if it does not approach to the people in a to the point manner.</w:t>
      </w:r>
    </w:p>
    <w:p w:rsidR="002C2BA5" w:rsidRPr="002C2BA5" w:rsidRDefault="002C2BA5" w:rsidP="002C2BA5">
      <w:pPr>
        <w:spacing w:after="200" w:line="360" w:lineRule="auto"/>
        <w:jc w:val="both"/>
        <w:rPr>
          <w:rFonts w:ascii="Times New Roman" w:eastAsiaTheme="minorHAnsi" w:hAnsi="Times New Roman" w:cs="Times New Roman"/>
          <w:sz w:val="24"/>
          <w:szCs w:val="24"/>
          <w:lang w:val="en-IN" w:eastAsia="en-US"/>
        </w:rPr>
      </w:pPr>
      <w:r w:rsidRPr="002C2BA5">
        <w:rPr>
          <w:rFonts w:ascii="Times New Roman" w:eastAsiaTheme="minorHAnsi" w:hAnsi="Times New Roman" w:cs="Times New Roman"/>
          <w:sz w:val="24"/>
          <w:szCs w:val="24"/>
          <w:lang w:val="en-IN" w:eastAsia="en-US"/>
        </w:rPr>
        <w:tab/>
      </w:r>
    </w:p>
    <w:p w:rsidR="002C2BA5" w:rsidRPr="002C2BA5" w:rsidRDefault="002C2BA5" w:rsidP="002C2BA5">
      <w:pPr>
        <w:shd w:val="clear" w:color="auto" w:fill="FFFFFF"/>
        <w:spacing w:after="100" w:afterAutospacing="1" w:line="360" w:lineRule="auto"/>
        <w:jc w:val="both"/>
        <w:rPr>
          <w:rFonts w:ascii="Times New Roman" w:eastAsia="Times New Roman" w:hAnsi="Times New Roman" w:cs="Times New Roman"/>
          <w:color w:val="212529"/>
          <w:sz w:val="24"/>
          <w:szCs w:val="24"/>
          <w:lang w:val="en-IN" w:eastAsia="en-IN"/>
        </w:rPr>
      </w:pPr>
      <w:r w:rsidRPr="002C2BA5">
        <w:rPr>
          <w:rFonts w:ascii="Times New Roman" w:eastAsia="Times New Roman" w:hAnsi="Times New Roman" w:cs="Times New Roman"/>
          <w:sz w:val="24"/>
          <w:szCs w:val="24"/>
          <w:lang w:val="en-IN" w:eastAsia="en-IN"/>
        </w:rPr>
        <w:tab/>
      </w:r>
    </w:p>
    <w:p w:rsidR="002C2BA5" w:rsidRPr="002C2BA5" w:rsidRDefault="002C2BA5" w:rsidP="002C2BA5">
      <w:pPr>
        <w:shd w:val="clear" w:color="auto" w:fill="FFFFFF"/>
        <w:spacing w:after="100" w:afterAutospacing="1" w:line="360" w:lineRule="auto"/>
        <w:jc w:val="both"/>
        <w:rPr>
          <w:rFonts w:ascii="Times New Roman" w:eastAsia="Times New Roman" w:hAnsi="Times New Roman" w:cs="Times New Roman"/>
          <w:color w:val="212529"/>
          <w:sz w:val="24"/>
          <w:szCs w:val="24"/>
          <w:lang w:val="en-IN" w:eastAsia="en-IN"/>
        </w:rPr>
      </w:pPr>
    </w:p>
    <w:p w:rsidR="002C2BA5" w:rsidRPr="002C2BA5" w:rsidRDefault="002C2BA5" w:rsidP="002C2BA5">
      <w:pPr>
        <w:shd w:val="clear" w:color="auto" w:fill="FFFFFF"/>
        <w:spacing w:after="100" w:afterAutospacing="1" w:line="360" w:lineRule="auto"/>
        <w:rPr>
          <w:rFonts w:ascii="Times New Roman" w:eastAsia="Times New Roman" w:hAnsi="Times New Roman" w:cs="Times New Roman"/>
          <w:color w:val="212529"/>
          <w:sz w:val="24"/>
          <w:szCs w:val="24"/>
          <w:lang w:val="en-IN" w:eastAsia="en-IN"/>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p>
    <w:p w:rsidR="002C2BA5" w:rsidRPr="002C2BA5" w:rsidRDefault="002C2BA5" w:rsidP="002C2BA5">
      <w:pPr>
        <w:spacing w:after="200" w:line="276" w:lineRule="auto"/>
        <w:rPr>
          <w:rFonts w:ascii="Times New Roman" w:eastAsiaTheme="minorHAnsi" w:hAnsi="Times New Roman" w:cs="Times New Roman"/>
          <w:b/>
          <w:sz w:val="28"/>
          <w:szCs w:val="28"/>
          <w:lang w:val="en-IN" w:eastAsia="en-US"/>
        </w:rPr>
      </w:pPr>
      <w:r w:rsidRPr="002C2BA5">
        <w:rPr>
          <w:rFonts w:ascii="Times New Roman" w:eastAsiaTheme="minorHAnsi" w:hAnsi="Times New Roman" w:cs="Times New Roman"/>
          <w:b/>
          <w:sz w:val="28"/>
          <w:szCs w:val="28"/>
          <w:lang w:val="en-IN" w:eastAsia="en-US"/>
        </w:rPr>
        <w:t>REFERENCES</w:t>
      </w:r>
    </w:p>
    <w:p w:rsidR="002C2BA5" w:rsidRPr="002C2BA5" w:rsidRDefault="002C2BA5" w:rsidP="002C2BA5">
      <w:pPr>
        <w:spacing w:after="200" w:line="276" w:lineRule="auto"/>
        <w:rPr>
          <w:rFonts w:ascii="Times New Roman" w:eastAsiaTheme="minorHAnsi" w:hAnsi="Times New Roman" w:cs="Times New Roman"/>
          <w:sz w:val="24"/>
          <w:szCs w:val="24"/>
          <w:u w:val="single"/>
          <w:lang w:val="en-IN" w:eastAsia="en-US"/>
        </w:rPr>
      </w:pPr>
      <w:r w:rsidRPr="002C2BA5">
        <w:rPr>
          <w:rFonts w:ascii="Times New Roman" w:eastAsiaTheme="minorHAnsi" w:hAnsi="Times New Roman" w:cs="Times New Roman"/>
          <w:sz w:val="24"/>
          <w:szCs w:val="24"/>
          <w:u w:val="single"/>
          <w:lang w:val="en-IN" w:eastAsia="en-US"/>
        </w:rPr>
        <w:t>Books and Journal</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proofErr w:type="spellStart"/>
      <w:r w:rsidRPr="002C2BA5">
        <w:rPr>
          <w:rFonts w:ascii="Times New Roman" w:eastAsiaTheme="minorHAnsi" w:hAnsi="Times New Roman" w:cs="Times New Roman"/>
          <w:color w:val="222222"/>
          <w:sz w:val="24"/>
          <w:szCs w:val="24"/>
          <w:shd w:val="clear" w:color="auto" w:fill="FFFFFF"/>
          <w:lang w:val="en-IN" w:eastAsia="en-US"/>
        </w:rPr>
        <w:t>Gelmon</w:t>
      </w:r>
      <w:proofErr w:type="spellEnd"/>
      <w:r w:rsidRPr="002C2BA5">
        <w:rPr>
          <w:rFonts w:ascii="Times New Roman" w:eastAsiaTheme="minorHAnsi" w:hAnsi="Times New Roman" w:cs="Times New Roman"/>
          <w:color w:val="222222"/>
          <w:sz w:val="24"/>
          <w:szCs w:val="24"/>
          <w:shd w:val="clear" w:color="auto" w:fill="FFFFFF"/>
          <w:lang w:val="en-IN" w:eastAsia="en-US"/>
        </w:rPr>
        <w:t>, and et.al., 2018. </w:t>
      </w:r>
      <w:r w:rsidRPr="002C2BA5">
        <w:rPr>
          <w:rFonts w:ascii="Times New Roman" w:eastAsiaTheme="minorHAnsi" w:hAnsi="Times New Roman" w:cs="Times New Roman"/>
          <w:iCs/>
          <w:color w:val="222222"/>
          <w:sz w:val="24"/>
          <w:szCs w:val="24"/>
          <w:shd w:val="clear" w:color="auto" w:fill="FFFFFF"/>
          <w:lang w:val="en-IN" w:eastAsia="en-US"/>
        </w:rPr>
        <w:t>Assessing service-learning and civic engagement: Principles and techniques</w:t>
      </w:r>
      <w:r w:rsidRPr="002C2BA5">
        <w:rPr>
          <w:rFonts w:ascii="Times New Roman" w:eastAsiaTheme="minorHAnsi" w:hAnsi="Times New Roman" w:cs="Times New Roman"/>
          <w:color w:val="222222"/>
          <w:sz w:val="24"/>
          <w:szCs w:val="24"/>
          <w:shd w:val="clear" w:color="auto" w:fill="FFFFFF"/>
          <w:lang w:val="en-IN" w:eastAsia="en-US"/>
        </w:rPr>
        <w:t>. Stylus Publishing, LLC.</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r w:rsidRPr="002C2BA5">
        <w:rPr>
          <w:rFonts w:ascii="Times New Roman" w:eastAsiaTheme="minorHAnsi" w:hAnsi="Times New Roman" w:cs="Times New Roman"/>
          <w:color w:val="222222"/>
          <w:sz w:val="24"/>
          <w:szCs w:val="24"/>
          <w:shd w:val="clear" w:color="auto" w:fill="FFFFFF"/>
          <w:lang w:val="en-IN" w:eastAsia="en-US"/>
        </w:rPr>
        <w:t>Orphan, and et.al., 2018. Fostering collective impact: Measuring and advancing higher education’s contributions to civic health and equity in Colorado. </w:t>
      </w:r>
      <w:r w:rsidRPr="002C2BA5">
        <w:rPr>
          <w:rFonts w:ascii="Times New Roman" w:eastAsiaTheme="minorHAnsi" w:hAnsi="Times New Roman" w:cs="Times New Roman"/>
          <w:iCs/>
          <w:color w:val="222222"/>
          <w:sz w:val="24"/>
          <w:szCs w:val="24"/>
          <w:shd w:val="clear" w:color="auto" w:fill="FFFFFF"/>
          <w:lang w:val="en-IN" w:eastAsia="en-US"/>
        </w:rPr>
        <w:t>International Journal of Research on Service-Learning and Community Engagement</w:t>
      </w:r>
      <w:r w:rsidRPr="002C2BA5">
        <w:rPr>
          <w:rFonts w:ascii="Times New Roman" w:eastAsiaTheme="minorHAnsi" w:hAnsi="Times New Roman" w:cs="Times New Roman"/>
          <w:color w:val="222222"/>
          <w:sz w:val="24"/>
          <w:szCs w:val="24"/>
          <w:shd w:val="clear" w:color="auto" w:fill="FFFFFF"/>
          <w:lang w:val="en-IN" w:eastAsia="en-US"/>
        </w:rPr>
        <w:t>, </w:t>
      </w:r>
      <w:r w:rsidRPr="002C2BA5">
        <w:rPr>
          <w:rFonts w:ascii="Times New Roman" w:eastAsiaTheme="minorHAnsi" w:hAnsi="Times New Roman" w:cs="Times New Roman"/>
          <w:iCs/>
          <w:color w:val="222222"/>
          <w:sz w:val="24"/>
          <w:szCs w:val="24"/>
          <w:shd w:val="clear" w:color="auto" w:fill="FFFFFF"/>
          <w:lang w:val="en-IN" w:eastAsia="en-US"/>
        </w:rPr>
        <w:t>6</w:t>
      </w:r>
      <w:r w:rsidRPr="002C2BA5">
        <w:rPr>
          <w:rFonts w:ascii="Times New Roman" w:eastAsiaTheme="minorHAnsi" w:hAnsi="Times New Roman" w:cs="Times New Roman"/>
          <w:color w:val="222222"/>
          <w:sz w:val="24"/>
          <w:szCs w:val="24"/>
          <w:shd w:val="clear" w:color="auto" w:fill="FFFFFF"/>
          <w:lang w:val="en-IN" w:eastAsia="en-US"/>
        </w:rPr>
        <w:t>(1), pp.1-20.</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proofErr w:type="spellStart"/>
      <w:r w:rsidRPr="002C2BA5">
        <w:rPr>
          <w:rFonts w:ascii="Times New Roman" w:eastAsiaTheme="minorHAnsi" w:hAnsi="Times New Roman" w:cs="Times New Roman"/>
          <w:color w:val="222222"/>
          <w:sz w:val="24"/>
          <w:szCs w:val="24"/>
          <w:shd w:val="clear" w:color="auto" w:fill="FFFFFF"/>
          <w:lang w:val="en-IN" w:eastAsia="en-US"/>
        </w:rPr>
        <w:t>Vaeliverronen</w:t>
      </w:r>
      <w:proofErr w:type="spellEnd"/>
      <w:r w:rsidRPr="002C2BA5">
        <w:rPr>
          <w:rFonts w:ascii="Times New Roman" w:eastAsiaTheme="minorHAnsi" w:hAnsi="Times New Roman" w:cs="Times New Roman"/>
          <w:color w:val="222222"/>
          <w:sz w:val="24"/>
          <w:szCs w:val="24"/>
          <w:shd w:val="clear" w:color="auto" w:fill="FFFFFF"/>
          <w:lang w:val="en-IN" w:eastAsia="en-US"/>
        </w:rPr>
        <w:t>, and et.al., 2017. Engagement of Local Communities in Conservation of Cultural Heritage in Depopulated Rural Areas in Latvia. </w:t>
      </w:r>
      <w:r w:rsidRPr="002C2BA5">
        <w:rPr>
          <w:rFonts w:ascii="Times New Roman" w:eastAsiaTheme="minorHAnsi" w:hAnsi="Times New Roman" w:cs="Times New Roman"/>
          <w:iCs/>
          <w:color w:val="222222"/>
          <w:sz w:val="24"/>
          <w:szCs w:val="24"/>
          <w:shd w:val="clear" w:color="auto" w:fill="FFFFFF"/>
          <w:lang w:val="en-IN" w:eastAsia="en-US"/>
        </w:rPr>
        <w:t>International Journal of Cultural Heritage</w:t>
      </w:r>
      <w:r w:rsidRPr="002C2BA5">
        <w:rPr>
          <w:rFonts w:ascii="Times New Roman" w:eastAsiaTheme="minorHAnsi" w:hAnsi="Times New Roman" w:cs="Times New Roman"/>
          <w:color w:val="222222"/>
          <w:sz w:val="24"/>
          <w:szCs w:val="24"/>
          <w:shd w:val="clear" w:color="auto" w:fill="FFFFFF"/>
          <w:lang w:val="en-IN" w:eastAsia="en-US"/>
        </w:rPr>
        <w:t>, </w:t>
      </w:r>
      <w:r w:rsidRPr="002C2BA5">
        <w:rPr>
          <w:rFonts w:ascii="Times New Roman" w:eastAsiaTheme="minorHAnsi" w:hAnsi="Times New Roman" w:cs="Times New Roman"/>
          <w:iCs/>
          <w:color w:val="222222"/>
          <w:sz w:val="24"/>
          <w:szCs w:val="24"/>
          <w:shd w:val="clear" w:color="auto" w:fill="FFFFFF"/>
          <w:lang w:val="en-IN" w:eastAsia="en-US"/>
        </w:rPr>
        <w:t>2</w:t>
      </w:r>
      <w:r w:rsidRPr="002C2BA5">
        <w:rPr>
          <w:rFonts w:ascii="Times New Roman" w:eastAsiaTheme="minorHAnsi" w:hAnsi="Times New Roman" w:cs="Times New Roman"/>
          <w:color w:val="222222"/>
          <w:sz w:val="24"/>
          <w:szCs w:val="24"/>
          <w:shd w:val="clear" w:color="auto" w:fill="FFFFFF"/>
          <w:lang w:val="en-IN" w:eastAsia="en-US"/>
        </w:rPr>
        <w:t>, pp.13-21.</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r w:rsidRPr="002C2BA5">
        <w:rPr>
          <w:rFonts w:ascii="Times New Roman" w:eastAsiaTheme="minorHAnsi" w:hAnsi="Times New Roman" w:cs="Times New Roman"/>
          <w:color w:val="222222"/>
          <w:sz w:val="24"/>
          <w:szCs w:val="24"/>
          <w:shd w:val="clear" w:color="auto" w:fill="FFFFFF"/>
          <w:lang w:val="en-IN" w:eastAsia="en-US"/>
        </w:rPr>
        <w:t>Metro-Roland, M., 2018. Community, identity, and international student engagement. </w:t>
      </w:r>
      <w:r w:rsidRPr="002C2BA5">
        <w:rPr>
          <w:rFonts w:ascii="Times New Roman" w:eastAsiaTheme="minorHAnsi" w:hAnsi="Times New Roman" w:cs="Times New Roman"/>
          <w:iCs/>
          <w:color w:val="222222"/>
          <w:sz w:val="24"/>
          <w:szCs w:val="24"/>
          <w:shd w:val="clear" w:color="auto" w:fill="FFFFFF"/>
          <w:lang w:val="en-IN" w:eastAsia="en-US"/>
        </w:rPr>
        <w:t>Journal of International Students</w:t>
      </w:r>
      <w:r w:rsidRPr="002C2BA5">
        <w:rPr>
          <w:rFonts w:ascii="Times New Roman" w:eastAsiaTheme="minorHAnsi" w:hAnsi="Times New Roman" w:cs="Times New Roman"/>
          <w:color w:val="222222"/>
          <w:sz w:val="24"/>
          <w:szCs w:val="24"/>
          <w:shd w:val="clear" w:color="auto" w:fill="FFFFFF"/>
          <w:lang w:val="en-IN" w:eastAsia="en-US"/>
        </w:rPr>
        <w:t>, </w:t>
      </w:r>
      <w:r w:rsidRPr="002C2BA5">
        <w:rPr>
          <w:rFonts w:ascii="Times New Roman" w:eastAsiaTheme="minorHAnsi" w:hAnsi="Times New Roman" w:cs="Times New Roman"/>
          <w:iCs/>
          <w:color w:val="222222"/>
          <w:sz w:val="24"/>
          <w:szCs w:val="24"/>
          <w:shd w:val="clear" w:color="auto" w:fill="FFFFFF"/>
          <w:lang w:val="en-IN" w:eastAsia="en-US"/>
        </w:rPr>
        <w:t>8</w:t>
      </w:r>
      <w:r w:rsidRPr="002C2BA5">
        <w:rPr>
          <w:rFonts w:ascii="Times New Roman" w:eastAsiaTheme="minorHAnsi" w:hAnsi="Times New Roman" w:cs="Times New Roman"/>
          <w:color w:val="222222"/>
          <w:sz w:val="24"/>
          <w:szCs w:val="24"/>
          <w:shd w:val="clear" w:color="auto" w:fill="FFFFFF"/>
          <w:lang w:val="en-IN" w:eastAsia="en-US"/>
        </w:rPr>
        <w:t>(3), pp.1408-1421.</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proofErr w:type="spellStart"/>
      <w:r w:rsidRPr="002C2BA5">
        <w:rPr>
          <w:rFonts w:ascii="Times New Roman" w:eastAsiaTheme="minorHAnsi" w:hAnsi="Times New Roman" w:cs="Times New Roman"/>
          <w:color w:val="222222"/>
          <w:sz w:val="24"/>
          <w:szCs w:val="24"/>
          <w:shd w:val="clear" w:color="auto" w:fill="FFFFFF"/>
          <w:lang w:val="en-IN" w:eastAsia="en-US"/>
        </w:rPr>
        <w:t>Molinillo</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and et.al., 2020. </w:t>
      </w:r>
      <w:proofErr w:type="spellStart"/>
      <w:r w:rsidRPr="002C2BA5">
        <w:rPr>
          <w:rFonts w:ascii="Times New Roman" w:eastAsiaTheme="minorHAnsi" w:hAnsi="Times New Roman" w:cs="Times New Roman"/>
          <w:color w:val="222222"/>
          <w:sz w:val="24"/>
          <w:szCs w:val="24"/>
          <w:shd w:val="clear" w:color="auto" w:fill="FFFFFF"/>
          <w:lang w:val="en-IN" w:eastAsia="en-US"/>
        </w:rPr>
        <w:t>Analyzing</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the effect of social support and community factors on customer engagement and its impact on loyalty </w:t>
      </w:r>
      <w:proofErr w:type="spellStart"/>
      <w:r w:rsidRPr="002C2BA5">
        <w:rPr>
          <w:rFonts w:ascii="Times New Roman" w:eastAsiaTheme="minorHAnsi" w:hAnsi="Times New Roman" w:cs="Times New Roman"/>
          <w:color w:val="222222"/>
          <w:sz w:val="24"/>
          <w:szCs w:val="24"/>
          <w:shd w:val="clear" w:color="auto" w:fill="FFFFFF"/>
          <w:lang w:val="en-IN" w:eastAsia="en-US"/>
        </w:rPr>
        <w:t>behaviors</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toward social commerce websites. </w:t>
      </w:r>
      <w:r w:rsidRPr="002C2BA5">
        <w:rPr>
          <w:rFonts w:ascii="Times New Roman" w:eastAsiaTheme="minorHAnsi" w:hAnsi="Times New Roman" w:cs="Times New Roman"/>
          <w:iCs/>
          <w:color w:val="222222"/>
          <w:sz w:val="24"/>
          <w:szCs w:val="24"/>
          <w:shd w:val="clear" w:color="auto" w:fill="FFFFFF"/>
          <w:lang w:val="en-IN" w:eastAsia="en-US"/>
        </w:rPr>
        <w:t xml:space="preserve">Computers in Human </w:t>
      </w:r>
      <w:proofErr w:type="spellStart"/>
      <w:r w:rsidRPr="002C2BA5">
        <w:rPr>
          <w:rFonts w:ascii="Times New Roman" w:eastAsiaTheme="minorHAnsi" w:hAnsi="Times New Roman" w:cs="Times New Roman"/>
          <w:iCs/>
          <w:color w:val="222222"/>
          <w:sz w:val="24"/>
          <w:szCs w:val="24"/>
          <w:shd w:val="clear" w:color="auto" w:fill="FFFFFF"/>
          <w:lang w:val="en-IN" w:eastAsia="en-US"/>
        </w:rPr>
        <w:t>Behavior</w:t>
      </w:r>
      <w:proofErr w:type="spellEnd"/>
      <w:r w:rsidRPr="002C2BA5">
        <w:rPr>
          <w:rFonts w:ascii="Times New Roman" w:eastAsiaTheme="minorHAnsi" w:hAnsi="Times New Roman" w:cs="Times New Roman"/>
          <w:color w:val="222222"/>
          <w:sz w:val="24"/>
          <w:szCs w:val="24"/>
          <w:shd w:val="clear" w:color="auto" w:fill="FFFFFF"/>
          <w:lang w:val="en-IN" w:eastAsia="en-US"/>
        </w:rPr>
        <w:t>, </w:t>
      </w:r>
      <w:r w:rsidRPr="002C2BA5">
        <w:rPr>
          <w:rFonts w:ascii="Times New Roman" w:eastAsiaTheme="minorHAnsi" w:hAnsi="Times New Roman" w:cs="Times New Roman"/>
          <w:iCs/>
          <w:color w:val="222222"/>
          <w:sz w:val="24"/>
          <w:szCs w:val="24"/>
          <w:shd w:val="clear" w:color="auto" w:fill="FFFFFF"/>
          <w:lang w:val="en-IN" w:eastAsia="en-US"/>
        </w:rPr>
        <w:t>108</w:t>
      </w:r>
      <w:r w:rsidRPr="002C2BA5">
        <w:rPr>
          <w:rFonts w:ascii="Times New Roman" w:eastAsiaTheme="minorHAnsi" w:hAnsi="Times New Roman" w:cs="Times New Roman"/>
          <w:color w:val="222222"/>
          <w:sz w:val="24"/>
          <w:szCs w:val="24"/>
          <w:shd w:val="clear" w:color="auto" w:fill="FFFFFF"/>
          <w:lang w:val="en-IN" w:eastAsia="en-US"/>
        </w:rPr>
        <w:t>, p.105980.</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proofErr w:type="spellStart"/>
      <w:r w:rsidRPr="002C2BA5">
        <w:rPr>
          <w:rFonts w:ascii="Times New Roman" w:eastAsiaTheme="minorHAnsi" w:hAnsi="Times New Roman" w:cs="Times New Roman"/>
          <w:color w:val="222222"/>
          <w:sz w:val="24"/>
          <w:szCs w:val="24"/>
          <w:shd w:val="clear" w:color="auto" w:fill="FFFFFF"/>
          <w:lang w:val="en-IN" w:eastAsia="en-US"/>
        </w:rPr>
        <w:t>Winschiers-Theophilus</w:t>
      </w:r>
      <w:proofErr w:type="spellEnd"/>
      <w:r w:rsidRPr="002C2BA5">
        <w:rPr>
          <w:rFonts w:ascii="Times New Roman" w:eastAsiaTheme="minorHAnsi" w:hAnsi="Times New Roman" w:cs="Times New Roman"/>
          <w:color w:val="222222"/>
          <w:sz w:val="24"/>
          <w:szCs w:val="24"/>
          <w:shd w:val="clear" w:color="auto" w:fill="FFFFFF"/>
          <w:lang w:val="en-IN" w:eastAsia="en-US"/>
        </w:rPr>
        <w:t>, and et.al., 2015, June. Reducing" white elephant" ICT4D projects: a community-researcher engagement. In </w:t>
      </w:r>
      <w:r w:rsidRPr="002C2BA5">
        <w:rPr>
          <w:rFonts w:ascii="Times New Roman" w:eastAsiaTheme="minorHAnsi" w:hAnsi="Times New Roman" w:cs="Times New Roman"/>
          <w:iCs/>
          <w:color w:val="222222"/>
          <w:sz w:val="24"/>
          <w:szCs w:val="24"/>
          <w:shd w:val="clear" w:color="auto" w:fill="FFFFFF"/>
          <w:lang w:val="en-IN" w:eastAsia="en-US"/>
        </w:rPr>
        <w:t>Proceedings of the 7th International Conference on Communities and Technologies</w:t>
      </w:r>
      <w:r w:rsidRPr="002C2BA5">
        <w:rPr>
          <w:rFonts w:ascii="Times New Roman" w:eastAsiaTheme="minorHAnsi" w:hAnsi="Times New Roman" w:cs="Times New Roman"/>
          <w:color w:val="222222"/>
          <w:sz w:val="24"/>
          <w:szCs w:val="24"/>
          <w:shd w:val="clear" w:color="auto" w:fill="FFFFFF"/>
          <w:lang w:val="en-IN" w:eastAsia="en-US"/>
        </w:rPr>
        <w:t> (pp. 99-107).</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r w:rsidRPr="002C2BA5">
        <w:rPr>
          <w:rFonts w:ascii="Times New Roman" w:eastAsiaTheme="minorHAnsi" w:hAnsi="Times New Roman" w:cs="Times New Roman"/>
          <w:color w:val="222222"/>
          <w:sz w:val="24"/>
          <w:szCs w:val="24"/>
          <w:shd w:val="clear" w:color="auto" w:fill="FFFFFF"/>
          <w:lang w:val="en-IN" w:eastAsia="en-US"/>
        </w:rPr>
        <w:t xml:space="preserve">Nagar, R. B., 2016. Tying Community Engagement with Appropriate Technology at the Last Mile: A Cluster </w:t>
      </w:r>
      <w:proofErr w:type="spellStart"/>
      <w:r w:rsidRPr="002C2BA5">
        <w:rPr>
          <w:rFonts w:ascii="Times New Roman" w:eastAsiaTheme="minorHAnsi" w:hAnsi="Times New Roman" w:cs="Times New Roman"/>
          <w:color w:val="222222"/>
          <w:sz w:val="24"/>
          <w:szCs w:val="24"/>
          <w:shd w:val="clear" w:color="auto" w:fill="FFFFFF"/>
          <w:lang w:val="en-IN" w:eastAsia="en-US"/>
        </w:rPr>
        <w:t>Randomized</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Trial to Determine the Effectiveness of a Novel, Digital Pendant and Voice Reminder Platform on Increasing Infant </w:t>
      </w:r>
      <w:proofErr w:type="spellStart"/>
      <w:r w:rsidRPr="002C2BA5">
        <w:rPr>
          <w:rFonts w:ascii="Times New Roman" w:eastAsiaTheme="minorHAnsi" w:hAnsi="Times New Roman" w:cs="Times New Roman"/>
          <w:color w:val="222222"/>
          <w:sz w:val="24"/>
          <w:szCs w:val="24"/>
          <w:shd w:val="clear" w:color="auto" w:fill="FFFFFF"/>
          <w:lang w:val="en-IN" w:eastAsia="en-US"/>
        </w:rPr>
        <w:t>Immunization</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Adherence among Mothers in Rural Udaipur, India.</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proofErr w:type="spellStart"/>
      <w:r w:rsidRPr="002C2BA5">
        <w:rPr>
          <w:rFonts w:ascii="Times New Roman" w:eastAsiaTheme="minorHAnsi" w:hAnsi="Times New Roman" w:cs="Times New Roman"/>
          <w:color w:val="222222"/>
          <w:sz w:val="24"/>
          <w:szCs w:val="24"/>
          <w:shd w:val="clear" w:color="auto" w:fill="FFFFFF"/>
          <w:lang w:val="en-IN" w:eastAsia="en-US"/>
        </w:rPr>
        <w:t>Schudde</w:t>
      </w:r>
      <w:proofErr w:type="spellEnd"/>
      <w:r w:rsidRPr="002C2BA5">
        <w:rPr>
          <w:rFonts w:ascii="Times New Roman" w:eastAsiaTheme="minorHAnsi" w:hAnsi="Times New Roman" w:cs="Times New Roman"/>
          <w:color w:val="222222"/>
          <w:sz w:val="24"/>
          <w:szCs w:val="24"/>
          <w:shd w:val="clear" w:color="auto" w:fill="FFFFFF"/>
          <w:lang w:val="en-IN" w:eastAsia="en-US"/>
        </w:rPr>
        <w:t>, L., 2019. Short-and long-term impacts of engagement experiences with faculty and peers at community colleges. </w:t>
      </w:r>
      <w:r w:rsidRPr="002C2BA5">
        <w:rPr>
          <w:rFonts w:ascii="Times New Roman" w:eastAsiaTheme="minorHAnsi" w:hAnsi="Times New Roman" w:cs="Times New Roman"/>
          <w:iCs/>
          <w:color w:val="222222"/>
          <w:sz w:val="24"/>
          <w:szCs w:val="24"/>
          <w:shd w:val="clear" w:color="auto" w:fill="FFFFFF"/>
          <w:lang w:val="en-IN" w:eastAsia="en-US"/>
        </w:rPr>
        <w:t>The Review of Higher Education</w:t>
      </w:r>
      <w:r w:rsidRPr="002C2BA5">
        <w:rPr>
          <w:rFonts w:ascii="Times New Roman" w:eastAsiaTheme="minorHAnsi" w:hAnsi="Times New Roman" w:cs="Times New Roman"/>
          <w:color w:val="222222"/>
          <w:sz w:val="24"/>
          <w:szCs w:val="24"/>
          <w:shd w:val="clear" w:color="auto" w:fill="FFFFFF"/>
          <w:lang w:val="en-IN" w:eastAsia="en-US"/>
        </w:rPr>
        <w:t>, </w:t>
      </w:r>
      <w:r w:rsidRPr="002C2BA5">
        <w:rPr>
          <w:rFonts w:ascii="Times New Roman" w:eastAsiaTheme="minorHAnsi" w:hAnsi="Times New Roman" w:cs="Times New Roman"/>
          <w:iCs/>
          <w:color w:val="222222"/>
          <w:sz w:val="24"/>
          <w:szCs w:val="24"/>
          <w:shd w:val="clear" w:color="auto" w:fill="FFFFFF"/>
          <w:lang w:val="en-IN" w:eastAsia="en-US"/>
        </w:rPr>
        <w:t>42</w:t>
      </w:r>
      <w:r w:rsidRPr="002C2BA5">
        <w:rPr>
          <w:rFonts w:ascii="Times New Roman" w:eastAsiaTheme="minorHAnsi" w:hAnsi="Times New Roman" w:cs="Times New Roman"/>
          <w:color w:val="222222"/>
          <w:sz w:val="24"/>
          <w:szCs w:val="24"/>
          <w:shd w:val="clear" w:color="auto" w:fill="FFFFFF"/>
          <w:lang w:val="en-IN" w:eastAsia="en-US"/>
        </w:rPr>
        <w:t>(2), pp.385-426.</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proofErr w:type="spellStart"/>
      <w:r w:rsidRPr="002C2BA5">
        <w:rPr>
          <w:rFonts w:ascii="Times New Roman" w:eastAsiaTheme="minorHAnsi" w:hAnsi="Times New Roman" w:cs="Times New Roman"/>
          <w:color w:val="222222"/>
          <w:sz w:val="24"/>
          <w:szCs w:val="24"/>
          <w:shd w:val="clear" w:color="auto" w:fill="FFFFFF"/>
          <w:lang w:val="en-IN" w:eastAsia="en-US"/>
        </w:rPr>
        <w:lastRenderedPageBreak/>
        <w:t>Baudish</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I. and Bruce, A., 2015, September. Maximising Sustainability and </w:t>
      </w:r>
      <w:proofErr w:type="spellStart"/>
      <w:r w:rsidRPr="002C2BA5">
        <w:rPr>
          <w:rFonts w:ascii="Times New Roman" w:eastAsiaTheme="minorHAnsi" w:hAnsi="Times New Roman" w:cs="Times New Roman"/>
          <w:color w:val="222222"/>
          <w:sz w:val="24"/>
          <w:szCs w:val="24"/>
          <w:shd w:val="clear" w:color="auto" w:fill="FFFFFF"/>
          <w:lang w:val="en-IN" w:eastAsia="en-US"/>
        </w:rPr>
        <w:t>Trasformative</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Potential Via Community Engagement in Mini Grid Deployment Models. In </w:t>
      </w:r>
      <w:r w:rsidRPr="002C2BA5">
        <w:rPr>
          <w:rFonts w:ascii="Times New Roman" w:eastAsiaTheme="minorHAnsi" w:hAnsi="Times New Roman" w:cs="Times New Roman"/>
          <w:iCs/>
          <w:color w:val="222222"/>
          <w:sz w:val="24"/>
          <w:szCs w:val="24"/>
          <w:shd w:val="clear" w:color="auto" w:fill="FFFFFF"/>
          <w:lang w:val="en-IN" w:eastAsia="en-US"/>
        </w:rPr>
        <w:t>Proceedings of the 31st European Photovoltaic Solar Energy Conference and Exhibition (EU PVSEC 2015), Hamburg, Germany</w:t>
      </w:r>
      <w:r w:rsidRPr="002C2BA5">
        <w:rPr>
          <w:rFonts w:ascii="Times New Roman" w:eastAsiaTheme="minorHAnsi" w:hAnsi="Times New Roman" w:cs="Times New Roman"/>
          <w:color w:val="222222"/>
          <w:sz w:val="24"/>
          <w:szCs w:val="24"/>
          <w:shd w:val="clear" w:color="auto" w:fill="FFFFFF"/>
          <w:lang w:val="en-IN" w:eastAsia="en-US"/>
        </w:rPr>
        <w:t> (pp. 14-18).</w:t>
      </w:r>
    </w:p>
    <w:p w:rsidR="002C2BA5" w:rsidRPr="002C2BA5" w:rsidRDefault="002C2BA5" w:rsidP="002C2BA5">
      <w:pPr>
        <w:spacing w:after="200"/>
        <w:rPr>
          <w:rFonts w:ascii="Times New Roman" w:eastAsiaTheme="minorHAnsi" w:hAnsi="Times New Roman" w:cs="Times New Roman"/>
          <w:color w:val="222222"/>
          <w:sz w:val="24"/>
          <w:szCs w:val="24"/>
          <w:shd w:val="clear" w:color="auto" w:fill="FFFFFF"/>
          <w:lang w:val="en-IN" w:eastAsia="en-US"/>
        </w:rPr>
      </w:pPr>
      <w:r w:rsidRPr="002C2BA5">
        <w:rPr>
          <w:rFonts w:ascii="Times New Roman" w:eastAsiaTheme="minorHAnsi" w:hAnsi="Times New Roman" w:cs="Times New Roman"/>
          <w:color w:val="222222"/>
          <w:sz w:val="24"/>
          <w:szCs w:val="24"/>
          <w:shd w:val="clear" w:color="auto" w:fill="FFFFFF"/>
          <w:lang w:val="en-IN" w:eastAsia="en-US"/>
        </w:rPr>
        <w:t xml:space="preserve">Golden, and et.al., 2018. A perspective on the Baltimore Freddie </w:t>
      </w:r>
      <w:proofErr w:type="spellStart"/>
      <w:r w:rsidRPr="002C2BA5">
        <w:rPr>
          <w:rFonts w:ascii="Times New Roman" w:eastAsiaTheme="minorHAnsi" w:hAnsi="Times New Roman" w:cs="Times New Roman"/>
          <w:color w:val="222222"/>
          <w:sz w:val="24"/>
          <w:szCs w:val="24"/>
          <w:shd w:val="clear" w:color="auto" w:fill="FFFFFF"/>
          <w:lang w:val="en-IN" w:eastAsia="en-US"/>
        </w:rPr>
        <w:t>Gray</w:t>
      </w:r>
      <w:proofErr w:type="spellEnd"/>
      <w:r w:rsidRPr="002C2BA5">
        <w:rPr>
          <w:rFonts w:ascii="Times New Roman" w:eastAsiaTheme="minorHAnsi" w:hAnsi="Times New Roman" w:cs="Times New Roman"/>
          <w:color w:val="222222"/>
          <w:sz w:val="24"/>
          <w:szCs w:val="24"/>
          <w:shd w:val="clear" w:color="auto" w:fill="FFFFFF"/>
          <w:lang w:val="en-IN" w:eastAsia="en-US"/>
        </w:rPr>
        <w:t xml:space="preserve"> riots: turning tragedy into civic engagement and culture change in an academic department of medicine. </w:t>
      </w:r>
      <w:r w:rsidRPr="002C2BA5">
        <w:rPr>
          <w:rFonts w:ascii="Times New Roman" w:eastAsiaTheme="minorHAnsi" w:hAnsi="Times New Roman" w:cs="Times New Roman"/>
          <w:iCs/>
          <w:color w:val="222222"/>
          <w:sz w:val="24"/>
          <w:szCs w:val="24"/>
          <w:shd w:val="clear" w:color="auto" w:fill="FFFFFF"/>
          <w:lang w:val="en-IN" w:eastAsia="en-US"/>
        </w:rPr>
        <w:t>Academic Medicine</w:t>
      </w:r>
      <w:r w:rsidRPr="002C2BA5">
        <w:rPr>
          <w:rFonts w:ascii="Times New Roman" w:eastAsiaTheme="minorHAnsi" w:hAnsi="Times New Roman" w:cs="Times New Roman"/>
          <w:color w:val="222222"/>
          <w:sz w:val="24"/>
          <w:szCs w:val="24"/>
          <w:shd w:val="clear" w:color="auto" w:fill="FFFFFF"/>
          <w:lang w:val="en-IN" w:eastAsia="en-US"/>
        </w:rPr>
        <w:t>, </w:t>
      </w:r>
      <w:r w:rsidRPr="002C2BA5">
        <w:rPr>
          <w:rFonts w:ascii="Times New Roman" w:eastAsiaTheme="minorHAnsi" w:hAnsi="Times New Roman" w:cs="Times New Roman"/>
          <w:iCs/>
          <w:color w:val="222222"/>
          <w:sz w:val="24"/>
          <w:szCs w:val="24"/>
          <w:shd w:val="clear" w:color="auto" w:fill="FFFFFF"/>
          <w:lang w:val="en-IN" w:eastAsia="en-US"/>
        </w:rPr>
        <w:t>93</w:t>
      </w:r>
      <w:r w:rsidRPr="002C2BA5">
        <w:rPr>
          <w:rFonts w:ascii="Times New Roman" w:eastAsiaTheme="minorHAnsi" w:hAnsi="Times New Roman" w:cs="Times New Roman"/>
          <w:color w:val="222222"/>
          <w:sz w:val="24"/>
          <w:szCs w:val="24"/>
          <w:shd w:val="clear" w:color="auto" w:fill="FFFFFF"/>
          <w:lang w:val="en-IN" w:eastAsia="en-US"/>
        </w:rPr>
        <w:t>(12), pp.1808-1813.</w:t>
      </w:r>
    </w:p>
    <w:p w:rsidR="002C2BA5" w:rsidRPr="002C2BA5" w:rsidRDefault="002C2BA5" w:rsidP="002C2BA5">
      <w:pPr>
        <w:spacing w:after="200"/>
        <w:rPr>
          <w:rFonts w:ascii="Times New Roman" w:eastAsiaTheme="minorHAnsi" w:hAnsi="Times New Roman" w:cs="Times New Roman"/>
          <w:sz w:val="24"/>
          <w:szCs w:val="24"/>
          <w:u w:val="single"/>
          <w:lang w:val="en-IN" w:eastAsia="en-US"/>
        </w:rPr>
      </w:pPr>
      <w:r w:rsidRPr="002C2BA5">
        <w:rPr>
          <w:rFonts w:ascii="Times New Roman" w:eastAsiaTheme="minorHAnsi" w:hAnsi="Times New Roman" w:cs="Times New Roman"/>
          <w:color w:val="222222"/>
          <w:sz w:val="24"/>
          <w:szCs w:val="24"/>
          <w:shd w:val="clear" w:color="auto" w:fill="FFFFFF"/>
          <w:lang w:val="en-IN" w:eastAsia="en-US"/>
        </w:rPr>
        <w:t>Singh, and et.al., 2018, March. Patient and family engagement in Alberta health services: improving care delivery and research outcomes. In </w:t>
      </w:r>
      <w:r w:rsidRPr="002C2BA5">
        <w:rPr>
          <w:rFonts w:ascii="Times New Roman" w:eastAsiaTheme="minorHAnsi" w:hAnsi="Times New Roman" w:cs="Times New Roman"/>
          <w:iCs/>
          <w:color w:val="222222"/>
          <w:sz w:val="24"/>
          <w:szCs w:val="24"/>
          <w:shd w:val="clear" w:color="auto" w:fill="FFFFFF"/>
          <w:lang w:val="en-IN" w:eastAsia="en-US"/>
        </w:rPr>
        <w:t>Healthcare management forum</w:t>
      </w:r>
      <w:r w:rsidRPr="002C2BA5">
        <w:rPr>
          <w:rFonts w:ascii="Times New Roman" w:eastAsiaTheme="minorHAnsi" w:hAnsi="Times New Roman" w:cs="Times New Roman"/>
          <w:color w:val="222222"/>
          <w:sz w:val="24"/>
          <w:szCs w:val="24"/>
          <w:shd w:val="clear" w:color="auto" w:fill="FFFFFF"/>
          <w:lang w:val="en-IN" w:eastAsia="en-US"/>
        </w:rPr>
        <w:t> (Vol. 31, No. 2, pp. 57-61). Sage CA: Los Angeles, CA: SAGE Publications.</w:t>
      </w:r>
    </w:p>
    <w:p w:rsidR="002C2BA5" w:rsidRPr="002C2BA5" w:rsidRDefault="002C2BA5" w:rsidP="002C2BA5">
      <w:pPr>
        <w:spacing w:after="200" w:line="276" w:lineRule="auto"/>
        <w:jc w:val="center"/>
        <w:rPr>
          <w:rFonts w:ascii="Times New Roman" w:eastAsiaTheme="minorHAnsi" w:hAnsi="Times New Roman" w:cs="Times New Roman"/>
          <w:sz w:val="96"/>
          <w:szCs w:val="96"/>
          <w:lang w:val="en-IN" w:eastAsia="en-US"/>
        </w:rPr>
      </w:pPr>
    </w:p>
    <w:p w:rsidR="002C2BA5" w:rsidRPr="002C2BA5" w:rsidRDefault="002C2BA5" w:rsidP="002C2BA5">
      <w:pPr>
        <w:spacing w:after="200" w:line="276" w:lineRule="auto"/>
        <w:jc w:val="center"/>
        <w:rPr>
          <w:rFonts w:ascii="Times New Roman" w:eastAsiaTheme="minorHAnsi" w:hAnsi="Times New Roman" w:cs="Times New Roman"/>
          <w:sz w:val="96"/>
          <w:szCs w:val="96"/>
          <w:lang w:val="en-IN" w:eastAsia="en-US"/>
        </w:rPr>
      </w:pPr>
    </w:p>
    <w:p w:rsidR="002C2BA5" w:rsidRDefault="002C2BA5"/>
    <w:sectPr w:rsidR="002C2B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BA5"/>
    <w:rsid w:val="002C2BA5"/>
    <w:rsid w:val="002D6D9C"/>
    <w:rsid w:val="00774E02"/>
    <w:rsid w:val="007E4150"/>
    <w:rsid w:val="007F6948"/>
    <w:rsid w:val="009A0D0E"/>
    <w:rsid w:val="00B079A0"/>
    <w:rsid w:val="00C6077D"/>
    <w:rsid w:val="00EA4B75"/>
    <w:rsid w:val="00F22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5D9705"/>
  <w15:chartTrackingRefBased/>
  <w15:docId w15:val="{9EF66A16-FCA4-184B-BD4E-E945A3EED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2BA5"/>
    <w:pPr>
      <w:spacing w:before="100" w:beforeAutospacing="1" w:after="100" w:afterAutospacing="1"/>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2190</Words>
  <Characters>12488</Characters>
  <Application>Microsoft Office Word</Application>
  <DocSecurity>0</DocSecurity>
  <Lines>104</Lines>
  <Paragraphs>29</Paragraphs>
  <ScaleCrop>false</ScaleCrop>
  <Company/>
  <LinksUpToDate>false</LinksUpToDate>
  <CharactersWithSpaces>14649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2021-05-10T12:58:00Z</dcterms:created>
  <dcterms:modified xsi:type="dcterms:W3CDTF">2021-05-10T12:58:00Z</dcterms:modified>
</cp:coreProperties>
</file>