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64AC" w:rsidRDefault="007964AC" w:rsidP="007B09C6">
      <w:pPr>
        <w:pStyle w:val="Heading1"/>
        <w:jc w:val="center"/>
        <w:rPr>
          <w:b/>
          <w:bCs/>
          <w:sz w:val="54"/>
          <w:szCs w:val="54"/>
        </w:rPr>
      </w:pPr>
    </w:p>
    <w:p w:rsidR="007964AC" w:rsidRDefault="007964AC" w:rsidP="007964AC">
      <w:pPr>
        <w:pStyle w:val="Heading1"/>
        <w:tabs>
          <w:tab w:val="left" w:pos="636"/>
        </w:tabs>
        <w:rPr>
          <w:b/>
          <w:bCs/>
          <w:sz w:val="54"/>
          <w:szCs w:val="54"/>
        </w:rPr>
      </w:pPr>
      <w:r>
        <w:rPr>
          <w:b/>
          <w:bCs/>
          <w:sz w:val="54"/>
          <w:szCs w:val="54"/>
        </w:rPr>
        <w:tab/>
        <w:t xml:space="preserve">Name…............      </w:t>
      </w:r>
      <w:proofErr w:type="spellStart"/>
      <w:proofErr w:type="gramStart"/>
      <w:r>
        <w:rPr>
          <w:b/>
          <w:bCs/>
          <w:sz w:val="54"/>
          <w:szCs w:val="54"/>
        </w:rPr>
        <w:t>Usman</w:t>
      </w:r>
      <w:proofErr w:type="spellEnd"/>
      <w:r>
        <w:rPr>
          <w:b/>
          <w:bCs/>
          <w:sz w:val="54"/>
          <w:szCs w:val="54"/>
        </w:rPr>
        <w:t xml:space="preserve">  </w:t>
      </w:r>
      <w:proofErr w:type="spellStart"/>
      <w:r>
        <w:rPr>
          <w:b/>
          <w:bCs/>
          <w:sz w:val="54"/>
          <w:szCs w:val="54"/>
        </w:rPr>
        <w:t>Uddin</w:t>
      </w:r>
      <w:proofErr w:type="spellEnd"/>
      <w:proofErr w:type="gramEnd"/>
    </w:p>
    <w:p w:rsidR="00C35B3A" w:rsidRDefault="00C35B3A" w:rsidP="00C35B3A"/>
    <w:p w:rsidR="00C35B3A" w:rsidRPr="00C35B3A" w:rsidRDefault="00C35B3A" w:rsidP="00C35B3A"/>
    <w:p w:rsidR="007964AC" w:rsidRDefault="00C35B3A" w:rsidP="007964AC">
      <w:pPr>
        <w:pStyle w:val="Heading1"/>
        <w:tabs>
          <w:tab w:val="left" w:pos="623"/>
        </w:tabs>
        <w:rPr>
          <w:b/>
          <w:bCs/>
          <w:sz w:val="54"/>
          <w:szCs w:val="54"/>
        </w:rPr>
      </w:pPr>
      <w:r>
        <w:rPr>
          <w:b/>
          <w:bCs/>
          <w:sz w:val="54"/>
          <w:szCs w:val="54"/>
        </w:rPr>
        <w:tab/>
        <w:t>ID N</w:t>
      </w:r>
      <w:r w:rsidR="007964AC">
        <w:rPr>
          <w:b/>
          <w:bCs/>
          <w:sz w:val="54"/>
          <w:szCs w:val="54"/>
        </w:rPr>
        <w:t>umber………     2116921</w:t>
      </w:r>
    </w:p>
    <w:p w:rsidR="00C35B3A" w:rsidRDefault="00C35B3A" w:rsidP="00C35B3A"/>
    <w:p w:rsidR="00C35B3A" w:rsidRPr="00C35B3A" w:rsidRDefault="00C35B3A" w:rsidP="00C35B3A"/>
    <w:p w:rsidR="007964AC" w:rsidRDefault="007964AC" w:rsidP="007964AC">
      <w:pPr>
        <w:pStyle w:val="Heading1"/>
        <w:tabs>
          <w:tab w:val="left" w:pos="571"/>
        </w:tabs>
        <w:rPr>
          <w:b/>
          <w:bCs/>
          <w:sz w:val="54"/>
          <w:szCs w:val="54"/>
        </w:rPr>
      </w:pPr>
      <w:r>
        <w:rPr>
          <w:b/>
          <w:bCs/>
          <w:sz w:val="54"/>
          <w:szCs w:val="54"/>
        </w:rPr>
        <w:tab/>
        <w:t>Module Code……   BMHP5014_BIRM</w:t>
      </w:r>
    </w:p>
    <w:p w:rsidR="00C35B3A" w:rsidRDefault="00C35B3A" w:rsidP="00C35B3A"/>
    <w:p w:rsidR="00C35B3A" w:rsidRPr="00C35B3A" w:rsidRDefault="00C35B3A" w:rsidP="00C35B3A"/>
    <w:p w:rsidR="00FE4F3B" w:rsidRDefault="007964AC" w:rsidP="00FE4F3B">
      <w:pPr>
        <w:pStyle w:val="Heading1"/>
        <w:tabs>
          <w:tab w:val="left" w:pos="714"/>
        </w:tabs>
        <w:rPr>
          <w:b/>
          <w:bCs/>
          <w:sz w:val="54"/>
          <w:szCs w:val="54"/>
        </w:rPr>
      </w:pPr>
      <w:r>
        <w:rPr>
          <w:b/>
          <w:bCs/>
          <w:sz w:val="54"/>
          <w:szCs w:val="54"/>
        </w:rPr>
        <w:t xml:space="preserve">     </w:t>
      </w:r>
      <w:proofErr w:type="gramStart"/>
      <w:r>
        <w:rPr>
          <w:b/>
          <w:bCs/>
          <w:sz w:val="54"/>
          <w:szCs w:val="54"/>
        </w:rPr>
        <w:t>Lecturer  Name</w:t>
      </w:r>
      <w:proofErr w:type="gramEnd"/>
      <w:r>
        <w:rPr>
          <w:b/>
          <w:bCs/>
          <w:sz w:val="54"/>
          <w:szCs w:val="54"/>
        </w:rPr>
        <w:t xml:space="preserve">… </w:t>
      </w:r>
      <w:proofErr w:type="gramStart"/>
      <w:r>
        <w:rPr>
          <w:b/>
          <w:bCs/>
          <w:sz w:val="54"/>
          <w:szCs w:val="54"/>
        </w:rPr>
        <w:t xml:space="preserve">Robert  </w:t>
      </w:r>
      <w:proofErr w:type="spellStart"/>
      <w:r>
        <w:rPr>
          <w:b/>
          <w:bCs/>
          <w:sz w:val="54"/>
          <w:szCs w:val="54"/>
        </w:rPr>
        <w:t>Nartowski</w:t>
      </w:r>
      <w:proofErr w:type="spellEnd"/>
      <w:proofErr w:type="gramEnd"/>
    </w:p>
    <w:p w:rsidR="00C35B3A" w:rsidRDefault="00C35B3A" w:rsidP="00C35B3A"/>
    <w:p w:rsidR="00C35B3A" w:rsidRPr="00C35B3A" w:rsidRDefault="00C35B3A" w:rsidP="00C35B3A"/>
    <w:p w:rsidR="00FE4F3B" w:rsidRDefault="007964AC" w:rsidP="007964AC">
      <w:pPr>
        <w:pStyle w:val="Heading1"/>
        <w:tabs>
          <w:tab w:val="left" w:pos="571"/>
        </w:tabs>
        <w:rPr>
          <w:b/>
          <w:bCs/>
          <w:sz w:val="54"/>
          <w:szCs w:val="54"/>
        </w:rPr>
      </w:pPr>
      <w:r>
        <w:rPr>
          <w:b/>
          <w:bCs/>
          <w:sz w:val="54"/>
          <w:szCs w:val="54"/>
        </w:rPr>
        <w:t>Assi</w:t>
      </w:r>
      <w:r w:rsidR="00C35B3A">
        <w:rPr>
          <w:b/>
          <w:bCs/>
          <w:sz w:val="54"/>
          <w:szCs w:val="54"/>
        </w:rPr>
        <w:t>gnment Title</w:t>
      </w:r>
      <w:proofErr w:type="gramStart"/>
      <w:r w:rsidR="00C35B3A">
        <w:rPr>
          <w:b/>
          <w:bCs/>
          <w:sz w:val="54"/>
          <w:szCs w:val="54"/>
        </w:rPr>
        <w:t>… ..</w:t>
      </w:r>
      <w:proofErr w:type="gramEnd"/>
      <w:r w:rsidR="00452BA4">
        <w:rPr>
          <w:b/>
          <w:bCs/>
          <w:sz w:val="54"/>
          <w:szCs w:val="54"/>
        </w:rPr>
        <w:t xml:space="preserve"> Written Assignment.</w:t>
      </w:r>
    </w:p>
    <w:p w:rsidR="00FE4F3B" w:rsidRPr="00FE4F3B" w:rsidRDefault="00FE4F3B" w:rsidP="00FE4F3B"/>
    <w:p w:rsidR="007964AC" w:rsidRDefault="00452BA4" w:rsidP="007964AC">
      <w:pPr>
        <w:pStyle w:val="Heading1"/>
        <w:tabs>
          <w:tab w:val="left" w:pos="571"/>
        </w:tabs>
        <w:rPr>
          <w:b/>
          <w:bCs/>
          <w:sz w:val="54"/>
          <w:szCs w:val="54"/>
        </w:rPr>
      </w:pPr>
      <w:r>
        <w:rPr>
          <w:b/>
          <w:bCs/>
          <w:sz w:val="54"/>
          <w:szCs w:val="54"/>
        </w:rPr>
        <w:t xml:space="preserve">                                                        </w:t>
      </w:r>
    </w:p>
    <w:p w:rsidR="007964AC" w:rsidRDefault="00452BA4" w:rsidP="00C35B3A">
      <w:pPr>
        <w:pStyle w:val="Heading1"/>
        <w:jc w:val="center"/>
        <w:rPr>
          <w:b/>
          <w:bCs/>
          <w:sz w:val="54"/>
          <w:szCs w:val="54"/>
        </w:rPr>
      </w:pPr>
      <w:r>
        <w:rPr>
          <w:b/>
          <w:bCs/>
          <w:sz w:val="54"/>
          <w:szCs w:val="54"/>
        </w:rPr>
        <w:t xml:space="preserve"> </w:t>
      </w:r>
    </w:p>
    <w:p w:rsidR="007964AC" w:rsidRDefault="007964AC" w:rsidP="007B09C6">
      <w:pPr>
        <w:pStyle w:val="Heading1"/>
        <w:jc w:val="center"/>
        <w:rPr>
          <w:b/>
          <w:bCs/>
          <w:sz w:val="54"/>
          <w:szCs w:val="54"/>
        </w:rPr>
      </w:pPr>
    </w:p>
    <w:p w:rsidR="00C35B3A" w:rsidRDefault="00C35B3A" w:rsidP="00C35B3A"/>
    <w:p w:rsidR="00C35B3A" w:rsidRDefault="00C35B3A" w:rsidP="00C35B3A"/>
    <w:p w:rsidR="00C35B3A" w:rsidRPr="00C35B3A" w:rsidRDefault="00C35B3A" w:rsidP="00C35B3A"/>
    <w:p w:rsidR="007B09C6" w:rsidRDefault="007B09C6" w:rsidP="007B09C6">
      <w:pPr>
        <w:pStyle w:val="Heading1"/>
        <w:jc w:val="center"/>
        <w:rPr>
          <w:b/>
          <w:bCs/>
          <w:sz w:val="54"/>
          <w:szCs w:val="54"/>
        </w:rPr>
      </w:pPr>
      <w:r w:rsidRPr="007B09C6">
        <w:rPr>
          <w:b/>
          <w:bCs/>
          <w:sz w:val="54"/>
          <w:szCs w:val="54"/>
        </w:rPr>
        <w:lastRenderedPageBreak/>
        <w:t>A Place worthwhile to Live</w:t>
      </w:r>
    </w:p>
    <w:p w:rsidR="007B09C6" w:rsidRPr="007B09C6" w:rsidRDefault="007B09C6" w:rsidP="007B09C6"/>
    <w:p w:rsidR="004D175D" w:rsidRPr="004D175D" w:rsidRDefault="004D175D" w:rsidP="004D175D">
      <w:pPr>
        <w:pStyle w:val="Heading1"/>
        <w:numPr>
          <w:ilvl w:val="0"/>
          <w:numId w:val="1"/>
        </w:numPr>
        <w:rPr>
          <w:b/>
          <w:bCs/>
        </w:rPr>
      </w:pPr>
      <w:r w:rsidRPr="004D175D">
        <w:rPr>
          <w:b/>
          <w:bCs/>
        </w:rPr>
        <w:t>Ideas and Values</w:t>
      </w:r>
    </w:p>
    <w:p w:rsidR="004D175D" w:rsidRDefault="004D175D" w:rsidP="004D175D">
      <w:pPr>
        <w:pStyle w:val="Heading1"/>
        <w:ind w:left="720"/>
        <w:rPr>
          <w:b/>
          <w:bCs/>
        </w:rPr>
      </w:pPr>
      <w:r w:rsidRPr="004D175D">
        <w:rPr>
          <w:b/>
          <w:bCs/>
        </w:rPr>
        <w:t>How innovation changes the world</w:t>
      </w:r>
    </w:p>
    <w:p w:rsidR="00CB0CF9" w:rsidRDefault="00CB0CF9" w:rsidP="004F25A6">
      <w:pPr>
        <w:pStyle w:val="NormalWeb"/>
        <w:spacing w:before="0" w:beforeAutospacing="0" w:after="0" w:afterAutospacing="0"/>
        <w:rPr>
          <w:rFonts w:asciiTheme="minorHAnsi" w:hAnsiTheme="minorHAnsi" w:cstheme="minorHAnsi"/>
        </w:rPr>
      </w:pPr>
      <w:r w:rsidRPr="00CB0CF9">
        <w:rPr>
          <w:rFonts w:asciiTheme="minorHAnsi" w:hAnsiTheme="minorHAnsi" w:cstheme="minorHAnsi"/>
        </w:rPr>
        <w:t>I believe that innovation plays a crucial role in shaping the world we live in today. It has changed the way we interact, live</w:t>
      </w:r>
      <w:r w:rsidR="004F25A6">
        <w:rPr>
          <w:rFonts w:asciiTheme="minorHAnsi" w:hAnsiTheme="minorHAnsi" w:cstheme="minorHAnsi"/>
        </w:rPr>
        <w:t>s</w:t>
      </w:r>
      <w:r w:rsidRPr="00CB0CF9">
        <w:rPr>
          <w:rFonts w:asciiTheme="minorHAnsi" w:hAnsiTheme="minorHAnsi" w:cstheme="minorHAnsi"/>
        </w:rPr>
        <w:t>, and do business, from the invention of the wheel to the advent of the internet. When it comes to deciding where to live, innovation can be a key factor to consider. In my opinion, two cities that come to mind are Bradford and Bristol, both offering a range of amenities and opportunities, each with its unique character.</w:t>
      </w:r>
    </w:p>
    <w:p w:rsidR="001F234C" w:rsidRPr="00CB0CF9" w:rsidRDefault="001F234C" w:rsidP="00CB0CF9">
      <w:pPr>
        <w:pStyle w:val="NormalWeb"/>
        <w:spacing w:before="0" w:beforeAutospacing="0" w:after="0" w:afterAutospacing="0"/>
        <w:rPr>
          <w:rFonts w:asciiTheme="minorHAnsi" w:hAnsiTheme="minorHAnsi" w:cstheme="minorHAnsi"/>
        </w:rPr>
      </w:pPr>
    </w:p>
    <w:p w:rsidR="00CB0CF9" w:rsidRDefault="00CB0CF9" w:rsidP="004F25A6">
      <w:pPr>
        <w:pStyle w:val="NormalWeb"/>
        <w:spacing w:before="0" w:beforeAutospacing="0" w:after="0" w:afterAutospacing="0"/>
        <w:rPr>
          <w:rFonts w:asciiTheme="minorHAnsi" w:hAnsiTheme="minorHAnsi" w:cstheme="minorHAnsi"/>
        </w:rPr>
      </w:pPr>
      <w:r w:rsidRPr="00CB0CF9">
        <w:rPr>
          <w:rFonts w:asciiTheme="minorHAnsi" w:hAnsiTheme="minorHAnsi" w:cstheme="minorHAnsi"/>
        </w:rPr>
        <w:t xml:space="preserve">However, after comparing statistics, it is apparent that Bristol has a better record of innovation than Bradford. With over 20,000 people employed in the industry, Bristol has a thriving tech community and has given rise to </w:t>
      </w:r>
      <w:r w:rsidR="004F25A6">
        <w:rPr>
          <w:rFonts w:asciiTheme="minorHAnsi" w:hAnsiTheme="minorHAnsi" w:cstheme="minorHAnsi"/>
        </w:rPr>
        <w:t>several</w:t>
      </w:r>
      <w:r w:rsidRPr="00CB0CF9">
        <w:rPr>
          <w:rFonts w:asciiTheme="minorHAnsi" w:hAnsiTheme="minorHAnsi" w:cstheme="minorHAnsi"/>
        </w:rPr>
        <w:t xml:space="preserve"> significant inventions, such as the Concorde supersonic aircraft and the first commercial application of </w:t>
      </w:r>
      <w:proofErr w:type="spellStart"/>
      <w:r w:rsidRPr="00CB0CF9">
        <w:rPr>
          <w:rFonts w:asciiTheme="minorHAnsi" w:hAnsiTheme="minorHAnsi" w:cstheme="minorHAnsi"/>
        </w:rPr>
        <w:t>graphene</w:t>
      </w:r>
      <w:proofErr w:type="spellEnd"/>
      <w:r w:rsidRPr="00CB0CF9">
        <w:rPr>
          <w:rFonts w:asciiTheme="minorHAnsi" w:hAnsiTheme="minorHAnsi" w:cstheme="minorHAnsi"/>
        </w:rPr>
        <w:t>. On the other hand, Bradford has a lower percentage of its population working in high-tech industries and has not been as successful in generating significant innovations. While Bradford has its own advantages, including a diverse population and affordable housing, it may not be the best option for those looking to live in a city</w:t>
      </w:r>
      <w:r>
        <w:rPr>
          <w:rFonts w:asciiTheme="minorHAnsi" w:hAnsiTheme="minorHAnsi" w:cstheme="minorHAnsi"/>
        </w:rPr>
        <w:t xml:space="preserve"> at the forefront of innovation</w:t>
      </w:r>
    </w:p>
    <w:p w:rsidR="00CB0CF9" w:rsidRDefault="00CB0CF9" w:rsidP="004F25A6">
      <w:pPr>
        <w:pStyle w:val="NormalWeb"/>
        <w:spacing w:before="0" w:beforeAutospacing="0" w:after="0" w:afterAutospacing="0"/>
        <w:rPr>
          <w:rFonts w:asciiTheme="minorHAnsi" w:hAnsiTheme="minorHAnsi" w:cstheme="minorHAnsi"/>
        </w:rPr>
      </w:pPr>
      <w:r w:rsidRPr="00CB0CF9">
        <w:rPr>
          <w:rFonts w:asciiTheme="minorHAnsi" w:hAnsiTheme="minorHAnsi" w:cstheme="minorHAnsi"/>
        </w:rPr>
        <w:br/>
        <w:t>In my opinion, innovation is a crucial factor to consider when choosing where to live. Cities that foster innovation often provide more opportunities for growth and development, making them a better fit for individuals looking to establish a career in a cutting-edge field. Although both Bradford and Bristol have their own unique advantages, Bristol's long history of innovation makes it a more desirable option for people looking to move to a city that is constantly developing.</w:t>
      </w:r>
    </w:p>
    <w:p w:rsidR="00B50C57" w:rsidRPr="004F25A6" w:rsidRDefault="00B50C57" w:rsidP="004F25A6">
      <w:pPr>
        <w:pStyle w:val="NormalWeb"/>
        <w:spacing w:before="0" w:beforeAutospacing="0" w:after="0" w:afterAutospacing="0"/>
        <w:rPr>
          <w:rFonts w:asciiTheme="minorHAnsi" w:hAnsiTheme="minorHAnsi" w:cstheme="minorHAnsi"/>
        </w:rPr>
      </w:pPr>
    </w:p>
    <w:p w:rsidR="00CB0CF9" w:rsidRPr="00CB0CF9" w:rsidRDefault="00CB0CF9" w:rsidP="00CB0CF9"/>
    <w:p w:rsidR="004D175D" w:rsidRDefault="004D175D" w:rsidP="004D175D">
      <w:pPr>
        <w:pStyle w:val="Heading1"/>
        <w:numPr>
          <w:ilvl w:val="0"/>
          <w:numId w:val="1"/>
        </w:numPr>
        <w:rPr>
          <w:b/>
          <w:bCs/>
        </w:rPr>
      </w:pPr>
      <w:r w:rsidRPr="004D175D">
        <w:rPr>
          <w:b/>
          <w:bCs/>
        </w:rPr>
        <w:t>Creative Solutions</w:t>
      </w:r>
    </w:p>
    <w:p w:rsidR="004D175D" w:rsidRDefault="004D175D" w:rsidP="004D175D">
      <w:pPr>
        <w:pStyle w:val="Heading1"/>
        <w:ind w:left="720"/>
        <w:rPr>
          <w:b/>
          <w:bCs/>
        </w:rPr>
      </w:pPr>
      <w:r w:rsidRPr="004D175D">
        <w:rPr>
          <w:b/>
          <w:bCs/>
        </w:rPr>
        <w:t>Change Making</w:t>
      </w:r>
      <w:r w:rsidR="00431E85">
        <w:rPr>
          <w:b/>
          <w:bCs/>
        </w:rPr>
        <w:t xml:space="preserve"> – The Act of Creating Value</w:t>
      </w:r>
    </w:p>
    <w:p w:rsidR="00504CB1" w:rsidRDefault="00504CB1" w:rsidP="00F52E11">
      <w:r>
        <w:t>Being a resident of both Bradford and Bristol, I can affirm that making change is genuinely the act of adding value. I have seen people and organi</w:t>
      </w:r>
      <w:r w:rsidR="00934B68">
        <w:t>z</w:t>
      </w:r>
      <w:r>
        <w:t>ations in both cities working tirelessly to address social, economic, and environmental issues to improve the quality of life in their communities.</w:t>
      </w:r>
    </w:p>
    <w:p w:rsidR="00504CB1" w:rsidRDefault="00504CB1" w:rsidP="00934B68">
      <w:r>
        <w:t>For instance, Bradford is home to a sizable number of change-makers who are committed to addressing problems like homelessness, inequality, and poverty. A few of the many organi</w:t>
      </w:r>
      <w:r w:rsidR="00934B68">
        <w:t>z</w:t>
      </w:r>
      <w:r>
        <w:t>ations that are helping marginali</w:t>
      </w:r>
      <w:r w:rsidR="00934B68">
        <w:t>z</w:t>
      </w:r>
      <w:r>
        <w:t>ed communities and promoting opportunities for social and economic mobility include The Bradford Foundation Trust and Bradford Soup Kitchen.</w:t>
      </w:r>
    </w:p>
    <w:p w:rsidR="00934B68" w:rsidRDefault="00934B68" w:rsidP="007D58DC">
      <w:r>
        <w:t>Similar to this, Bristol is home to numerous people and organizations that are dedicated to bringing about change. The Bristol Cultural Development Partnership is one instance of this, which brings together local arts and cultural organizations to support the expansion of the sector. A culture of innovation and growth has resulted from the city's strong economy and high standard of living, which have also drawn businesses and entrepreneurs from all over the world.</w:t>
      </w:r>
    </w:p>
    <w:p w:rsidR="00504CB1" w:rsidRPr="00504CB1" w:rsidRDefault="00934B68" w:rsidP="00934B68">
      <w:r>
        <w:lastRenderedPageBreak/>
        <w:t>Despite the differences between the two cities, the goal of change-makers in both locales is to create a more just, equitable, and sustainable world. Whether they are promoting a thriving cultural scene in Bristol or working to improve educational outcomes for kids and teenagers in Bradford.</w:t>
      </w:r>
    </w:p>
    <w:p w:rsidR="004D175D" w:rsidRDefault="004D175D" w:rsidP="004D175D">
      <w:pPr>
        <w:pStyle w:val="Heading1"/>
        <w:numPr>
          <w:ilvl w:val="0"/>
          <w:numId w:val="1"/>
        </w:numPr>
        <w:rPr>
          <w:b/>
          <w:bCs/>
        </w:rPr>
      </w:pPr>
      <w:r w:rsidRPr="004D175D">
        <w:rPr>
          <w:b/>
          <w:bCs/>
        </w:rPr>
        <w:t>Mobilizing Support</w:t>
      </w:r>
    </w:p>
    <w:p w:rsidR="004D175D" w:rsidRDefault="00273E37" w:rsidP="004D175D">
      <w:pPr>
        <w:pStyle w:val="Heading1"/>
        <w:ind w:left="720"/>
        <w:rPr>
          <w:b/>
          <w:bCs/>
        </w:rPr>
      </w:pPr>
      <w:r>
        <w:rPr>
          <w:b/>
          <w:bCs/>
        </w:rPr>
        <w:t xml:space="preserve">Collaboration </w:t>
      </w:r>
      <w:r w:rsidR="004D175D" w:rsidRPr="004D175D">
        <w:rPr>
          <w:b/>
          <w:bCs/>
        </w:rPr>
        <w:t>and Competition</w:t>
      </w:r>
    </w:p>
    <w:p w:rsidR="00C012EB" w:rsidRPr="00FB22EF" w:rsidRDefault="00C012EB" w:rsidP="00C012EB">
      <w:pPr>
        <w:pStyle w:val="NormalWeb"/>
        <w:rPr>
          <w:rFonts w:asciiTheme="minorHAnsi" w:hAnsiTheme="minorHAnsi" w:cstheme="minorHAnsi"/>
        </w:rPr>
      </w:pPr>
      <w:r w:rsidRPr="00FB22EF">
        <w:rPr>
          <w:rFonts w:asciiTheme="minorHAnsi" w:hAnsiTheme="minorHAnsi" w:cstheme="minorHAnsi"/>
        </w:rPr>
        <w:t>I believe that collaboration and competition are two powerful forces that can shape the growth and development of cities. I have observed how both Bradford and Bristol have encountered the benefits and challenges of these two forces while striving to build communities that are worth living in.</w:t>
      </w:r>
    </w:p>
    <w:p w:rsidR="00C012EB" w:rsidRPr="00FB22EF" w:rsidRDefault="00C012EB" w:rsidP="00C012EB">
      <w:pPr>
        <w:pStyle w:val="NormalWeb"/>
        <w:rPr>
          <w:rFonts w:asciiTheme="minorHAnsi" w:hAnsiTheme="minorHAnsi" w:cstheme="minorHAnsi"/>
        </w:rPr>
      </w:pPr>
      <w:r w:rsidRPr="00FB22EF">
        <w:rPr>
          <w:rFonts w:asciiTheme="minorHAnsi" w:hAnsiTheme="minorHAnsi" w:cstheme="minorHAnsi"/>
        </w:rPr>
        <w:t xml:space="preserve">To create resilient communities, collaboration is </w:t>
      </w:r>
      <w:proofErr w:type="gramStart"/>
      <w:r w:rsidRPr="00FB22EF">
        <w:rPr>
          <w:rFonts w:asciiTheme="minorHAnsi" w:hAnsiTheme="minorHAnsi" w:cstheme="minorHAnsi"/>
        </w:rPr>
        <w:t>key</w:t>
      </w:r>
      <w:proofErr w:type="gramEnd"/>
      <w:r w:rsidRPr="00FB22EF">
        <w:rPr>
          <w:rFonts w:asciiTheme="minorHAnsi" w:hAnsiTheme="minorHAnsi" w:cstheme="minorHAnsi"/>
        </w:rPr>
        <w:t>. In Bradford, I have seen how neighborhood organizations, charities, and the local government work together to address social and economic issues such as homelessness, education, and poverty. For instance, the Bradford Local Education Partnership collaborates with local governments, schools, and colleges to improve educational outcomes for children and teenagers in the city.</w:t>
      </w:r>
    </w:p>
    <w:p w:rsidR="00C012EB" w:rsidRPr="00FB22EF" w:rsidRDefault="00C012EB" w:rsidP="00FB22EF">
      <w:pPr>
        <w:pStyle w:val="NormalWeb"/>
        <w:rPr>
          <w:rFonts w:asciiTheme="minorHAnsi" w:hAnsiTheme="minorHAnsi" w:cstheme="minorHAnsi"/>
        </w:rPr>
      </w:pPr>
      <w:r w:rsidRPr="00FB22EF">
        <w:rPr>
          <w:rFonts w:asciiTheme="minorHAnsi" w:hAnsiTheme="minorHAnsi" w:cstheme="minorHAnsi"/>
        </w:rPr>
        <w:t>Bristol's success in industries such as aerospace, technology, and the creative industries ha</w:t>
      </w:r>
      <w:r w:rsidR="00FB22EF">
        <w:rPr>
          <w:rFonts w:asciiTheme="minorHAnsi" w:hAnsiTheme="minorHAnsi" w:cstheme="minorHAnsi"/>
        </w:rPr>
        <w:t>ve</w:t>
      </w:r>
      <w:r w:rsidRPr="00FB22EF">
        <w:rPr>
          <w:rFonts w:asciiTheme="minorHAnsi" w:hAnsiTheme="minorHAnsi" w:cstheme="minorHAnsi"/>
        </w:rPr>
        <w:t xml:space="preserve"> been fueled by competition. The city's strong economy and high quality of life have attracted businesses and entrepreneurs from around the world, creating an environment of competition that fosters innovation and growth.</w:t>
      </w:r>
    </w:p>
    <w:p w:rsidR="00C012EB" w:rsidRPr="00FB22EF" w:rsidRDefault="00C012EB" w:rsidP="00C012EB">
      <w:pPr>
        <w:pStyle w:val="NormalWeb"/>
        <w:rPr>
          <w:rFonts w:asciiTheme="minorHAnsi" w:hAnsiTheme="minorHAnsi" w:cstheme="minorHAnsi"/>
        </w:rPr>
      </w:pPr>
      <w:r w:rsidRPr="00FB22EF">
        <w:rPr>
          <w:rFonts w:asciiTheme="minorHAnsi" w:hAnsiTheme="minorHAnsi" w:cstheme="minorHAnsi"/>
        </w:rPr>
        <w:t xml:space="preserve">However, I have noticed that Bradford has not generated as many significant innovations due to its lower population of people employed in high-tech industries. Nonetheless, Bradford has its unique advantages, such as a diverse population and affordable </w:t>
      </w:r>
      <w:proofErr w:type="gramStart"/>
      <w:r w:rsidRPr="00FB22EF">
        <w:rPr>
          <w:rFonts w:asciiTheme="minorHAnsi" w:hAnsiTheme="minorHAnsi" w:cstheme="minorHAnsi"/>
        </w:rPr>
        <w:t>housing, that</w:t>
      </w:r>
      <w:proofErr w:type="gramEnd"/>
      <w:r w:rsidRPr="00FB22EF">
        <w:rPr>
          <w:rFonts w:asciiTheme="minorHAnsi" w:hAnsiTheme="minorHAnsi" w:cstheme="minorHAnsi"/>
        </w:rPr>
        <w:t xml:space="preserve"> make it a desirable place to live.</w:t>
      </w:r>
    </w:p>
    <w:p w:rsidR="00292004" w:rsidRDefault="00C012EB" w:rsidP="00C35B3A">
      <w:pPr>
        <w:pStyle w:val="NormalWeb"/>
        <w:rPr>
          <w:rFonts w:asciiTheme="minorHAnsi" w:hAnsiTheme="minorHAnsi" w:cstheme="minorHAnsi"/>
        </w:rPr>
      </w:pPr>
      <w:r w:rsidRPr="00FB22EF">
        <w:rPr>
          <w:rFonts w:asciiTheme="minorHAnsi" w:hAnsiTheme="minorHAnsi" w:cstheme="minorHAnsi"/>
        </w:rPr>
        <w:t xml:space="preserve">Bristol has a well-established culture of collaboration, with a thriving tech community and a strong focus on innovation. This collaborative spirit has resulted in the development of groundbreaking technologies and a supportive environment for entrepreneurs and startups. Bristol is also home to </w:t>
      </w:r>
      <w:proofErr w:type="spellStart"/>
      <w:r w:rsidR="00FB22EF">
        <w:rPr>
          <w:rFonts w:asciiTheme="minorHAnsi" w:hAnsiTheme="minorHAnsi" w:cstheme="minorHAnsi"/>
        </w:rPr>
        <w:t>several</w:t>
      </w:r>
      <w:r w:rsidR="006A36A5" w:rsidRPr="00FB22EF">
        <w:rPr>
          <w:rFonts w:asciiTheme="minorHAnsi" w:hAnsiTheme="minorHAnsi" w:cstheme="minorHAnsi"/>
        </w:rPr>
        <w:t>coworking</w:t>
      </w:r>
      <w:proofErr w:type="spellEnd"/>
      <w:r w:rsidRPr="00FB22EF">
        <w:rPr>
          <w:rFonts w:asciiTheme="minorHAnsi" w:hAnsiTheme="minorHAnsi" w:cstheme="minorHAnsi"/>
        </w:rPr>
        <w:t xml:space="preserve"> spaces, incubators, and accelerators that facilitate collaboration and help businesses to grow.</w:t>
      </w:r>
    </w:p>
    <w:p w:rsidR="00C35B3A" w:rsidRPr="00C35B3A" w:rsidRDefault="00C35B3A" w:rsidP="00C35B3A">
      <w:pPr>
        <w:pStyle w:val="NormalWeb"/>
        <w:rPr>
          <w:rFonts w:asciiTheme="minorHAnsi" w:hAnsiTheme="minorHAnsi" w:cstheme="minorHAnsi"/>
        </w:rPr>
      </w:pPr>
    </w:p>
    <w:p w:rsidR="004D175D" w:rsidRDefault="004D175D" w:rsidP="004D175D">
      <w:pPr>
        <w:pStyle w:val="Heading1"/>
        <w:numPr>
          <w:ilvl w:val="0"/>
          <w:numId w:val="1"/>
        </w:numPr>
        <w:rPr>
          <w:b/>
          <w:bCs/>
        </w:rPr>
      </w:pPr>
      <w:r w:rsidRPr="004D175D">
        <w:rPr>
          <w:b/>
          <w:bCs/>
        </w:rPr>
        <w:t>Evaluation</w:t>
      </w:r>
    </w:p>
    <w:p w:rsidR="006D6E7F" w:rsidRDefault="004D175D" w:rsidP="004D175D">
      <w:pPr>
        <w:pStyle w:val="Heading1"/>
        <w:ind w:left="720"/>
        <w:rPr>
          <w:b/>
          <w:bCs/>
        </w:rPr>
      </w:pPr>
      <w:r w:rsidRPr="004D175D">
        <w:rPr>
          <w:b/>
          <w:bCs/>
        </w:rPr>
        <w:t>Measuring Succes</w:t>
      </w:r>
      <w:r>
        <w:rPr>
          <w:b/>
          <w:bCs/>
        </w:rPr>
        <w:t>s</w:t>
      </w:r>
    </w:p>
    <w:p w:rsidR="006E1670" w:rsidRPr="006E1670" w:rsidRDefault="006E1670" w:rsidP="006E1670"/>
    <w:p w:rsidR="00890844" w:rsidRDefault="00890844" w:rsidP="009A3530">
      <w:r>
        <w:t>Building a place that people want to live in requires success measurement. Local leaders and citizens can collaborate to build a community that is both thriving and sustainable by understanding what makes a city successful.</w:t>
      </w:r>
    </w:p>
    <w:p w:rsidR="00890844" w:rsidRDefault="00890844" w:rsidP="00890844">
      <w:r>
        <w:t xml:space="preserve">Success in Bradford is frequently determined by the city's capacity to address issues like poverty, unemployment, and educational attainment. With </w:t>
      </w:r>
      <w:r w:rsidR="009A3530">
        <w:t>programs</w:t>
      </w:r>
      <w:r>
        <w:t xml:space="preserve"> like the Bradford Economic Partnership and </w:t>
      </w:r>
      <w:r>
        <w:lastRenderedPageBreak/>
        <w:t>the Bradford Opportunity Area working to support economic growth and enhance educational outcomes for young people, the city has made strides in recent years to improve outcomes in these areas.</w:t>
      </w:r>
    </w:p>
    <w:p w:rsidR="00211691" w:rsidRDefault="00211691" w:rsidP="00FB22EF">
      <w:r>
        <w:t>I believe that measuring success is a crucial component of making that decision as someone interested in finding a place to live that is worthwhile. Success can be characteri</w:t>
      </w:r>
      <w:r w:rsidR="00FB22EF">
        <w:t>z</w:t>
      </w:r>
      <w:r>
        <w:t xml:space="preserve">ed in a variety of ways, including economic development, </w:t>
      </w:r>
      <w:r w:rsidR="00FB22EF">
        <w:t xml:space="preserve">the </w:t>
      </w:r>
      <w:r>
        <w:t xml:space="preserve">standard of living, and cultural diversity. </w:t>
      </w:r>
      <w:r w:rsidR="00FB22EF">
        <w:t>T</w:t>
      </w:r>
      <w:r>
        <w:t xml:space="preserve">o decide which city offers the most opportunities for success when contrasting cities like Bradford and Bristol, it is crucial to take into account </w:t>
      </w:r>
      <w:r w:rsidR="00FB22EF">
        <w:t>several</w:t>
      </w:r>
      <w:r>
        <w:t xml:space="preserve"> different factors.</w:t>
      </w:r>
    </w:p>
    <w:p w:rsidR="00211691" w:rsidRDefault="00211691" w:rsidP="00211691">
      <w:r>
        <w:t>Both Bradford and Bristol have recently displayed growth and stability in terms of their economies. With a GDP of £14.9 billion as opposed to £8.7 billion, Bristol's economy is larger. High-tech sectors of Bristol's economy, including aerospace and engineering, are what make the city successful in ter</w:t>
      </w:r>
      <w:r w:rsidR="003E6AAE">
        <w:t xml:space="preserve">ms of innovation. </w:t>
      </w:r>
    </w:p>
    <w:p w:rsidR="003E6AAE" w:rsidRDefault="003E6AAE" w:rsidP="003E6AAE">
      <w:r>
        <w:t xml:space="preserve">Bristol has consistently been rated as one of the best cities in the UK to live </w:t>
      </w:r>
      <w:r w:rsidR="00FB22EF">
        <w:t xml:space="preserve">in </w:t>
      </w:r>
      <w:proofErr w:type="spellStart"/>
      <w:r>
        <w:t>in</w:t>
      </w:r>
      <w:proofErr w:type="spellEnd"/>
      <w:r>
        <w:t xml:space="preserve"> terms of quality of life. The city is home to two prestigious universities and has a thriving cultural scene. It also has great transportation options. Bradford may not provide the same level of opportunities and cultural diversity as Bristol, despite still being a worthwhile place to live.</w:t>
      </w:r>
    </w:p>
    <w:p w:rsidR="0009038D" w:rsidRDefault="003E6AAE" w:rsidP="00FB22EF">
      <w:r>
        <w:t>Finally, it is critical to take into account a city's level of inclusivity and diversity. Bradford has an advantage over Bristol in this regard because a larger percentage of its population identifies as Black, Asian, or Minority Ethnic (BAME). Bradford is a more inclusive and welcoming city because its population is more diverse in terms of religion and languag</w:t>
      </w:r>
      <w:r w:rsidR="00173A0A">
        <w:t>e.</w:t>
      </w:r>
    </w:p>
    <w:p w:rsidR="00173A0A" w:rsidRDefault="0009038D" w:rsidP="00F24EED">
      <w:r>
        <w:t>In conclusion, a place that balances economic development, social cohesion, cultural vitality, and environmental sustainability is worthwhile to call home. Cities like Bradford and Bristol have made strides in each of these areas and are still working to give their citizens a more exciting, inclusive, and sustainable future.</w:t>
      </w:r>
    </w:p>
    <w:p w:rsidR="00F24EED" w:rsidRPr="00F24EED" w:rsidRDefault="00F24EED" w:rsidP="00F24EED"/>
    <w:p w:rsidR="00CB223A" w:rsidRPr="006E1670" w:rsidRDefault="000E5146" w:rsidP="006E1670">
      <w:pPr>
        <w:pStyle w:val="Title"/>
        <w:jc w:val="left"/>
        <w:rPr>
          <w:rFonts w:asciiTheme="majorHAnsi" w:hAnsiTheme="majorHAnsi" w:cstheme="majorHAnsi"/>
          <w:b/>
          <w:sz w:val="32"/>
          <w:szCs w:val="32"/>
        </w:rPr>
      </w:pPr>
      <w:r>
        <w:rPr>
          <w:rFonts w:asciiTheme="majorHAnsi" w:hAnsiTheme="majorHAnsi" w:cstheme="majorHAnsi"/>
          <w:b/>
          <w:color w:val="2D74B5"/>
          <w:sz w:val="32"/>
          <w:szCs w:val="32"/>
        </w:rPr>
        <w:t xml:space="preserve">    </w:t>
      </w:r>
      <w:r w:rsidR="00CB223A" w:rsidRPr="006E1670">
        <w:rPr>
          <w:rFonts w:asciiTheme="majorHAnsi" w:hAnsiTheme="majorHAnsi" w:cstheme="majorHAnsi"/>
          <w:b/>
          <w:color w:val="2D74B5"/>
          <w:sz w:val="32"/>
          <w:szCs w:val="32"/>
        </w:rPr>
        <w:t>A</w:t>
      </w:r>
      <w:r w:rsidR="006E1670">
        <w:rPr>
          <w:rFonts w:asciiTheme="majorHAnsi" w:hAnsiTheme="majorHAnsi" w:cstheme="majorHAnsi"/>
          <w:b/>
          <w:color w:val="2D74B5"/>
          <w:sz w:val="32"/>
          <w:szCs w:val="32"/>
        </w:rPr>
        <w:t xml:space="preserve"> </w:t>
      </w:r>
      <w:r w:rsidR="00CB223A" w:rsidRPr="006E1670">
        <w:rPr>
          <w:rFonts w:asciiTheme="majorHAnsi" w:hAnsiTheme="majorHAnsi" w:cstheme="majorHAnsi"/>
          <w:b/>
          <w:color w:val="2D74B5"/>
          <w:spacing w:val="-73"/>
          <w:sz w:val="32"/>
          <w:szCs w:val="32"/>
        </w:rPr>
        <w:t xml:space="preserve"> </w:t>
      </w:r>
      <w:r w:rsidR="006E1670" w:rsidRPr="006E1670">
        <w:rPr>
          <w:rFonts w:asciiTheme="majorHAnsi" w:hAnsiTheme="majorHAnsi" w:cstheme="majorHAnsi"/>
          <w:b/>
          <w:color w:val="2D74B5"/>
          <w:spacing w:val="-73"/>
          <w:sz w:val="32"/>
          <w:szCs w:val="32"/>
        </w:rPr>
        <w:t xml:space="preserve"> </w:t>
      </w:r>
      <w:proofErr w:type="gramStart"/>
      <w:r w:rsidR="00CB223A" w:rsidRPr="006E1670">
        <w:rPr>
          <w:rFonts w:asciiTheme="majorHAnsi" w:hAnsiTheme="majorHAnsi" w:cstheme="majorHAnsi"/>
          <w:b/>
          <w:color w:val="2D74B5"/>
          <w:sz w:val="32"/>
          <w:szCs w:val="32"/>
        </w:rPr>
        <w:t>Place</w:t>
      </w:r>
      <w:r w:rsidR="006E1670">
        <w:rPr>
          <w:rFonts w:asciiTheme="majorHAnsi" w:hAnsiTheme="majorHAnsi" w:cstheme="majorHAnsi"/>
          <w:b/>
          <w:color w:val="2D74B5"/>
          <w:sz w:val="32"/>
          <w:szCs w:val="32"/>
        </w:rPr>
        <w:t xml:space="preserve"> </w:t>
      </w:r>
      <w:r w:rsidR="00CB223A" w:rsidRPr="006E1670">
        <w:rPr>
          <w:rFonts w:asciiTheme="majorHAnsi" w:hAnsiTheme="majorHAnsi" w:cstheme="majorHAnsi"/>
          <w:b/>
          <w:color w:val="2D74B5"/>
          <w:spacing w:val="-70"/>
          <w:sz w:val="32"/>
          <w:szCs w:val="32"/>
        </w:rPr>
        <w:t xml:space="preserve"> </w:t>
      </w:r>
      <w:proofErr w:type="spellStart"/>
      <w:r w:rsidR="00CB223A" w:rsidRPr="006E1670">
        <w:rPr>
          <w:rFonts w:asciiTheme="majorHAnsi" w:hAnsiTheme="majorHAnsi" w:cstheme="majorHAnsi"/>
          <w:b/>
          <w:color w:val="2D74B5"/>
          <w:sz w:val="32"/>
          <w:szCs w:val="32"/>
        </w:rPr>
        <w:t>worth</w:t>
      </w:r>
      <w:proofErr w:type="gramEnd"/>
      <w:r w:rsidR="006E1670">
        <w:rPr>
          <w:rFonts w:asciiTheme="majorHAnsi" w:hAnsiTheme="majorHAnsi" w:cstheme="majorHAnsi"/>
          <w:b/>
          <w:color w:val="2D74B5"/>
          <w:sz w:val="32"/>
          <w:szCs w:val="32"/>
        </w:rPr>
        <w:t xml:space="preserve"> </w:t>
      </w:r>
      <w:r w:rsidR="00CB223A" w:rsidRPr="006E1670">
        <w:rPr>
          <w:rFonts w:asciiTheme="majorHAnsi" w:hAnsiTheme="majorHAnsi" w:cstheme="majorHAnsi"/>
          <w:b/>
          <w:color w:val="2D74B5"/>
          <w:sz w:val="32"/>
          <w:szCs w:val="32"/>
        </w:rPr>
        <w:t>while</w:t>
      </w:r>
      <w:proofErr w:type="spellEnd"/>
      <w:r w:rsidR="006E1670">
        <w:rPr>
          <w:rFonts w:asciiTheme="majorHAnsi" w:hAnsiTheme="majorHAnsi" w:cstheme="majorHAnsi"/>
          <w:b/>
          <w:color w:val="2D74B5"/>
          <w:sz w:val="32"/>
          <w:szCs w:val="32"/>
        </w:rPr>
        <w:t xml:space="preserve"> </w:t>
      </w:r>
      <w:r w:rsidR="00CB223A" w:rsidRPr="006E1670">
        <w:rPr>
          <w:rFonts w:asciiTheme="majorHAnsi" w:hAnsiTheme="majorHAnsi" w:cstheme="majorHAnsi"/>
          <w:b/>
          <w:color w:val="2D74B5"/>
          <w:spacing w:val="-74"/>
          <w:sz w:val="32"/>
          <w:szCs w:val="32"/>
        </w:rPr>
        <w:t xml:space="preserve"> </w:t>
      </w:r>
      <w:r w:rsidR="006E1670">
        <w:rPr>
          <w:rFonts w:asciiTheme="majorHAnsi" w:hAnsiTheme="majorHAnsi" w:cstheme="majorHAnsi"/>
          <w:b/>
          <w:color w:val="2D74B5"/>
          <w:spacing w:val="-74"/>
          <w:sz w:val="32"/>
          <w:szCs w:val="32"/>
        </w:rPr>
        <w:t xml:space="preserve">    </w:t>
      </w:r>
      <w:r w:rsidR="00CB223A" w:rsidRPr="006E1670">
        <w:rPr>
          <w:rFonts w:asciiTheme="majorHAnsi" w:hAnsiTheme="majorHAnsi" w:cstheme="majorHAnsi"/>
          <w:b/>
          <w:color w:val="2D74B5"/>
          <w:sz w:val="32"/>
          <w:szCs w:val="32"/>
        </w:rPr>
        <w:t>to</w:t>
      </w:r>
      <w:r w:rsidR="006E1670">
        <w:rPr>
          <w:rFonts w:asciiTheme="majorHAnsi" w:hAnsiTheme="majorHAnsi" w:cstheme="majorHAnsi"/>
          <w:b/>
          <w:color w:val="2D74B5"/>
          <w:sz w:val="32"/>
          <w:szCs w:val="32"/>
        </w:rPr>
        <w:t xml:space="preserve"> </w:t>
      </w:r>
      <w:r w:rsidR="00CB223A" w:rsidRPr="006E1670">
        <w:rPr>
          <w:rFonts w:asciiTheme="majorHAnsi" w:hAnsiTheme="majorHAnsi" w:cstheme="majorHAnsi"/>
          <w:b/>
          <w:color w:val="2D74B5"/>
          <w:spacing w:val="-71"/>
          <w:sz w:val="32"/>
          <w:szCs w:val="32"/>
        </w:rPr>
        <w:t xml:space="preserve"> </w:t>
      </w:r>
      <w:r w:rsidR="00CB223A" w:rsidRPr="006E1670">
        <w:rPr>
          <w:rFonts w:asciiTheme="majorHAnsi" w:hAnsiTheme="majorHAnsi" w:cstheme="majorHAnsi"/>
          <w:b/>
          <w:color w:val="2D74B5"/>
          <w:sz w:val="32"/>
          <w:szCs w:val="32"/>
        </w:rPr>
        <w:t>Live</w:t>
      </w:r>
    </w:p>
    <w:p w:rsidR="00CB223A" w:rsidRDefault="00CB223A" w:rsidP="00CB223A">
      <w:pPr>
        <w:pStyle w:val="BodyText"/>
        <w:spacing w:before="10"/>
        <w:rPr>
          <w:rFonts w:ascii="Trebuchet MS"/>
          <w:sz w:val="45"/>
        </w:rPr>
      </w:pPr>
    </w:p>
    <w:p w:rsidR="00CB223A" w:rsidRDefault="00CB223A" w:rsidP="00CB223A">
      <w:pPr>
        <w:pStyle w:val="Heading1"/>
        <w:keepNext w:val="0"/>
        <w:keepLines w:val="0"/>
        <w:widowControl w:val="0"/>
        <w:numPr>
          <w:ilvl w:val="0"/>
          <w:numId w:val="7"/>
        </w:numPr>
        <w:tabs>
          <w:tab w:val="left" w:pos="751"/>
        </w:tabs>
        <w:autoSpaceDE w:val="0"/>
        <w:autoSpaceDN w:val="0"/>
        <w:spacing w:before="0" w:line="240" w:lineRule="auto"/>
        <w:ind w:hanging="291"/>
        <w:rPr>
          <w:color w:val="2D74B5"/>
          <w:w w:val="95"/>
        </w:rPr>
      </w:pPr>
      <w:bookmarkStart w:id="0" w:name="1._Healthy_People:_Difficulties_in_daily"/>
      <w:bookmarkEnd w:id="0"/>
      <w:r>
        <w:rPr>
          <w:color w:val="2D74B5"/>
          <w:w w:val="95"/>
        </w:rPr>
        <w:t>Healthy</w:t>
      </w:r>
      <w:r>
        <w:rPr>
          <w:color w:val="2D74B5"/>
          <w:spacing w:val="-20"/>
          <w:w w:val="95"/>
        </w:rPr>
        <w:t xml:space="preserve"> </w:t>
      </w:r>
      <w:r>
        <w:rPr>
          <w:color w:val="2D74B5"/>
          <w:w w:val="95"/>
        </w:rPr>
        <w:t>People:</w:t>
      </w:r>
      <w:r>
        <w:rPr>
          <w:color w:val="2D74B5"/>
          <w:spacing w:val="-20"/>
          <w:w w:val="95"/>
        </w:rPr>
        <w:t xml:space="preserve"> </w:t>
      </w:r>
      <w:r>
        <w:rPr>
          <w:color w:val="2D74B5"/>
          <w:w w:val="95"/>
        </w:rPr>
        <w:t>Difficulties</w:t>
      </w:r>
      <w:r>
        <w:rPr>
          <w:color w:val="2D74B5"/>
          <w:spacing w:val="-20"/>
          <w:w w:val="95"/>
        </w:rPr>
        <w:t xml:space="preserve"> </w:t>
      </w:r>
      <w:r>
        <w:rPr>
          <w:color w:val="2D74B5"/>
          <w:w w:val="95"/>
        </w:rPr>
        <w:t>in</w:t>
      </w:r>
      <w:r>
        <w:rPr>
          <w:color w:val="2D74B5"/>
          <w:spacing w:val="-20"/>
          <w:w w:val="95"/>
        </w:rPr>
        <w:t xml:space="preserve"> </w:t>
      </w:r>
      <w:r>
        <w:rPr>
          <w:color w:val="2D74B5"/>
          <w:w w:val="95"/>
        </w:rPr>
        <w:t>daily</w:t>
      </w:r>
      <w:r>
        <w:rPr>
          <w:color w:val="2D74B5"/>
          <w:spacing w:val="-20"/>
          <w:w w:val="95"/>
        </w:rPr>
        <w:t xml:space="preserve"> </w:t>
      </w:r>
      <w:r>
        <w:rPr>
          <w:color w:val="2D74B5"/>
          <w:w w:val="95"/>
        </w:rPr>
        <w:t>life</w:t>
      </w:r>
    </w:p>
    <w:p w:rsidR="000E5146" w:rsidRPr="000E5146" w:rsidRDefault="000E5146" w:rsidP="000E5146"/>
    <w:p w:rsidR="00CB223A" w:rsidRDefault="00CB223A" w:rsidP="00CB223A">
      <w:pPr>
        <w:pStyle w:val="BodyText"/>
        <w:spacing w:before="38" w:line="259" w:lineRule="auto"/>
        <w:ind w:left="100" w:right="265"/>
        <w:jc w:val="both"/>
      </w:pPr>
      <w:r>
        <w:t>Living a healthy lifestyle can help Bradford residents avoid chronic illnesses and promote green spaces and environmentally friendly transportation. Media can help spread awareness and community efforts can help improve well-being.</w:t>
      </w:r>
    </w:p>
    <w:p w:rsidR="00CB223A" w:rsidRDefault="00CB223A" w:rsidP="00CB223A">
      <w:pPr>
        <w:pStyle w:val="BodyText"/>
        <w:spacing w:before="4"/>
        <w:rPr>
          <w:sz w:val="24"/>
        </w:rPr>
      </w:pPr>
    </w:p>
    <w:p w:rsidR="00CB223A" w:rsidRDefault="00CB223A" w:rsidP="00CB223A">
      <w:pPr>
        <w:pStyle w:val="Heading1"/>
        <w:keepNext w:val="0"/>
        <w:keepLines w:val="0"/>
        <w:widowControl w:val="0"/>
        <w:numPr>
          <w:ilvl w:val="0"/>
          <w:numId w:val="7"/>
        </w:numPr>
        <w:tabs>
          <w:tab w:val="left" w:pos="751"/>
        </w:tabs>
        <w:autoSpaceDE w:val="0"/>
        <w:autoSpaceDN w:val="0"/>
        <w:spacing w:before="0" w:line="240" w:lineRule="auto"/>
        <w:ind w:hanging="291"/>
        <w:rPr>
          <w:color w:val="2D74B5"/>
        </w:rPr>
      </w:pPr>
      <w:bookmarkStart w:id="1" w:name="2._Healthy_People:_Mental_health"/>
      <w:bookmarkEnd w:id="1"/>
      <w:r>
        <w:rPr>
          <w:color w:val="2D74B5"/>
        </w:rPr>
        <w:t>Healthy</w:t>
      </w:r>
      <w:r>
        <w:rPr>
          <w:color w:val="2D74B5"/>
          <w:spacing w:val="-24"/>
        </w:rPr>
        <w:t xml:space="preserve"> </w:t>
      </w:r>
      <w:r>
        <w:rPr>
          <w:color w:val="2D74B5"/>
        </w:rPr>
        <w:t>People:</w:t>
      </w:r>
      <w:r>
        <w:rPr>
          <w:color w:val="2D74B5"/>
          <w:spacing w:val="-23"/>
        </w:rPr>
        <w:t xml:space="preserve"> </w:t>
      </w:r>
      <w:r>
        <w:rPr>
          <w:color w:val="2D74B5"/>
        </w:rPr>
        <w:t>Mental</w:t>
      </w:r>
      <w:r>
        <w:rPr>
          <w:color w:val="2D74B5"/>
          <w:spacing w:val="-26"/>
        </w:rPr>
        <w:t xml:space="preserve"> </w:t>
      </w:r>
      <w:r>
        <w:rPr>
          <w:color w:val="2D74B5"/>
        </w:rPr>
        <w:t>health</w:t>
      </w:r>
    </w:p>
    <w:p w:rsidR="000E5146" w:rsidRPr="000E5146" w:rsidRDefault="000E5146" w:rsidP="000E5146"/>
    <w:p w:rsidR="00CB223A" w:rsidRDefault="00CB223A" w:rsidP="00CB223A">
      <w:pPr>
        <w:pStyle w:val="BodyText"/>
        <w:spacing w:before="38" w:line="259" w:lineRule="auto"/>
        <w:ind w:left="100" w:right="173"/>
      </w:pPr>
      <w:r>
        <w:t>Both Bradford and Bristol have high rates of mental health problems, with Bradford having a higher prevalence of depression and anxiety due to social exclusion, unstable economic conditions, and lack of access to resources. To improve mental health, it is important to address these issues.</w:t>
      </w:r>
    </w:p>
    <w:p w:rsidR="00C35B3A" w:rsidRDefault="00C35B3A" w:rsidP="00CB223A">
      <w:pPr>
        <w:pStyle w:val="BodyText"/>
        <w:spacing w:before="38" w:line="259" w:lineRule="auto"/>
        <w:ind w:left="100" w:right="173"/>
      </w:pPr>
    </w:p>
    <w:p w:rsidR="00C35B3A" w:rsidRDefault="00C35B3A" w:rsidP="00CB223A">
      <w:pPr>
        <w:pStyle w:val="BodyText"/>
        <w:spacing w:before="38" w:line="259" w:lineRule="auto"/>
        <w:ind w:left="100" w:right="173"/>
      </w:pPr>
    </w:p>
    <w:p w:rsidR="00CB223A" w:rsidRDefault="00CB223A" w:rsidP="00CB223A">
      <w:pPr>
        <w:pStyle w:val="BodyText"/>
        <w:rPr>
          <w:sz w:val="20"/>
        </w:rPr>
      </w:pPr>
    </w:p>
    <w:p w:rsidR="00CB223A" w:rsidRDefault="00CB223A" w:rsidP="00CB223A">
      <w:pPr>
        <w:pStyle w:val="Heading1"/>
        <w:keepNext w:val="0"/>
        <w:keepLines w:val="0"/>
        <w:widowControl w:val="0"/>
        <w:numPr>
          <w:ilvl w:val="0"/>
          <w:numId w:val="7"/>
        </w:numPr>
        <w:tabs>
          <w:tab w:val="left" w:pos="751"/>
        </w:tabs>
        <w:autoSpaceDE w:val="0"/>
        <w:autoSpaceDN w:val="0"/>
        <w:spacing w:before="0" w:line="240" w:lineRule="auto"/>
        <w:ind w:hanging="291"/>
        <w:rPr>
          <w:color w:val="2D74B5"/>
        </w:rPr>
      </w:pPr>
      <w:bookmarkStart w:id="2" w:name="3._Healthy_People:_Mortality"/>
      <w:bookmarkEnd w:id="2"/>
      <w:r>
        <w:rPr>
          <w:color w:val="2D74B5"/>
        </w:rPr>
        <w:lastRenderedPageBreak/>
        <w:t>Healthy People:</w:t>
      </w:r>
      <w:r>
        <w:rPr>
          <w:color w:val="2D74B5"/>
          <w:spacing w:val="-45"/>
        </w:rPr>
        <w:t xml:space="preserve"> </w:t>
      </w:r>
      <w:r>
        <w:rPr>
          <w:color w:val="2D74B5"/>
        </w:rPr>
        <w:t>Mortality</w:t>
      </w:r>
    </w:p>
    <w:p w:rsidR="000E5146" w:rsidRPr="000E5146" w:rsidRDefault="000E5146" w:rsidP="000E5146"/>
    <w:p w:rsidR="00CB223A" w:rsidRDefault="00CB223A" w:rsidP="00CB223A">
      <w:pPr>
        <w:pStyle w:val="BodyText"/>
        <w:spacing w:before="33" w:line="259" w:lineRule="auto"/>
        <w:ind w:left="100" w:right="173"/>
      </w:pPr>
      <w:r>
        <w:t xml:space="preserve">Bradford has a higher mortality rate than the rest of the country due to poverty, limited access to healthcare, and a higher prevalence of chronic illnesses, similar to Bristol. However, Bristol has been making efforts to lower early deaths through </w:t>
      </w:r>
      <w:proofErr w:type="spellStart"/>
      <w:r>
        <w:t>programmes</w:t>
      </w:r>
      <w:proofErr w:type="spellEnd"/>
      <w:r>
        <w:t xml:space="preserve"> to increase access to healthcare and lower health disparities.</w:t>
      </w:r>
    </w:p>
    <w:p w:rsidR="00CB223A" w:rsidRDefault="00CB223A" w:rsidP="00CB223A">
      <w:pPr>
        <w:pStyle w:val="BodyText"/>
        <w:rPr>
          <w:sz w:val="20"/>
        </w:rPr>
      </w:pPr>
    </w:p>
    <w:p w:rsidR="00CB223A" w:rsidRDefault="00CB223A" w:rsidP="00CB223A">
      <w:pPr>
        <w:pStyle w:val="Heading1"/>
        <w:keepNext w:val="0"/>
        <w:keepLines w:val="0"/>
        <w:widowControl w:val="0"/>
        <w:numPr>
          <w:ilvl w:val="0"/>
          <w:numId w:val="7"/>
        </w:numPr>
        <w:tabs>
          <w:tab w:val="left" w:pos="751"/>
        </w:tabs>
        <w:autoSpaceDE w:val="0"/>
        <w:autoSpaceDN w:val="0"/>
        <w:spacing w:before="0" w:line="240" w:lineRule="auto"/>
        <w:ind w:hanging="291"/>
        <w:rPr>
          <w:color w:val="2D74B5"/>
        </w:rPr>
      </w:pPr>
      <w:bookmarkStart w:id="3" w:name="4._Healthy_People:_Personal_well-being"/>
      <w:bookmarkEnd w:id="3"/>
      <w:r>
        <w:rPr>
          <w:color w:val="2D74B5"/>
        </w:rPr>
        <w:t>Healthy</w:t>
      </w:r>
      <w:r>
        <w:rPr>
          <w:color w:val="2D74B5"/>
          <w:spacing w:val="-25"/>
        </w:rPr>
        <w:t xml:space="preserve"> </w:t>
      </w:r>
      <w:r>
        <w:rPr>
          <w:color w:val="2D74B5"/>
        </w:rPr>
        <w:t>People:</w:t>
      </w:r>
      <w:r>
        <w:rPr>
          <w:color w:val="2D74B5"/>
          <w:spacing w:val="-25"/>
        </w:rPr>
        <w:t xml:space="preserve"> </w:t>
      </w:r>
      <w:r>
        <w:rPr>
          <w:color w:val="2D74B5"/>
        </w:rPr>
        <w:t>Personal</w:t>
      </w:r>
      <w:r>
        <w:rPr>
          <w:color w:val="2D74B5"/>
          <w:spacing w:val="-28"/>
        </w:rPr>
        <w:t xml:space="preserve"> </w:t>
      </w:r>
      <w:r>
        <w:rPr>
          <w:color w:val="2D74B5"/>
        </w:rPr>
        <w:t>well-being</w:t>
      </w:r>
    </w:p>
    <w:p w:rsidR="000E5146" w:rsidRPr="000E5146" w:rsidRDefault="000E5146" w:rsidP="000E5146"/>
    <w:p w:rsidR="00CB223A" w:rsidRDefault="00CB223A" w:rsidP="00CB223A">
      <w:pPr>
        <w:pStyle w:val="BodyText"/>
        <w:spacing w:before="38" w:line="259" w:lineRule="auto"/>
        <w:ind w:left="100" w:right="315"/>
      </w:pPr>
      <w:r>
        <w:t>Bristol residents feel more positive about themselves due to increased social cohesion, accessibility to green spaces, and cultural opportunities, while Bradford residents struggle with social exclusion, economic conditions, and lack of cultural opportunities.</w:t>
      </w:r>
    </w:p>
    <w:p w:rsidR="00CB223A" w:rsidRDefault="00CB223A" w:rsidP="00CB223A">
      <w:pPr>
        <w:pStyle w:val="BodyText"/>
        <w:rPr>
          <w:sz w:val="20"/>
        </w:rPr>
      </w:pPr>
    </w:p>
    <w:p w:rsidR="00CB223A" w:rsidRDefault="00CB223A" w:rsidP="00CB223A">
      <w:pPr>
        <w:pStyle w:val="Heading1"/>
        <w:keepNext w:val="0"/>
        <w:keepLines w:val="0"/>
        <w:widowControl w:val="0"/>
        <w:numPr>
          <w:ilvl w:val="0"/>
          <w:numId w:val="7"/>
        </w:numPr>
        <w:tabs>
          <w:tab w:val="left" w:pos="751"/>
        </w:tabs>
        <w:autoSpaceDE w:val="0"/>
        <w:autoSpaceDN w:val="0"/>
        <w:spacing w:before="0" w:line="240" w:lineRule="auto"/>
        <w:ind w:hanging="291"/>
        <w:rPr>
          <w:color w:val="2D74B5"/>
        </w:rPr>
      </w:pPr>
      <w:bookmarkStart w:id="4" w:name="5._Healthy_People:_Physical_health_condi"/>
      <w:bookmarkEnd w:id="4"/>
      <w:r>
        <w:rPr>
          <w:color w:val="2D74B5"/>
        </w:rPr>
        <w:t>Healthy</w:t>
      </w:r>
      <w:r>
        <w:rPr>
          <w:color w:val="2D74B5"/>
          <w:spacing w:val="-28"/>
        </w:rPr>
        <w:t xml:space="preserve"> </w:t>
      </w:r>
      <w:r>
        <w:rPr>
          <w:color w:val="2D74B5"/>
        </w:rPr>
        <w:t>People:</w:t>
      </w:r>
      <w:r>
        <w:rPr>
          <w:color w:val="2D74B5"/>
          <w:spacing w:val="-27"/>
        </w:rPr>
        <w:t xml:space="preserve"> </w:t>
      </w:r>
      <w:r>
        <w:rPr>
          <w:color w:val="2D74B5"/>
        </w:rPr>
        <w:t>Physical</w:t>
      </w:r>
      <w:r>
        <w:rPr>
          <w:color w:val="2D74B5"/>
          <w:spacing w:val="-30"/>
        </w:rPr>
        <w:t xml:space="preserve"> </w:t>
      </w:r>
      <w:r>
        <w:rPr>
          <w:color w:val="2D74B5"/>
        </w:rPr>
        <w:t>health</w:t>
      </w:r>
      <w:r>
        <w:rPr>
          <w:color w:val="2D74B5"/>
          <w:spacing w:val="-28"/>
        </w:rPr>
        <w:t xml:space="preserve"> </w:t>
      </w:r>
      <w:r>
        <w:rPr>
          <w:color w:val="2D74B5"/>
        </w:rPr>
        <w:t>conditions</w:t>
      </w:r>
    </w:p>
    <w:p w:rsidR="000E5146" w:rsidRPr="000E5146" w:rsidRDefault="000E5146" w:rsidP="000E5146"/>
    <w:p w:rsidR="00CB223A" w:rsidRDefault="00CB223A" w:rsidP="00CB223A">
      <w:pPr>
        <w:pStyle w:val="BodyText"/>
        <w:spacing w:before="39" w:line="259" w:lineRule="auto"/>
        <w:ind w:left="100" w:right="332"/>
        <w:jc w:val="both"/>
      </w:pPr>
      <w:r>
        <w:t>Bradford</w:t>
      </w:r>
      <w:r>
        <w:rPr>
          <w:spacing w:val="-3"/>
        </w:rPr>
        <w:t xml:space="preserve"> </w:t>
      </w:r>
      <w:r>
        <w:t>has</w:t>
      </w:r>
      <w:r>
        <w:rPr>
          <w:spacing w:val="-4"/>
        </w:rPr>
        <w:t xml:space="preserve"> </w:t>
      </w:r>
      <w:r>
        <w:t>higher</w:t>
      </w:r>
      <w:r>
        <w:rPr>
          <w:spacing w:val="-4"/>
        </w:rPr>
        <w:t xml:space="preserve"> </w:t>
      </w:r>
      <w:r>
        <w:t>rates</w:t>
      </w:r>
      <w:r>
        <w:rPr>
          <w:spacing w:val="-2"/>
        </w:rPr>
        <w:t xml:space="preserve"> </w:t>
      </w:r>
      <w:r>
        <w:t>of</w:t>
      </w:r>
      <w:r>
        <w:rPr>
          <w:spacing w:val="-5"/>
        </w:rPr>
        <w:t xml:space="preserve"> </w:t>
      </w:r>
      <w:r>
        <w:t>obesity,</w:t>
      </w:r>
      <w:r>
        <w:rPr>
          <w:spacing w:val="-2"/>
        </w:rPr>
        <w:t xml:space="preserve"> </w:t>
      </w:r>
      <w:r>
        <w:t>diabetes,</w:t>
      </w:r>
      <w:r>
        <w:rPr>
          <w:spacing w:val="-2"/>
        </w:rPr>
        <w:t xml:space="preserve"> </w:t>
      </w:r>
      <w:r>
        <w:t>and</w:t>
      </w:r>
      <w:r>
        <w:rPr>
          <w:spacing w:val="-4"/>
        </w:rPr>
        <w:t xml:space="preserve"> </w:t>
      </w:r>
      <w:r>
        <w:t>heart</w:t>
      </w:r>
      <w:r>
        <w:rPr>
          <w:spacing w:val="-1"/>
        </w:rPr>
        <w:t xml:space="preserve"> </w:t>
      </w:r>
      <w:r>
        <w:t>disease</w:t>
      </w:r>
      <w:r>
        <w:rPr>
          <w:spacing w:val="-2"/>
        </w:rPr>
        <w:t xml:space="preserve"> </w:t>
      </w:r>
      <w:r>
        <w:t>due</w:t>
      </w:r>
      <w:r>
        <w:rPr>
          <w:spacing w:val="-2"/>
        </w:rPr>
        <w:t xml:space="preserve"> </w:t>
      </w:r>
      <w:r>
        <w:t>to</w:t>
      </w:r>
      <w:r>
        <w:rPr>
          <w:spacing w:val="-3"/>
        </w:rPr>
        <w:t xml:space="preserve"> </w:t>
      </w:r>
      <w:r>
        <w:t>poor</w:t>
      </w:r>
      <w:r>
        <w:rPr>
          <w:spacing w:val="-4"/>
        </w:rPr>
        <w:t xml:space="preserve"> </w:t>
      </w:r>
      <w:r>
        <w:t>dietary</w:t>
      </w:r>
      <w:r>
        <w:rPr>
          <w:spacing w:val="-2"/>
        </w:rPr>
        <w:t xml:space="preserve"> </w:t>
      </w:r>
      <w:r>
        <w:t>habits,</w:t>
      </w:r>
      <w:r>
        <w:rPr>
          <w:spacing w:val="-2"/>
        </w:rPr>
        <w:t xml:space="preserve"> </w:t>
      </w:r>
      <w:r>
        <w:t>inactivity, and lack of access to healthcare. Bristol has lower rates due to access to healthcare services, a society that values physical activity, and proximity to green</w:t>
      </w:r>
      <w:r>
        <w:rPr>
          <w:spacing w:val="-7"/>
        </w:rPr>
        <w:t xml:space="preserve"> </w:t>
      </w:r>
      <w:r>
        <w:t>spaces.</w:t>
      </w:r>
    </w:p>
    <w:p w:rsidR="00CB223A" w:rsidRDefault="00CB223A" w:rsidP="00CB223A">
      <w:pPr>
        <w:pStyle w:val="BodyText"/>
        <w:spacing w:before="9"/>
        <w:rPr>
          <w:sz w:val="19"/>
        </w:rPr>
      </w:pPr>
    </w:p>
    <w:p w:rsidR="00CB223A" w:rsidRDefault="00CB223A" w:rsidP="00CB223A">
      <w:pPr>
        <w:pStyle w:val="Heading1"/>
        <w:keepNext w:val="0"/>
        <w:keepLines w:val="0"/>
        <w:widowControl w:val="0"/>
        <w:numPr>
          <w:ilvl w:val="0"/>
          <w:numId w:val="7"/>
        </w:numPr>
        <w:tabs>
          <w:tab w:val="left" w:pos="751"/>
        </w:tabs>
        <w:autoSpaceDE w:val="0"/>
        <w:autoSpaceDN w:val="0"/>
        <w:spacing w:before="1" w:line="240" w:lineRule="auto"/>
        <w:ind w:hanging="291"/>
        <w:rPr>
          <w:color w:val="2D74B5"/>
          <w:w w:val="95"/>
        </w:rPr>
      </w:pPr>
      <w:bookmarkStart w:id="5" w:name="6._Healthy_Lives:_Behavioral_risk_factor"/>
      <w:bookmarkEnd w:id="5"/>
      <w:r>
        <w:rPr>
          <w:color w:val="2D74B5"/>
          <w:w w:val="95"/>
        </w:rPr>
        <w:t>Healthy</w:t>
      </w:r>
      <w:r>
        <w:rPr>
          <w:color w:val="2D74B5"/>
          <w:spacing w:val="-19"/>
          <w:w w:val="95"/>
        </w:rPr>
        <w:t xml:space="preserve"> </w:t>
      </w:r>
      <w:r>
        <w:rPr>
          <w:color w:val="2D74B5"/>
          <w:w w:val="95"/>
        </w:rPr>
        <w:t>Lives:</w:t>
      </w:r>
      <w:r>
        <w:rPr>
          <w:color w:val="2D74B5"/>
          <w:spacing w:val="-23"/>
          <w:w w:val="95"/>
        </w:rPr>
        <w:t xml:space="preserve"> </w:t>
      </w:r>
      <w:r>
        <w:rPr>
          <w:color w:val="2D74B5"/>
          <w:w w:val="95"/>
        </w:rPr>
        <w:t>Behavioral</w:t>
      </w:r>
      <w:r>
        <w:rPr>
          <w:color w:val="2D74B5"/>
          <w:spacing w:val="-22"/>
          <w:w w:val="95"/>
        </w:rPr>
        <w:t xml:space="preserve"> </w:t>
      </w:r>
      <w:r>
        <w:rPr>
          <w:color w:val="2D74B5"/>
          <w:w w:val="95"/>
        </w:rPr>
        <w:t>risk</w:t>
      </w:r>
      <w:r>
        <w:rPr>
          <w:color w:val="2D74B5"/>
          <w:spacing w:val="-18"/>
          <w:w w:val="95"/>
        </w:rPr>
        <w:t xml:space="preserve"> </w:t>
      </w:r>
      <w:r>
        <w:rPr>
          <w:color w:val="2D74B5"/>
          <w:w w:val="95"/>
        </w:rPr>
        <w:t>factors</w:t>
      </w:r>
    </w:p>
    <w:p w:rsidR="000E5146" w:rsidRPr="000E5146" w:rsidRDefault="000E5146" w:rsidP="000E5146"/>
    <w:p w:rsidR="00CB223A" w:rsidRDefault="00CB223A" w:rsidP="00CB223A">
      <w:pPr>
        <w:pStyle w:val="BodyText"/>
        <w:spacing w:before="38" w:line="259" w:lineRule="auto"/>
        <w:ind w:left="100" w:right="173"/>
      </w:pPr>
      <w:r>
        <w:t>Bradford has higher rates of drug, alcohol, and cigarette use due to social and cultural factors, while Bristol has lower rates due to better access to resources such as parks, green spaces, active transportation, and neighborhood initiatives.</w:t>
      </w:r>
    </w:p>
    <w:p w:rsidR="000E5146" w:rsidRDefault="000E5146" w:rsidP="00CB223A">
      <w:pPr>
        <w:pStyle w:val="BodyText"/>
        <w:spacing w:before="38" w:line="259" w:lineRule="auto"/>
        <w:ind w:left="100" w:right="173"/>
      </w:pPr>
    </w:p>
    <w:p w:rsidR="000E5146" w:rsidRDefault="000E5146" w:rsidP="00CB223A">
      <w:pPr>
        <w:pStyle w:val="BodyText"/>
        <w:spacing w:before="38" w:line="259" w:lineRule="auto"/>
        <w:ind w:left="100" w:right="173"/>
      </w:pPr>
    </w:p>
    <w:p w:rsidR="00CB223A" w:rsidRDefault="00CB223A" w:rsidP="00CB223A">
      <w:pPr>
        <w:pStyle w:val="BodyText"/>
        <w:rPr>
          <w:sz w:val="20"/>
        </w:rPr>
      </w:pPr>
    </w:p>
    <w:p w:rsidR="00CB223A" w:rsidRDefault="00CB223A" w:rsidP="00CB223A">
      <w:pPr>
        <w:pStyle w:val="Heading1"/>
        <w:keepNext w:val="0"/>
        <w:keepLines w:val="0"/>
        <w:widowControl w:val="0"/>
        <w:numPr>
          <w:ilvl w:val="0"/>
          <w:numId w:val="7"/>
        </w:numPr>
        <w:tabs>
          <w:tab w:val="left" w:pos="751"/>
        </w:tabs>
        <w:autoSpaceDE w:val="0"/>
        <w:autoSpaceDN w:val="0"/>
        <w:spacing w:before="0" w:line="240" w:lineRule="auto"/>
        <w:ind w:hanging="291"/>
        <w:rPr>
          <w:color w:val="2D74B5"/>
        </w:rPr>
      </w:pPr>
      <w:bookmarkStart w:id="6" w:name="7._Healthy_Lives:_Children_and_young_peo"/>
      <w:bookmarkEnd w:id="6"/>
      <w:r>
        <w:rPr>
          <w:color w:val="2D74B5"/>
        </w:rPr>
        <w:t>Healthy</w:t>
      </w:r>
      <w:r>
        <w:rPr>
          <w:color w:val="2D74B5"/>
          <w:spacing w:val="-27"/>
        </w:rPr>
        <w:t xml:space="preserve"> </w:t>
      </w:r>
      <w:r>
        <w:rPr>
          <w:color w:val="2D74B5"/>
        </w:rPr>
        <w:t>Lives:</w:t>
      </w:r>
      <w:r>
        <w:rPr>
          <w:color w:val="2D74B5"/>
          <w:spacing w:val="-30"/>
        </w:rPr>
        <w:t xml:space="preserve"> </w:t>
      </w:r>
      <w:r>
        <w:rPr>
          <w:color w:val="2D74B5"/>
        </w:rPr>
        <w:t>Children</w:t>
      </w:r>
      <w:r>
        <w:rPr>
          <w:color w:val="2D74B5"/>
          <w:spacing w:val="-27"/>
        </w:rPr>
        <w:t xml:space="preserve"> </w:t>
      </w:r>
      <w:r>
        <w:rPr>
          <w:color w:val="2D74B5"/>
        </w:rPr>
        <w:t>and</w:t>
      </w:r>
      <w:r>
        <w:rPr>
          <w:color w:val="2D74B5"/>
          <w:spacing w:val="-28"/>
        </w:rPr>
        <w:t xml:space="preserve"> </w:t>
      </w:r>
      <w:r>
        <w:rPr>
          <w:color w:val="2D74B5"/>
        </w:rPr>
        <w:t>young</w:t>
      </w:r>
      <w:r>
        <w:rPr>
          <w:color w:val="2D74B5"/>
          <w:spacing w:val="-27"/>
        </w:rPr>
        <w:t xml:space="preserve"> </w:t>
      </w:r>
      <w:r>
        <w:rPr>
          <w:color w:val="2D74B5"/>
        </w:rPr>
        <w:t>people</w:t>
      </w:r>
    </w:p>
    <w:p w:rsidR="000E5146" w:rsidRPr="000E5146" w:rsidRDefault="000E5146" w:rsidP="000E5146"/>
    <w:p w:rsidR="00CB223A" w:rsidRDefault="00CB223A" w:rsidP="00CB223A">
      <w:pPr>
        <w:pStyle w:val="BodyText"/>
        <w:spacing w:before="38" w:line="259" w:lineRule="auto"/>
        <w:ind w:left="100"/>
      </w:pPr>
      <w:r>
        <w:t xml:space="preserve">Bradford and Bristol have implemented </w:t>
      </w:r>
      <w:proofErr w:type="spellStart"/>
      <w:r>
        <w:t>programmes</w:t>
      </w:r>
      <w:proofErr w:type="spellEnd"/>
      <w:r>
        <w:t xml:space="preserve"> to address poverty, mental health, and educational attainment in order to improve the wellbeing of children and young people.</w:t>
      </w:r>
    </w:p>
    <w:p w:rsidR="00CB223A" w:rsidRDefault="00CB223A" w:rsidP="00CB223A">
      <w:pPr>
        <w:pStyle w:val="BodyText"/>
        <w:rPr>
          <w:sz w:val="20"/>
        </w:rPr>
      </w:pPr>
    </w:p>
    <w:p w:rsidR="00CB223A" w:rsidRDefault="00CB223A" w:rsidP="00CB223A">
      <w:pPr>
        <w:pStyle w:val="Heading1"/>
        <w:keepNext w:val="0"/>
        <w:keepLines w:val="0"/>
        <w:widowControl w:val="0"/>
        <w:numPr>
          <w:ilvl w:val="0"/>
          <w:numId w:val="7"/>
        </w:numPr>
        <w:tabs>
          <w:tab w:val="left" w:pos="751"/>
        </w:tabs>
        <w:autoSpaceDE w:val="0"/>
        <w:autoSpaceDN w:val="0"/>
        <w:spacing w:before="0" w:line="240" w:lineRule="auto"/>
        <w:ind w:hanging="291"/>
      </w:pPr>
      <w:bookmarkStart w:id="7" w:name="8._Healthy_Lives:_Physiological_risk_fac"/>
      <w:bookmarkEnd w:id="7"/>
      <w:r>
        <w:rPr>
          <w:color w:val="2D74B5"/>
          <w:w w:val="95"/>
        </w:rPr>
        <w:t>Healthy</w:t>
      </w:r>
      <w:r>
        <w:rPr>
          <w:color w:val="2D74B5"/>
          <w:spacing w:val="-20"/>
          <w:w w:val="95"/>
        </w:rPr>
        <w:t xml:space="preserve"> </w:t>
      </w:r>
      <w:r>
        <w:rPr>
          <w:color w:val="2D74B5"/>
          <w:w w:val="95"/>
        </w:rPr>
        <w:t>Lives:</w:t>
      </w:r>
      <w:r>
        <w:rPr>
          <w:color w:val="2D74B5"/>
          <w:spacing w:val="-23"/>
          <w:w w:val="95"/>
        </w:rPr>
        <w:t xml:space="preserve"> </w:t>
      </w:r>
      <w:r>
        <w:rPr>
          <w:color w:val="2D74B5"/>
          <w:w w:val="95"/>
        </w:rPr>
        <w:t>Physiological</w:t>
      </w:r>
      <w:r>
        <w:rPr>
          <w:color w:val="2D74B5"/>
          <w:spacing w:val="-22"/>
          <w:w w:val="95"/>
        </w:rPr>
        <w:t xml:space="preserve"> </w:t>
      </w:r>
      <w:r>
        <w:rPr>
          <w:color w:val="2D74B5"/>
          <w:w w:val="95"/>
        </w:rPr>
        <w:t>risk</w:t>
      </w:r>
      <w:r>
        <w:rPr>
          <w:color w:val="2D74B5"/>
          <w:spacing w:val="-19"/>
          <w:w w:val="95"/>
        </w:rPr>
        <w:t xml:space="preserve"> </w:t>
      </w:r>
      <w:r>
        <w:rPr>
          <w:color w:val="2D74B5"/>
          <w:w w:val="95"/>
        </w:rPr>
        <w:t>factors</w:t>
      </w:r>
    </w:p>
    <w:p w:rsidR="00C35B3A" w:rsidRDefault="00CB223A" w:rsidP="00C35B3A">
      <w:pPr>
        <w:pStyle w:val="BodyText"/>
        <w:spacing w:before="38" w:line="259" w:lineRule="auto"/>
        <w:ind w:left="100" w:right="173"/>
      </w:pPr>
      <w:r>
        <w:t>Bradford residents have higher rates of chronic illnesses due to lifestyle factors such as poor diet, inactivity, and smoking, as well as low income and limited access to healthcare resources.</w:t>
      </w:r>
    </w:p>
    <w:p w:rsidR="00C35B3A" w:rsidRDefault="00C35B3A" w:rsidP="00C35B3A"/>
    <w:p w:rsidR="00C35B3A" w:rsidRDefault="00C35B3A" w:rsidP="00C35B3A"/>
    <w:p w:rsidR="00CB223A" w:rsidRPr="00C35B3A" w:rsidRDefault="00CB223A" w:rsidP="00C35B3A">
      <w:pPr>
        <w:sectPr w:rsidR="00CB223A" w:rsidRPr="00C35B3A" w:rsidSect="00CB223A">
          <w:pgSz w:w="12240" w:h="15840"/>
          <w:pgMar w:top="1500" w:right="1360" w:bottom="280" w:left="1340" w:header="720" w:footer="720" w:gutter="0"/>
          <w:cols w:space="720"/>
        </w:sectPr>
      </w:pPr>
    </w:p>
    <w:p w:rsidR="00CB223A" w:rsidRDefault="00CB223A" w:rsidP="00CB223A">
      <w:pPr>
        <w:pStyle w:val="Heading1"/>
        <w:keepNext w:val="0"/>
        <w:keepLines w:val="0"/>
        <w:widowControl w:val="0"/>
        <w:numPr>
          <w:ilvl w:val="0"/>
          <w:numId w:val="7"/>
        </w:numPr>
        <w:tabs>
          <w:tab w:val="left" w:pos="751"/>
        </w:tabs>
        <w:autoSpaceDE w:val="0"/>
        <w:autoSpaceDN w:val="0"/>
        <w:spacing w:before="27" w:line="240" w:lineRule="auto"/>
        <w:ind w:hanging="291"/>
        <w:rPr>
          <w:color w:val="2D74B5"/>
        </w:rPr>
      </w:pPr>
      <w:bookmarkStart w:id="8" w:name="9._Healthy_Lives:_Protective_measure"/>
      <w:bookmarkEnd w:id="8"/>
      <w:r>
        <w:rPr>
          <w:color w:val="2D74B5"/>
        </w:rPr>
        <w:lastRenderedPageBreak/>
        <w:t>Healthy</w:t>
      </w:r>
      <w:r>
        <w:rPr>
          <w:color w:val="2D74B5"/>
          <w:spacing w:val="-25"/>
        </w:rPr>
        <w:t xml:space="preserve"> </w:t>
      </w:r>
      <w:r>
        <w:rPr>
          <w:color w:val="2D74B5"/>
        </w:rPr>
        <w:t>Lives:</w:t>
      </w:r>
      <w:r>
        <w:rPr>
          <w:color w:val="2D74B5"/>
          <w:spacing w:val="-29"/>
        </w:rPr>
        <w:t xml:space="preserve"> </w:t>
      </w:r>
      <w:r>
        <w:rPr>
          <w:color w:val="2D74B5"/>
        </w:rPr>
        <w:t>Protective</w:t>
      </w:r>
      <w:r>
        <w:rPr>
          <w:color w:val="2D74B5"/>
          <w:spacing w:val="-25"/>
        </w:rPr>
        <w:t xml:space="preserve"> </w:t>
      </w:r>
      <w:r>
        <w:rPr>
          <w:color w:val="2D74B5"/>
        </w:rPr>
        <w:t>measure</w:t>
      </w:r>
    </w:p>
    <w:p w:rsidR="000E5146" w:rsidRPr="000E5146" w:rsidRDefault="000E5146" w:rsidP="000E5146"/>
    <w:p w:rsidR="00CB223A" w:rsidRDefault="00CB223A" w:rsidP="00CB223A">
      <w:pPr>
        <w:pStyle w:val="BodyText"/>
        <w:spacing w:before="39" w:line="259" w:lineRule="auto"/>
        <w:ind w:left="100" w:right="173"/>
      </w:pPr>
      <w:r>
        <w:t>Bristol has easier access to safety nets than Bradford due to social and economic factors, access to healthcare resources, and campaigns to promote healthy lifestyles. These initiatives can help people manage their health and wellbeing.</w:t>
      </w:r>
    </w:p>
    <w:p w:rsidR="00CB223A" w:rsidRDefault="00CB223A" w:rsidP="00CB223A">
      <w:pPr>
        <w:pStyle w:val="BodyText"/>
        <w:spacing w:before="2"/>
        <w:rPr>
          <w:sz w:val="20"/>
        </w:rPr>
      </w:pPr>
    </w:p>
    <w:p w:rsidR="00CB223A" w:rsidRDefault="00CB223A" w:rsidP="00CB223A">
      <w:pPr>
        <w:pStyle w:val="Heading1"/>
        <w:keepNext w:val="0"/>
        <w:keepLines w:val="0"/>
        <w:widowControl w:val="0"/>
        <w:numPr>
          <w:ilvl w:val="0"/>
          <w:numId w:val="7"/>
        </w:numPr>
        <w:tabs>
          <w:tab w:val="left" w:pos="891"/>
        </w:tabs>
        <w:autoSpaceDE w:val="0"/>
        <w:autoSpaceDN w:val="0"/>
        <w:spacing w:before="0" w:line="240" w:lineRule="auto"/>
        <w:ind w:left="891" w:hanging="431"/>
        <w:rPr>
          <w:color w:val="2D74B5"/>
        </w:rPr>
      </w:pPr>
      <w:bookmarkStart w:id="9" w:name="10._Healthy_Places:_Access_to_green_spac"/>
      <w:bookmarkEnd w:id="9"/>
      <w:r>
        <w:rPr>
          <w:color w:val="2D74B5"/>
        </w:rPr>
        <w:t>Healthy</w:t>
      </w:r>
      <w:r>
        <w:rPr>
          <w:color w:val="2D74B5"/>
          <w:spacing w:val="-26"/>
        </w:rPr>
        <w:t xml:space="preserve"> </w:t>
      </w:r>
      <w:r>
        <w:rPr>
          <w:color w:val="2D74B5"/>
        </w:rPr>
        <w:t>Places:</w:t>
      </w:r>
      <w:r>
        <w:rPr>
          <w:color w:val="2D74B5"/>
          <w:spacing w:val="-25"/>
        </w:rPr>
        <w:t xml:space="preserve"> </w:t>
      </w:r>
      <w:r>
        <w:rPr>
          <w:color w:val="2D74B5"/>
        </w:rPr>
        <w:t>Access</w:t>
      </w:r>
      <w:r>
        <w:rPr>
          <w:color w:val="2D74B5"/>
          <w:spacing w:val="-25"/>
        </w:rPr>
        <w:t xml:space="preserve"> </w:t>
      </w:r>
      <w:r>
        <w:rPr>
          <w:color w:val="2D74B5"/>
        </w:rPr>
        <w:t>to</w:t>
      </w:r>
      <w:r>
        <w:rPr>
          <w:color w:val="2D74B5"/>
          <w:spacing w:val="-27"/>
        </w:rPr>
        <w:t xml:space="preserve"> </w:t>
      </w:r>
      <w:r>
        <w:rPr>
          <w:color w:val="2D74B5"/>
        </w:rPr>
        <w:t>green</w:t>
      </w:r>
      <w:r>
        <w:rPr>
          <w:color w:val="2D74B5"/>
          <w:spacing w:val="-27"/>
        </w:rPr>
        <w:t xml:space="preserve"> </w:t>
      </w:r>
      <w:r>
        <w:rPr>
          <w:color w:val="2D74B5"/>
        </w:rPr>
        <w:t>space</w:t>
      </w:r>
    </w:p>
    <w:p w:rsidR="000E5146" w:rsidRPr="000E5146" w:rsidRDefault="000E5146" w:rsidP="000E5146"/>
    <w:p w:rsidR="00CB223A" w:rsidRDefault="00CB223A" w:rsidP="00CB223A">
      <w:pPr>
        <w:pStyle w:val="BodyText"/>
        <w:spacing w:before="34" w:line="259" w:lineRule="auto"/>
        <w:ind w:left="100" w:right="173"/>
      </w:pPr>
      <w:r>
        <w:t>Bradford and Bristol have different access to green spaces, with Bradford having fewer than Bristol due to urbanization, industrialization, and lack of investment.</w:t>
      </w:r>
    </w:p>
    <w:p w:rsidR="00CB223A" w:rsidRDefault="00CB223A" w:rsidP="00CB223A">
      <w:pPr>
        <w:pStyle w:val="BodyText"/>
        <w:spacing w:before="2"/>
        <w:rPr>
          <w:sz w:val="20"/>
        </w:rPr>
      </w:pPr>
    </w:p>
    <w:p w:rsidR="00CB223A" w:rsidRDefault="00CB223A" w:rsidP="00CB223A">
      <w:pPr>
        <w:pStyle w:val="Heading1"/>
        <w:keepNext w:val="0"/>
        <w:keepLines w:val="0"/>
        <w:widowControl w:val="0"/>
        <w:numPr>
          <w:ilvl w:val="0"/>
          <w:numId w:val="7"/>
        </w:numPr>
        <w:tabs>
          <w:tab w:val="left" w:pos="891"/>
        </w:tabs>
        <w:autoSpaceDE w:val="0"/>
        <w:autoSpaceDN w:val="0"/>
        <w:spacing w:before="1" w:line="240" w:lineRule="auto"/>
        <w:ind w:left="891" w:hanging="431"/>
        <w:rPr>
          <w:color w:val="2D74B5"/>
        </w:rPr>
      </w:pPr>
      <w:bookmarkStart w:id="10" w:name="11._Healthy_Places:_Access_to_services"/>
      <w:bookmarkEnd w:id="10"/>
      <w:r>
        <w:rPr>
          <w:color w:val="2D74B5"/>
        </w:rPr>
        <w:t>Healthy</w:t>
      </w:r>
      <w:r>
        <w:rPr>
          <w:color w:val="2D74B5"/>
          <w:spacing w:val="-25"/>
        </w:rPr>
        <w:t xml:space="preserve"> </w:t>
      </w:r>
      <w:r>
        <w:rPr>
          <w:color w:val="2D74B5"/>
        </w:rPr>
        <w:t>Places:</w:t>
      </w:r>
      <w:r>
        <w:rPr>
          <w:color w:val="2D74B5"/>
          <w:spacing w:val="-25"/>
        </w:rPr>
        <w:t xml:space="preserve"> </w:t>
      </w:r>
      <w:r>
        <w:rPr>
          <w:color w:val="2D74B5"/>
        </w:rPr>
        <w:t>Access</w:t>
      </w:r>
      <w:r>
        <w:rPr>
          <w:color w:val="2D74B5"/>
          <w:spacing w:val="-24"/>
        </w:rPr>
        <w:t xml:space="preserve"> </w:t>
      </w:r>
      <w:r>
        <w:rPr>
          <w:color w:val="2D74B5"/>
        </w:rPr>
        <w:t>to</w:t>
      </w:r>
      <w:r>
        <w:rPr>
          <w:color w:val="2D74B5"/>
          <w:spacing w:val="-27"/>
        </w:rPr>
        <w:t xml:space="preserve"> </w:t>
      </w:r>
      <w:r>
        <w:rPr>
          <w:color w:val="2D74B5"/>
        </w:rPr>
        <w:t>services</w:t>
      </w:r>
    </w:p>
    <w:p w:rsidR="000E5146" w:rsidRPr="000E5146" w:rsidRDefault="000E5146" w:rsidP="000E5146"/>
    <w:p w:rsidR="00CB223A" w:rsidRDefault="00CB223A" w:rsidP="00CB223A">
      <w:pPr>
        <w:pStyle w:val="BodyText"/>
        <w:spacing w:before="38" w:line="259" w:lineRule="auto"/>
        <w:ind w:left="100" w:right="154"/>
      </w:pPr>
      <w:r>
        <w:t>Bristol has more healthcare facilities, leading to better access to services and a higher likelihood of receiving timely and effective medical care. Bradford offers a variety of educational facilities, with some schools and institutions performing better than those in Bristol.</w:t>
      </w:r>
    </w:p>
    <w:p w:rsidR="00CB223A" w:rsidRDefault="00CB223A" w:rsidP="00CB223A">
      <w:pPr>
        <w:pStyle w:val="BodyText"/>
        <w:rPr>
          <w:sz w:val="20"/>
        </w:rPr>
      </w:pPr>
    </w:p>
    <w:p w:rsidR="00CB223A" w:rsidRDefault="00CB223A" w:rsidP="00CB223A">
      <w:pPr>
        <w:pStyle w:val="Heading1"/>
        <w:keepNext w:val="0"/>
        <w:keepLines w:val="0"/>
        <w:widowControl w:val="0"/>
        <w:numPr>
          <w:ilvl w:val="0"/>
          <w:numId w:val="7"/>
        </w:numPr>
        <w:tabs>
          <w:tab w:val="left" w:pos="891"/>
        </w:tabs>
        <w:autoSpaceDE w:val="0"/>
        <w:autoSpaceDN w:val="0"/>
        <w:spacing w:before="0" w:line="240" w:lineRule="auto"/>
        <w:ind w:left="891" w:hanging="431"/>
        <w:rPr>
          <w:color w:val="2D74B5"/>
          <w:w w:val="95"/>
        </w:rPr>
      </w:pPr>
      <w:bookmarkStart w:id="11" w:name="12._Healthy_Places:_Crime"/>
      <w:bookmarkEnd w:id="11"/>
      <w:r>
        <w:rPr>
          <w:color w:val="2D74B5"/>
          <w:w w:val="95"/>
        </w:rPr>
        <w:t>Healthy Places:</w:t>
      </w:r>
      <w:r>
        <w:rPr>
          <w:color w:val="2D74B5"/>
          <w:spacing w:val="-34"/>
          <w:w w:val="95"/>
        </w:rPr>
        <w:t xml:space="preserve"> </w:t>
      </w:r>
      <w:r>
        <w:rPr>
          <w:color w:val="2D74B5"/>
          <w:w w:val="95"/>
        </w:rPr>
        <w:t>Crime</w:t>
      </w:r>
    </w:p>
    <w:p w:rsidR="000E5146" w:rsidRPr="000E5146" w:rsidRDefault="000E5146" w:rsidP="000E5146"/>
    <w:p w:rsidR="00CB223A" w:rsidRDefault="00CB223A" w:rsidP="00CB223A">
      <w:pPr>
        <w:pStyle w:val="BodyText"/>
        <w:spacing w:before="38" w:line="259" w:lineRule="auto"/>
        <w:ind w:left="100" w:right="276"/>
        <w:jc w:val="both"/>
      </w:pPr>
      <w:r>
        <w:t>Bradford</w:t>
      </w:r>
      <w:r>
        <w:rPr>
          <w:spacing w:val="-3"/>
        </w:rPr>
        <w:t xml:space="preserve"> </w:t>
      </w:r>
      <w:r>
        <w:t>has</w:t>
      </w:r>
      <w:r>
        <w:rPr>
          <w:spacing w:val="-3"/>
        </w:rPr>
        <w:t xml:space="preserve"> </w:t>
      </w:r>
      <w:r>
        <w:t>a</w:t>
      </w:r>
      <w:r>
        <w:rPr>
          <w:spacing w:val="-3"/>
        </w:rPr>
        <w:t xml:space="preserve"> </w:t>
      </w:r>
      <w:r>
        <w:t>higher</w:t>
      </w:r>
      <w:r>
        <w:rPr>
          <w:spacing w:val="-3"/>
        </w:rPr>
        <w:t xml:space="preserve"> </w:t>
      </w:r>
      <w:r>
        <w:t>crime</w:t>
      </w:r>
      <w:r>
        <w:rPr>
          <w:spacing w:val="-2"/>
        </w:rPr>
        <w:t xml:space="preserve"> </w:t>
      </w:r>
      <w:r>
        <w:t>rate</w:t>
      </w:r>
      <w:r>
        <w:rPr>
          <w:spacing w:val="-1"/>
        </w:rPr>
        <w:t xml:space="preserve"> </w:t>
      </w:r>
      <w:r>
        <w:t>than</w:t>
      </w:r>
      <w:r>
        <w:rPr>
          <w:spacing w:val="-3"/>
        </w:rPr>
        <w:t xml:space="preserve"> </w:t>
      </w:r>
      <w:r>
        <w:t>Bristol,</w:t>
      </w:r>
      <w:r>
        <w:rPr>
          <w:spacing w:val="-1"/>
        </w:rPr>
        <w:t xml:space="preserve"> </w:t>
      </w:r>
      <w:r>
        <w:t>with</w:t>
      </w:r>
      <w:r>
        <w:rPr>
          <w:spacing w:val="-2"/>
        </w:rPr>
        <w:t xml:space="preserve"> </w:t>
      </w:r>
      <w:r>
        <w:t>a</w:t>
      </w:r>
      <w:r>
        <w:rPr>
          <w:spacing w:val="-3"/>
        </w:rPr>
        <w:t xml:space="preserve"> </w:t>
      </w:r>
      <w:r>
        <w:t>crime</w:t>
      </w:r>
      <w:r>
        <w:rPr>
          <w:spacing w:val="-1"/>
        </w:rPr>
        <w:t xml:space="preserve"> </w:t>
      </w:r>
      <w:r>
        <w:t>rate</w:t>
      </w:r>
      <w:r>
        <w:rPr>
          <w:spacing w:val="-2"/>
        </w:rPr>
        <w:t xml:space="preserve"> </w:t>
      </w:r>
      <w:r>
        <w:t>of</w:t>
      </w:r>
      <w:r>
        <w:rPr>
          <w:spacing w:val="-4"/>
        </w:rPr>
        <w:t xml:space="preserve"> </w:t>
      </w:r>
      <w:r>
        <w:t>100.5</w:t>
      </w:r>
      <w:r>
        <w:rPr>
          <w:spacing w:val="-4"/>
        </w:rPr>
        <w:t xml:space="preserve"> </w:t>
      </w:r>
      <w:r>
        <w:t>per</w:t>
      </w:r>
      <w:r>
        <w:rPr>
          <w:spacing w:val="-3"/>
        </w:rPr>
        <w:t xml:space="preserve"> </w:t>
      </w:r>
      <w:r>
        <w:t>1,000</w:t>
      </w:r>
      <w:r>
        <w:rPr>
          <w:spacing w:val="-3"/>
        </w:rPr>
        <w:t xml:space="preserve"> </w:t>
      </w:r>
      <w:r>
        <w:t>people,</w:t>
      </w:r>
      <w:r>
        <w:rPr>
          <w:spacing w:val="-2"/>
        </w:rPr>
        <w:t xml:space="preserve"> </w:t>
      </w:r>
      <w:r>
        <w:t>while</w:t>
      </w:r>
      <w:r>
        <w:rPr>
          <w:spacing w:val="-1"/>
        </w:rPr>
        <w:t xml:space="preserve"> </w:t>
      </w:r>
      <w:r>
        <w:t>Bristol has a rate of 67.2. This indicates that criminal offences like theft, robbery, and violent crimes are more likely to happen to Bradford</w:t>
      </w:r>
      <w:r>
        <w:rPr>
          <w:spacing w:val="-5"/>
        </w:rPr>
        <w:t xml:space="preserve"> </w:t>
      </w:r>
      <w:r>
        <w:t>residents.</w:t>
      </w:r>
    </w:p>
    <w:p w:rsidR="00CB223A" w:rsidRDefault="00CB223A" w:rsidP="00CB223A">
      <w:pPr>
        <w:pStyle w:val="BodyText"/>
        <w:rPr>
          <w:sz w:val="20"/>
        </w:rPr>
      </w:pPr>
    </w:p>
    <w:p w:rsidR="00CB223A" w:rsidRDefault="00CB223A" w:rsidP="00CB223A">
      <w:pPr>
        <w:pStyle w:val="Heading1"/>
        <w:keepNext w:val="0"/>
        <w:keepLines w:val="0"/>
        <w:widowControl w:val="0"/>
        <w:numPr>
          <w:ilvl w:val="0"/>
          <w:numId w:val="7"/>
        </w:numPr>
        <w:tabs>
          <w:tab w:val="left" w:pos="891"/>
        </w:tabs>
        <w:autoSpaceDE w:val="0"/>
        <w:autoSpaceDN w:val="0"/>
        <w:spacing w:before="0" w:line="240" w:lineRule="auto"/>
        <w:ind w:left="891" w:hanging="431"/>
        <w:rPr>
          <w:color w:val="2D74B5"/>
        </w:rPr>
      </w:pPr>
      <w:bookmarkStart w:id="12" w:name="13._Healthy_Places:_Economic_and_working"/>
      <w:bookmarkEnd w:id="12"/>
      <w:r>
        <w:rPr>
          <w:color w:val="2D74B5"/>
        </w:rPr>
        <w:t>Healthy</w:t>
      </w:r>
      <w:r>
        <w:rPr>
          <w:color w:val="2D74B5"/>
          <w:spacing w:val="-30"/>
        </w:rPr>
        <w:t xml:space="preserve"> </w:t>
      </w:r>
      <w:r>
        <w:rPr>
          <w:color w:val="2D74B5"/>
        </w:rPr>
        <w:t>Places:</w:t>
      </w:r>
      <w:r>
        <w:rPr>
          <w:color w:val="2D74B5"/>
          <w:spacing w:val="-30"/>
        </w:rPr>
        <w:t xml:space="preserve"> </w:t>
      </w:r>
      <w:r>
        <w:rPr>
          <w:color w:val="2D74B5"/>
        </w:rPr>
        <w:t>Economic</w:t>
      </w:r>
      <w:r>
        <w:rPr>
          <w:color w:val="2D74B5"/>
          <w:spacing w:val="-30"/>
        </w:rPr>
        <w:t xml:space="preserve"> </w:t>
      </w:r>
      <w:r>
        <w:rPr>
          <w:color w:val="2D74B5"/>
        </w:rPr>
        <w:t>and</w:t>
      </w:r>
      <w:r>
        <w:rPr>
          <w:color w:val="2D74B5"/>
          <w:spacing w:val="-31"/>
        </w:rPr>
        <w:t xml:space="preserve"> </w:t>
      </w:r>
      <w:r>
        <w:rPr>
          <w:color w:val="2D74B5"/>
        </w:rPr>
        <w:t>working</w:t>
      </w:r>
      <w:r>
        <w:rPr>
          <w:color w:val="2D74B5"/>
          <w:spacing w:val="-32"/>
        </w:rPr>
        <w:t xml:space="preserve"> </w:t>
      </w:r>
      <w:r>
        <w:rPr>
          <w:color w:val="2D74B5"/>
        </w:rPr>
        <w:t>conditions</w:t>
      </w:r>
    </w:p>
    <w:p w:rsidR="000E5146" w:rsidRPr="000E5146" w:rsidRDefault="000E5146" w:rsidP="000E5146"/>
    <w:p w:rsidR="00CB223A" w:rsidRDefault="00CB223A" w:rsidP="00CB223A">
      <w:pPr>
        <w:pStyle w:val="BodyText"/>
        <w:spacing w:before="33" w:line="259" w:lineRule="auto"/>
        <w:ind w:left="100" w:right="173"/>
      </w:pPr>
      <w:r>
        <w:t>Bradford is renowned for its diversified economy with a mix of service, retail, and manufacturing industries, but has experienced some economic difficulties due to its high unemployment rate and low wages.</w:t>
      </w:r>
    </w:p>
    <w:p w:rsidR="00CB223A" w:rsidRDefault="00CB223A" w:rsidP="00CB223A">
      <w:pPr>
        <w:pStyle w:val="BodyText"/>
        <w:rPr>
          <w:sz w:val="20"/>
        </w:rPr>
      </w:pPr>
    </w:p>
    <w:p w:rsidR="00CB223A" w:rsidRDefault="00CB223A" w:rsidP="00CB223A">
      <w:pPr>
        <w:pStyle w:val="Heading1"/>
        <w:keepNext w:val="0"/>
        <w:keepLines w:val="0"/>
        <w:widowControl w:val="0"/>
        <w:numPr>
          <w:ilvl w:val="0"/>
          <w:numId w:val="7"/>
        </w:numPr>
        <w:tabs>
          <w:tab w:val="left" w:pos="891"/>
        </w:tabs>
        <w:autoSpaceDE w:val="0"/>
        <w:autoSpaceDN w:val="0"/>
        <w:spacing w:before="0" w:line="240" w:lineRule="auto"/>
        <w:ind w:left="891" w:hanging="431"/>
        <w:rPr>
          <w:color w:val="2D74B5"/>
          <w:w w:val="95"/>
        </w:rPr>
      </w:pPr>
      <w:bookmarkStart w:id="13" w:name="14._Healthy_Places:_Living_conditions"/>
      <w:bookmarkEnd w:id="13"/>
      <w:r>
        <w:rPr>
          <w:color w:val="2D74B5"/>
          <w:w w:val="95"/>
        </w:rPr>
        <w:t>Healthy Places: Living</w:t>
      </w:r>
      <w:r>
        <w:rPr>
          <w:color w:val="2D74B5"/>
          <w:spacing w:val="-57"/>
          <w:w w:val="95"/>
        </w:rPr>
        <w:t xml:space="preserve"> </w:t>
      </w:r>
      <w:r>
        <w:rPr>
          <w:color w:val="2D74B5"/>
          <w:w w:val="95"/>
        </w:rPr>
        <w:t>conditions</w:t>
      </w:r>
    </w:p>
    <w:p w:rsidR="000E5146" w:rsidRPr="000E5146" w:rsidRDefault="000E5146" w:rsidP="000E5146"/>
    <w:p w:rsidR="00CB223A" w:rsidRDefault="00CB223A" w:rsidP="00CB223A">
      <w:pPr>
        <w:pStyle w:val="BodyText"/>
        <w:spacing w:before="38"/>
        <w:ind w:left="100" w:right="207"/>
        <w:jc w:val="both"/>
      </w:pPr>
      <w:r>
        <w:t>Bradford</w:t>
      </w:r>
      <w:r>
        <w:rPr>
          <w:spacing w:val="-4"/>
        </w:rPr>
        <w:t xml:space="preserve"> </w:t>
      </w:r>
      <w:r>
        <w:t>offers</w:t>
      </w:r>
      <w:r>
        <w:rPr>
          <w:spacing w:val="-4"/>
        </w:rPr>
        <w:t xml:space="preserve"> </w:t>
      </w:r>
      <w:r>
        <w:t>affordable</w:t>
      </w:r>
      <w:r>
        <w:rPr>
          <w:spacing w:val="-3"/>
        </w:rPr>
        <w:t xml:space="preserve"> </w:t>
      </w:r>
      <w:r>
        <w:t>housing</w:t>
      </w:r>
      <w:r>
        <w:rPr>
          <w:spacing w:val="-2"/>
        </w:rPr>
        <w:t xml:space="preserve"> </w:t>
      </w:r>
      <w:r>
        <w:t>options,</w:t>
      </w:r>
      <w:r>
        <w:rPr>
          <w:spacing w:val="-3"/>
        </w:rPr>
        <w:t xml:space="preserve"> </w:t>
      </w:r>
      <w:r>
        <w:t>while</w:t>
      </w:r>
      <w:r>
        <w:rPr>
          <w:spacing w:val="-2"/>
        </w:rPr>
        <w:t xml:space="preserve"> </w:t>
      </w:r>
      <w:r>
        <w:t>Bristol</w:t>
      </w:r>
      <w:r>
        <w:rPr>
          <w:spacing w:val="1"/>
        </w:rPr>
        <w:t xml:space="preserve"> </w:t>
      </w:r>
      <w:r>
        <w:t>has</w:t>
      </w:r>
      <w:r>
        <w:rPr>
          <w:spacing w:val="-4"/>
        </w:rPr>
        <w:t xml:space="preserve"> </w:t>
      </w:r>
      <w:r>
        <w:t>a</w:t>
      </w:r>
      <w:r>
        <w:rPr>
          <w:spacing w:val="-4"/>
        </w:rPr>
        <w:t xml:space="preserve"> </w:t>
      </w:r>
      <w:r>
        <w:t>higher</w:t>
      </w:r>
      <w:r>
        <w:rPr>
          <w:spacing w:val="-4"/>
        </w:rPr>
        <w:t xml:space="preserve"> </w:t>
      </w:r>
      <w:r>
        <w:t>cost</w:t>
      </w:r>
      <w:r>
        <w:rPr>
          <w:spacing w:val="-2"/>
        </w:rPr>
        <w:t xml:space="preserve"> </w:t>
      </w:r>
      <w:r>
        <w:t>of</w:t>
      </w:r>
      <w:r>
        <w:rPr>
          <w:spacing w:val="-5"/>
        </w:rPr>
        <w:t xml:space="preserve"> </w:t>
      </w:r>
      <w:r>
        <w:t>living,</w:t>
      </w:r>
      <w:r>
        <w:rPr>
          <w:spacing w:val="-3"/>
        </w:rPr>
        <w:t xml:space="preserve"> </w:t>
      </w:r>
      <w:r>
        <w:t>making</w:t>
      </w:r>
      <w:r>
        <w:rPr>
          <w:spacing w:val="-2"/>
        </w:rPr>
        <w:t xml:space="preserve"> </w:t>
      </w:r>
      <w:r>
        <w:t>it</w:t>
      </w:r>
      <w:r>
        <w:rPr>
          <w:spacing w:val="-3"/>
        </w:rPr>
        <w:t xml:space="preserve"> </w:t>
      </w:r>
      <w:r>
        <w:t>difficult</w:t>
      </w:r>
      <w:r>
        <w:rPr>
          <w:spacing w:val="-1"/>
        </w:rPr>
        <w:t xml:space="preserve"> </w:t>
      </w:r>
      <w:r>
        <w:t>to find affordable</w:t>
      </w:r>
      <w:r>
        <w:rPr>
          <w:spacing w:val="-2"/>
        </w:rPr>
        <w:t xml:space="preserve"> </w:t>
      </w:r>
      <w:r>
        <w:t>housing.</w:t>
      </w:r>
    </w:p>
    <w:p w:rsidR="00CB223A" w:rsidRDefault="00CB223A" w:rsidP="00CB223A">
      <w:pPr>
        <w:pStyle w:val="BodyText"/>
        <w:spacing w:before="0"/>
        <w:rPr>
          <w:sz w:val="20"/>
        </w:rPr>
      </w:pPr>
    </w:p>
    <w:p w:rsidR="00CB223A" w:rsidRDefault="00CB223A" w:rsidP="00CB223A">
      <w:pPr>
        <w:pStyle w:val="BodyText"/>
        <w:spacing w:before="10"/>
        <w:rPr>
          <w:sz w:val="10"/>
        </w:rPr>
      </w:pPr>
    </w:p>
    <w:tbl>
      <w:tblPr>
        <w:tblW w:w="0" w:type="auto"/>
        <w:tblInd w:w="1513" w:type="dxa"/>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ayout w:type="fixed"/>
        <w:tblCellMar>
          <w:left w:w="0" w:type="dxa"/>
          <w:right w:w="0" w:type="dxa"/>
        </w:tblCellMar>
        <w:tblLook w:val="01E0"/>
      </w:tblPr>
      <w:tblGrid>
        <w:gridCol w:w="2181"/>
        <w:gridCol w:w="2181"/>
        <w:gridCol w:w="2181"/>
      </w:tblGrid>
      <w:tr w:rsidR="00CB223A" w:rsidTr="00A86CB9">
        <w:trPr>
          <w:trHeight w:val="231"/>
        </w:trPr>
        <w:tc>
          <w:tcPr>
            <w:tcW w:w="2181" w:type="dxa"/>
            <w:tcBorders>
              <w:top w:val="nil"/>
              <w:left w:val="nil"/>
              <w:right w:val="nil"/>
            </w:tcBorders>
          </w:tcPr>
          <w:p w:rsidR="00CB223A" w:rsidRDefault="00CB223A" w:rsidP="00A86CB9">
            <w:pPr>
              <w:pStyle w:val="TableParagraph"/>
              <w:spacing w:before="0" w:line="211" w:lineRule="exact"/>
              <w:ind w:left="624" w:right="627"/>
              <w:rPr>
                <w:b/>
                <w:i/>
                <w:sz w:val="20"/>
              </w:rPr>
            </w:pPr>
            <w:r>
              <w:rPr>
                <w:b/>
                <w:i/>
                <w:color w:val="2E5395"/>
                <w:sz w:val="20"/>
              </w:rPr>
              <w:t>Statistics</w:t>
            </w:r>
          </w:p>
        </w:tc>
        <w:tc>
          <w:tcPr>
            <w:tcW w:w="2181" w:type="dxa"/>
            <w:tcBorders>
              <w:top w:val="nil"/>
              <w:left w:val="nil"/>
              <w:right w:val="nil"/>
            </w:tcBorders>
          </w:tcPr>
          <w:p w:rsidR="00CB223A" w:rsidRDefault="00CB223A" w:rsidP="00A86CB9">
            <w:pPr>
              <w:pStyle w:val="TableParagraph"/>
              <w:spacing w:before="0" w:line="211" w:lineRule="exact"/>
              <w:ind w:left="624" w:right="623"/>
              <w:rPr>
                <w:b/>
                <w:sz w:val="20"/>
              </w:rPr>
            </w:pPr>
            <w:r>
              <w:rPr>
                <w:b/>
                <w:color w:val="2E5395"/>
                <w:sz w:val="20"/>
              </w:rPr>
              <w:t>Bradford</w:t>
            </w:r>
          </w:p>
        </w:tc>
        <w:tc>
          <w:tcPr>
            <w:tcW w:w="2181" w:type="dxa"/>
            <w:tcBorders>
              <w:top w:val="nil"/>
              <w:left w:val="nil"/>
              <w:right w:val="nil"/>
            </w:tcBorders>
          </w:tcPr>
          <w:p w:rsidR="00CB223A" w:rsidRDefault="00CB223A" w:rsidP="00A86CB9">
            <w:pPr>
              <w:pStyle w:val="TableParagraph"/>
              <w:spacing w:before="0" w:line="211" w:lineRule="exact"/>
              <w:ind w:left="624" w:right="624"/>
              <w:rPr>
                <w:b/>
                <w:sz w:val="20"/>
              </w:rPr>
            </w:pPr>
            <w:r>
              <w:rPr>
                <w:b/>
                <w:color w:val="2E5395"/>
                <w:sz w:val="20"/>
              </w:rPr>
              <w:t>Bristol</w:t>
            </w:r>
          </w:p>
        </w:tc>
      </w:tr>
      <w:tr w:rsidR="00CB223A" w:rsidTr="00A86CB9">
        <w:trPr>
          <w:trHeight w:val="255"/>
        </w:trPr>
        <w:tc>
          <w:tcPr>
            <w:tcW w:w="2181" w:type="dxa"/>
            <w:tcBorders>
              <w:left w:val="nil"/>
              <w:bottom w:val="nil"/>
            </w:tcBorders>
          </w:tcPr>
          <w:p w:rsidR="00CB223A" w:rsidRDefault="00CB223A" w:rsidP="00A86CB9">
            <w:pPr>
              <w:pStyle w:val="TableParagraph"/>
              <w:spacing w:before="18" w:line="218" w:lineRule="exact"/>
              <w:ind w:left="198" w:right="192"/>
              <w:rPr>
                <w:i/>
                <w:sz w:val="20"/>
              </w:rPr>
            </w:pPr>
            <w:r>
              <w:rPr>
                <w:i/>
                <w:color w:val="2E5395"/>
                <w:sz w:val="20"/>
              </w:rPr>
              <w:t>Population</w:t>
            </w:r>
          </w:p>
        </w:tc>
        <w:tc>
          <w:tcPr>
            <w:tcW w:w="2181" w:type="dxa"/>
            <w:shd w:val="clear" w:color="auto" w:fill="D9E1F3"/>
          </w:tcPr>
          <w:p w:rsidR="00CB223A" w:rsidRDefault="00CB223A" w:rsidP="00A86CB9">
            <w:pPr>
              <w:pStyle w:val="TableParagraph"/>
              <w:spacing w:before="18" w:line="218" w:lineRule="exact"/>
              <w:rPr>
                <w:sz w:val="20"/>
              </w:rPr>
            </w:pPr>
            <w:r>
              <w:rPr>
                <w:color w:val="2E5395"/>
                <w:sz w:val="20"/>
              </w:rPr>
              <w:t>534,300</w:t>
            </w:r>
          </w:p>
        </w:tc>
        <w:tc>
          <w:tcPr>
            <w:tcW w:w="2181" w:type="dxa"/>
            <w:shd w:val="clear" w:color="auto" w:fill="D9E1F3"/>
          </w:tcPr>
          <w:p w:rsidR="00CB223A" w:rsidRDefault="00CB223A" w:rsidP="00A86CB9">
            <w:pPr>
              <w:pStyle w:val="TableParagraph"/>
              <w:spacing w:before="18" w:line="218" w:lineRule="exact"/>
              <w:rPr>
                <w:sz w:val="20"/>
              </w:rPr>
            </w:pPr>
            <w:r>
              <w:rPr>
                <w:color w:val="2E5395"/>
                <w:sz w:val="20"/>
              </w:rPr>
              <w:t>467,099</w:t>
            </w:r>
          </w:p>
        </w:tc>
      </w:tr>
      <w:tr w:rsidR="00CB223A" w:rsidTr="00A86CB9">
        <w:trPr>
          <w:trHeight w:val="459"/>
        </w:trPr>
        <w:tc>
          <w:tcPr>
            <w:tcW w:w="2181" w:type="dxa"/>
            <w:tcBorders>
              <w:top w:val="nil"/>
              <w:left w:val="nil"/>
              <w:bottom w:val="nil"/>
            </w:tcBorders>
          </w:tcPr>
          <w:p w:rsidR="00CB223A" w:rsidRDefault="00CB223A" w:rsidP="00A86CB9">
            <w:pPr>
              <w:pStyle w:val="TableParagraph"/>
              <w:spacing w:before="2" w:line="230" w:lineRule="atLeast"/>
              <w:ind w:left="810" w:right="0" w:hanging="390"/>
              <w:jc w:val="left"/>
              <w:rPr>
                <w:i/>
                <w:sz w:val="20"/>
              </w:rPr>
            </w:pPr>
            <w:r>
              <w:rPr>
                <w:i/>
                <w:color w:val="2E5395"/>
                <w:sz w:val="20"/>
              </w:rPr>
              <w:t>Crime rate (per 1,000)</w:t>
            </w:r>
          </w:p>
        </w:tc>
        <w:tc>
          <w:tcPr>
            <w:tcW w:w="2181" w:type="dxa"/>
          </w:tcPr>
          <w:p w:rsidR="00CB223A" w:rsidRDefault="00CB223A" w:rsidP="00A86CB9">
            <w:pPr>
              <w:pStyle w:val="TableParagraph"/>
              <w:ind w:left="645"/>
              <w:rPr>
                <w:sz w:val="20"/>
              </w:rPr>
            </w:pPr>
            <w:r>
              <w:rPr>
                <w:color w:val="2E5395"/>
                <w:sz w:val="20"/>
              </w:rPr>
              <w:t>100.5</w:t>
            </w:r>
          </w:p>
        </w:tc>
        <w:tc>
          <w:tcPr>
            <w:tcW w:w="2181" w:type="dxa"/>
          </w:tcPr>
          <w:p w:rsidR="00CB223A" w:rsidRDefault="00CB223A" w:rsidP="00A86CB9">
            <w:pPr>
              <w:pStyle w:val="TableParagraph"/>
              <w:ind w:left="646"/>
              <w:rPr>
                <w:sz w:val="20"/>
              </w:rPr>
            </w:pPr>
            <w:r>
              <w:rPr>
                <w:color w:val="2E5395"/>
                <w:sz w:val="20"/>
              </w:rPr>
              <w:t>67.2</w:t>
            </w:r>
          </w:p>
        </w:tc>
      </w:tr>
      <w:tr w:rsidR="00CB223A" w:rsidTr="00A86CB9">
        <w:trPr>
          <w:trHeight w:val="253"/>
        </w:trPr>
        <w:tc>
          <w:tcPr>
            <w:tcW w:w="2181" w:type="dxa"/>
            <w:tcBorders>
              <w:top w:val="nil"/>
              <w:left w:val="nil"/>
              <w:bottom w:val="nil"/>
            </w:tcBorders>
          </w:tcPr>
          <w:p w:rsidR="00CB223A" w:rsidRDefault="00CB223A" w:rsidP="00A86CB9">
            <w:pPr>
              <w:pStyle w:val="TableParagraph"/>
              <w:spacing w:before="15" w:line="218" w:lineRule="exact"/>
              <w:ind w:left="196" w:right="192"/>
              <w:rPr>
                <w:i/>
                <w:sz w:val="20"/>
              </w:rPr>
            </w:pPr>
            <w:r>
              <w:rPr>
                <w:i/>
                <w:color w:val="2E5395"/>
                <w:sz w:val="20"/>
              </w:rPr>
              <w:t>Average salary</w:t>
            </w:r>
          </w:p>
        </w:tc>
        <w:tc>
          <w:tcPr>
            <w:tcW w:w="2181" w:type="dxa"/>
            <w:shd w:val="clear" w:color="auto" w:fill="D9E1F3"/>
          </w:tcPr>
          <w:p w:rsidR="00CB223A" w:rsidRDefault="00CB223A" w:rsidP="00A86CB9">
            <w:pPr>
              <w:pStyle w:val="TableParagraph"/>
              <w:spacing w:before="15" w:line="218" w:lineRule="exact"/>
              <w:rPr>
                <w:sz w:val="20"/>
              </w:rPr>
            </w:pPr>
            <w:r>
              <w:rPr>
                <w:color w:val="2E5395"/>
                <w:sz w:val="20"/>
              </w:rPr>
              <w:t>£25,086</w:t>
            </w:r>
          </w:p>
        </w:tc>
        <w:tc>
          <w:tcPr>
            <w:tcW w:w="2181" w:type="dxa"/>
            <w:shd w:val="clear" w:color="auto" w:fill="D9E1F3"/>
          </w:tcPr>
          <w:p w:rsidR="00CB223A" w:rsidRDefault="00CB223A" w:rsidP="00A86CB9">
            <w:pPr>
              <w:pStyle w:val="TableParagraph"/>
              <w:spacing w:before="15" w:line="218" w:lineRule="exact"/>
              <w:rPr>
                <w:sz w:val="20"/>
              </w:rPr>
            </w:pPr>
            <w:r>
              <w:rPr>
                <w:color w:val="2E5395"/>
                <w:sz w:val="20"/>
              </w:rPr>
              <w:t>£30,998</w:t>
            </w:r>
          </w:p>
        </w:tc>
      </w:tr>
      <w:tr w:rsidR="00CB223A" w:rsidTr="00A86CB9">
        <w:trPr>
          <w:trHeight w:val="255"/>
        </w:trPr>
        <w:tc>
          <w:tcPr>
            <w:tcW w:w="2181" w:type="dxa"/>
            <w:tcBorders>
              <w:top w:val="nil"/>
              <w:left w:val="nil"/>
              <w:bottom w:val="nil"/>
            </w:tcBorders>
          </w:tcPr>
          <w:p w:rsidR="00CB223A" w:rsidRDefault="00CB223A" w:rsidP="00A86CB9">
            <w:pPr>
              <w:pStyle w:val="TableParagraph"/>
              <w:spacing w:before="17" w:line="218" w:lineRule="exact"/>
              <w:ind w:left="198" w:right="192"/>
              <w:rPr>
                <w:i/>
                <w:sz w:val="20"/>
              </w:rPr>
            </w:pPr>
            <w:r>
              <w:rPr>
                <w:i/>
                <w:color w:val="2E5395"/>
                <w:sz w:val="20"/>
              </w:rPr>
              <w:t>Unemployment rate</w:t>
            </w:r>
          </w:p>
        </w:tc>
        <w:tc>
          <w:tcPr>
            <w:tcW w:w="2181" w:type="dxa"/>
          </w:tcPr>
          <w:p w:rsidR="00CB223A" w:rsidRDefault="00CB223A" w:rsidP="00A86CB9">
            <w:pPr>
              <w:pStyle w:val="TableParagraph"/>
              <w:spacing w:before="17" w:line="218" w:lineRule="exact"/>
              <w:ind w:right="645"/>
              <w:rPr>
                <w:sz w:val="20"/>
              </w:rPr>
            </w:pPr>
            <w:r>
              <w:rPr>
                <w:color w:val="2E5395"/>
                <w:sz w:val="20"/>
              </w:rPr>
              <w:t>7.70%</w:t>
            </w:r>
          </w:p>
        </w:tc>
        <w:tc>
          <w:tcPr>
            <w:tcW w:w="2181" w:type="dxa"/>
          </w:tcPr>
          <w:p w:rsidR="00CB223A" w:rsidRDefault="00CB223A" w:rsidP="00A86CB9">
            <w:pPr>
              <w:pStyle w:val="TableParagraph"/>
              <w:spacing w:before="17" w:line="218" w:lineRule="exact"/>
              <w:ind w:right="646"/>
              <w:rPr>
                <w:sz w:val="20"/>
              </w:rPr>
            </w:pPr>
            <w:r>
              <w:rPr>
                <w:color w:val="2E5395"/>
                <w:sz w:val="20"/>
              </w:rPr>
              <w:t>4.70%</w:t>
            </w:r>
          </w:p>
        </w:tc>
      </w:tr>
      <w:tr w:rsidR="00CB223A" w:rsidTr="00A86CB9">
        <w:trPr>
          <w:trHeight w:val="457"/>
        </w:trPr>
        <w:tc>
          <w:tcPr>
            <w:tcW w:w="2181" w:type="dxa"/>
            <w:tcBorders>
              <w:top w:val="nil"/>
              <w:left w:val="nil"/>
              <w:bottom w:val="nil"/>
            </w:tcBorders>
          </w:tcPr>
          <w:p w:rsidR="00CB223A" w:rsidRDefault="00CB223A" w:rsidP="00A86CB9">
            <w:pPr>
              <w:pStyle w:val="TableParagraph"/>
              <w:spacing w:before="2" w:line="230" w:lineRule="atLeast"/>
              <w:ind w:left="875" w:right="0" w:hanging="550"/>
              <w:jc w:val="left"/>
              <w:rPr>
                <w:i/>
                <w:sz w:val="20"/>
              </w:rPr>
            </w:pPr>
            <w:r>
              <w:rPr>
                <w:i/>
                <w:color w:val="2E5395"/>
                <w:sz w:val="20"/>
              </w:rPr>
              <w:t>Average property price</w:t>
            </w:r>
          </w:p>
        </w:tc>
        <w:tc>
          <w:tcPr>
            <w:tcW w:w="2181" w:type="dxa"/>
            <w:tcBorders>
              <w:bottom w:val="single" w:sz="6" w:space="0" w:color="8EAADB"/>
            </w:tcBorders>
            <w:shd w:val="clear" w:color="auto" w:fill="D9E1F3"/>
          </w:tcPr>
          <w:p w:rsidR="00CB223A" w:rsidRDefault="00CB223A" w:rsidP="00A86CB9">
            <w:pPr>
              <w:pStyle w:val="TableParagraph"/>
              <w:rPr>
                <w:sz w:val="20"/>
              </w:rPr>
            </w:pPr>
            <w:r>
              <w:rPr>
                <w:color w:val="2E5395"/>
                <w:sz w:val="20"/>
              </w:rPr>
              <w:t>£152,064</w:t>
            </w:r>
          </w:p>
        </w:tc>
        <w:tc>
          <w:tcPr>
            <w:tcW w:w="2181" w:type="dxa"/>
            <w:tcBorders>
              <w:bottom w:val="single" w:sz="6" w:space="0" w:color="8EAADB"/>
            </w:tcBorders>
            <w:shd w:val="clear" w:color="auto" w:fill="D9E1F3"/>
          </w:tcPr>
          <w:p w:rsidR="00CB223A" w:rsidRDefault="00CB223A" w:rsidP="00A86CB9">
            <w:pPr>
              <w:pStyle w:val="TableParagraph"/>
              <w:ind w:left="647"/>
              <w:rPr>
                <w:sz w:val="20"/>
              </w:rPr>
            </w:pPr>
            <w:r>
              <w:rPr>
                <w:color w:val="2E5395"/>
                <w:sz w:val="20"/>
              </w:rPr>
              <w:t>£305,000</w:t>
            </w:r>
          </w:p>
        </w:tc>
      </w:tr>
      <w:tr w:rsidR="00CB223A" w:rsidTr="00A86CB9">
        <w:trPr>
          <w:trHeight w:val="503"/>
        </w:trPr>
        <w:tc>
          <w:tcPr>
            <w:tcW w:w="2181" w:type="dxa"/>
            <w:tcBorders>
              <w:top w:val="nil"/>
              <w:left w:val="nil"/>
              <w:bottom w:val="nil"/>
            </w:tcBorders>
          </w:tcPr>
          <w:p w:rsidR="00CB223A" w:rsidRDefault="00CB223A" w:rsidP="00A86CB9">
            <w:pPr>
              <w:pStyle w:val="TableParagraph"/>
              <w:spacing w:before="21"/>
              <w:ind w:left="825" w:right="0" w:hanging="525"/>
              <w:jc w:val="left"/>
              <w:rPr>
                <w:i/>
                <w:sz w:val="20"/>
              </w:rPr>
            </w:pPr>
            <w:r>
              <w:rPr>
                <w:i/>
                <w:color w:val="2E5395"/>
                <w:sz w:val="20"/>
              </w:rPr>
              <w:t>Green spaces per capita</w:t>
            </w:r>
          </w:p>
        </w:tc>
        <w:tc>
          <w:tcPr>
            <w:tcW w:w="2181" w:type="dxa"/>
            <w:tcBorders>
              <w:top w:val="single" w:sz="6" w:space="0" w:color="8EAADB"/>
            </w:tcBorders>
          </w:tcPr>
          <w:p w:rsidR="00CB223A" w:rsidRDefault="00CB223A" w:rsidP="00A86CB9">
            <w:pPr>
              <w:pStyle w:val="TableParagraph"/>
              <w:spacing w:before="136"/>
              <w:ind w:left="645"/>
              <w:rPr>
                <w:sz w:val="20"/>
              </w:rPr>
            </w:pPr>
            <w:r>
              <w:rPr>
                <w:color w:val="2E5395"/>
                <w:sz w:val="20"/>
              </w:rPr>
              <w:t>3.3</w:t>
            </w:r>
          </w:p>
        </w:tc>
        <w:tc>
          <w:tcPr>
            <w:tcW w:w="2181" w:type="dxa"/>
            <w:tcBorders>
              <w:top w:val="single" w:sz="6" w:space="0" w:color="8EAADB"/>
            </w:tcBorders>
          </w:tcPr>
          <w:p w:rsidR="00CB223A" w:rsidRDefault="00CB223A" w:rsidP="00A86CB9">
            <w:pPr>
              <w:pStyle w:val="TableParagraph"/>
              <w:spacing w:before="136"/>
              <w:ind w:left="645"/>
              <w:rPr>
                <w:sz w:val="20"/>
              </w:rPr>
            </w:pPr>
            <w:r>
              <w:rPr>
                <w:color w:val="2E5395"/>
                <w:sz w:val="20"/>
              </w:rPr>
              <w:t>4.1</w:t>
            </w:r>
          </w:p>
        </w:tc>
      </w:tr>
      <w:tr w:rsidR="00CB223A" w:rsidTr="00A86CB9">
        <w:trPr>
          <w:trHeight w:val="510"/>
        </w:trPr>
        <w:tc>
          <w:tcPr>
            <w:tcW w:w="2181" w:type="dxa"/>
            <w:tcBorders>
              <w:top w:val="nil"/>
              <w:left w:val="nil"/>
              <w:bottom w:val="nil"/>
            </w:tcBorders>
          </w:tcPr>
          <w:p w:rsidR="00CB223A" w:rsidRDefault="00CB223A" w:rsidP="00A86CB9">
            <w:pPr>
              <w:pStyle w:val="TableParagraph"/>
              <w:spacing w:before="27"/>
              <w:ind w:left="645" w:right="253" w:hanging="365"/>
              <w:jc w:val="left"/>
              <w:rPr>
                <w:i/>
                <w:sz w:val="20"/>
              </w:rPr>
            </w:pPr>
            <w:r>
              <w:rPr>
                <w:i/>
                <w:color w:val="2E5395"/>
                <w:sz w:val="20"/>
              </w:rPr>
              <w:t>Average commute time (min)</w:t>
            </w:r>
          </w:p>
        </w:tc>
        <w:tc>
          <w:tcPr>
            <w:tcW w:w="2181" w:type="dxa"/>
            <w:shd w:val="clear" w:color="auto" w:fill="D9E1F3"/>
          </w:tcPr>
          <w:p w:rsidR="00CB223A" w:rsidRDefault="00CB223A" w:rsidP="00A86CB9">
            <w:pPr>
              <w:pStyle w:val="TableParagraph"/>
              <w:spacing w:before="142"/>
              <w:ind w:left="647"/>
              <w:rPr>
                <w:sz w:val="20"/>
              </w:rPr>
            </w:pPr>
            <w:r>
              <w:rPr>
                <w:color w:val="2E5395"/>
                <w:sz w:val="20"/>
              </w:rPr>
              <w:t>23</w:t>
            </w:r>
          </w:p>
        </w:tc>
        <w:tc>
          <w:tcPr>
            <w:tcW w:w="2181" w:type="dxa"/>
            <w:shd w:val="clear" w:color="auto" w:fill="D9E1F3"/>
          </w:tcPr>
          <w:p w:rsidR="00CB223A" w:rsidRDefault="00CB223A" w:rsidP="00A86CB9">
            <w:pPr>
              <w:pStyle w:val="TableParagraph"/>
              <w:spacing w:before="142"/>
              <w:ind w:left="647"/>
              <w:rPr>
                <w:sz w:val="20"/>
              </w:rPr>
            </w:pPr>
            <w:r>
              <w:rPr>
                <w:color w:val="2E5395"/>
                <w:sz w:val="20"/>
              </w:rPr>
              <w:t>28</w:t>
            </w:r>
          </w:p>
        </w:tc>
      </w:tr>
    </w:tbl>
    <w:p w:rsidR="00CB223A" w:rsidRDefault="00CB223A" w:rsidP="00CB223A">
      <w:pPr>
        <w:rPr>
          <w:sz w:val="20"/>
        </w:rPr>
        <w:sectPr w:rsidR="00CB223A">
          <w:pgSz w:w="12240" w:h="15840"/>
          <w:pgMar w:top="1420" w:right="1360" w:bottom="280" w:left="1340" w:header="720" w:footer="720" w:gutter="0"/>
          <w:cols w:space="720"/>
        </w:sectPr>
      </w:pPr>
    </w:p>
    <w:p w:rsidR="00CB223A" w:rsidRDefault="00CB223A" w:rsidP="00CB223A">
      <w:pPr>
        <w:pStyle w:val="BodyText"/>
        <w:spacing w:before="0"/>
        <w:rPr>
          <w:sz w:val="14"/>
        </w:rPr>
      </w:pPr>
    </w:p>
    <w:p w:rsidR="00CB223A" w:rsidRDefault="00CB223A" w:rsidP="00CB223A">
      <w:pPr>
        <w:pStyle w:val="BodyText"/>
        <w:spacing w:before="8"/>
        <w:rPr>
          <w:sz w:val="20"/>
        </w:rPr>
      </w:pPr>
    </w:p>
    <w:p w:rsidR="00CB223A" w:rsidRDefault="00CB223A" w:rsidP="00CB223A">
      <w:pPr>
        <w:spacing w:before="1"/>
        <w:ind w:left="2137" w:right="1553"/>
        <w:jc w:val="center"/>
        <w:rPr>
          <w:rFonts w:ascii="Times New Roman"/>
          <w:sz w:val="14"/>
        </w:rPr>
      </w:pPr>
      <w:r>
        <w:rPr>
          <w:noProof/>
        </w:rPr>
        <w:drawing>
          <wp:anchor distT="0" distB="0" distL="0" distR="0" simplePos="0" relativeHeight="251659264" behindDoc="0" locked="0" layoutInCell="1" allowOverlap="1">
            <wp:simplePos x="0" y="0"/>
            <wp:positionH relativeFrom="page">
              <wp:posOffset>3096369</wp:posOffset>
            </wp:positionH>
            <wp:positionV relativeFrom="paragraph">
              <wp:posOffset>122581</wp:posOffset>
            </wp:positionV>
            <wp:extent cx="452809" cy="1210933"/>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452809" cy="1210933"/>
                    </a:xfrm>
                    <a:prstGeom prst="rect">
                      <a:avLst/>
                    </a:prstGeom>
                  </pic:spPr>
                </pic:pic>
              </a:graphicData>
            </a:graphic>
          </wp:anchor>
        </w:drawing>
      </w:r>
      <w:r>
        <w:rPr>
          <w:rFonts w:ascii="Times New Roman"/>
          <w:color w:val="595959"/>
          <w:w w:val="90"/>
          <w:sz w:val="14"/>
        </w:rPr>
        <w:t>*40,</w:t>
      </w:r>
      <w:r>
        <w:rPr>
          <w:rFonts w:ascii="Times New Roman"/>
          <w:color w:val="595959"/>
          <w:spacing w:val="-8"/>
          <w:w w:val="90"/>
          <w:sz w:val="14"/>
        </w:rPr>
        <w:t xml:space="preserve"> </w:t>
      </w:r>
      <w:r>
        <w:rPr>
          <w:rFonts w:ascii="Times New Roman"/>
          <w:color w:val="595959"/>
          <w:w w:val="90"/>
          <w:sz w:val="14"/>
        </w:rPr>
        <w:t>000</w:t>
      </w:r>
    </w:p>
    <w:p w:rsidR="00CB223A" w:rsidRDefault="00CB223A" w:rsidP="00CB223A">
      <w:pPr>
        <w:pStyle w:val="BodyText"/>
        <w:rPr>
          <w:rFonts w:ascii="Times New Roman"/>
          <w:sz w:val="16"/>
        </w:rPr>
      </w:pPr>
    </w:p>
    <w:p w:rsidR="00CB223A" w:rsidRDefault="00CB223A" w:rsidP="00CB223A">
      <w:pPr>
        <w:ind w:left="2137" w:right="1560"/>
        <w:jc w:val="center"/>
        <w:rPr>
          <w:rFonts w:ascii="Courier New"/>
          <w:sz w:val="14"/>
        </w:rPr>
      </w:pPr>
      <w:r>
        <w:rPr>
          <w:rFonts w:ascii="Courier New"/>
          <w:color w:val="595959"/>
          <w:w w:val="85"/>
          <w:sz w:val="14"/>
        </w:rPr>
        <w:t>520.000</w:t>
      </w:r>
    </w:p>
    <w:p w:rsidR="00CB223A" w:rsidRDefault="00CB223A" w:rsidP="00CB223A">
      <w:pPr>
        <w:pStyle w:val="BodyText"/>
        <w:spacing w:before="6"/>
        <w:rPr>
          <w:rFonts w:ascii="Courier New"/>
          <w:sz w:val="15"/>
        </w:rPr>
      </w:pPr>
    </w:p>
    <w:p w:rsidR="00CB223A" w:rsidRDefault="00CB223A" w:rsidP="00CB223A">
      <w:pPr>
        <w:ind w:left="2137" w:right="1560"/>
        <w:jc w:val="center"/>
        <w:rPr>
          <w:rFonts w:ascii="Courier New"/>
          <w:sz w:val="14"/>
        </w:rPr>
      </w:pPr>
      <w:r>
        <w:rPr>
          <w:rFonts w:ascii="Courier New"/>
          <w:color w:val="595959"/>
          <w:w w:val="85"/>
          <w:sz w:val="14"/>
        </w:rPr>
        <w:t>500.000</w:t>
      </w:r>
    </w:p>
    <w:p w:rsidR="00CB223A" w:rsidRDefault="00CB223A" w:rsidP="00CB223A">
      <w:pPr>
        <w:pStyle w:val="BodyText"/>
        <w:spacing w:before="1"/>
        <w:rPr>
          <w:rFonts w:ascii="Courier New"/>
          <w:sz w:val="15"/>
        </w:rPr>
      </w:pPr>
    </w:p>
    <w:p w:rsidR="00CB223A" w:rsidRDefault="00CB223A" w:rsidP="00CB223A">
      <w:pPr>
        <w:spacing w:before="1"/>
        <w:ind w:left="2137" w:right="1555"/>
        <w:jc w:val="center"/>
        <w:rPr>
          <w:rFonts w:ascii="Times New Roman"/>
          <w:sz w:val="13"/>
        </w:rPr>
      </w:pPr>
      <w:r>
        <w:rPr>
          <w:rFonts w:ascii="Times New Roman"/>
          <w:color w:val="595959"/>
          <w:w w:val="95"/>
          <w:sz w:val="13"/>
        </w:rPr>
        <w:t>4B0,</w:t>
      </w:r>
      <w:r>
        <w:rPr>
          <w:rFonts w:ascii="Times New Roman"/>
          <w:color w:val="595959"/>
          <w:spacing w:val="-16"/>
          <w:w w:val="95"/>
          <w:sz w:val="13"/>
        </w:rPr>
        <w:t xml:space="preserve"> </w:t>
      </w:r>
      <w:r>
        <w:rPr>
          <w:rFonts w:ascii="Times New Roman"/>
          <w:color w:val="595959"/>
          <w:w w:val="95"/>
          <w:sz w:val="13"/>
        </w:rPr>
        <w:t>000</w:t>
      </w:r>
    </w:p>
    <w:p w:rsidR="00CB223A" w:rsidRDefault="00CB223A" w:rsidP="00CB223A">
      <w:pPr>
        <w:pStyle w:val="BodyText"/>
        <w:rPr>
          <w:rFonts w:ascii="Times New Roman"/>
          <w:sz w:val="15"/>
        </w:rPr>
      </w:pPr>
    </w:p>
    <w:p w:rsidR="00CB223A" w:rsidRDefault="00CB223A" w:rsidP="00CB223A">
      <w:pPr>
        <w:ind w:left="2137" w:right="1558"/>
        <w:jc w:val="center"/>
        <w:rPr>
          <w:rFonts w:ascii="Times New Roman"/>
          <w:sz w:val="14"/>
        </w:rPr>
      </w:pPr>
      <w:r>
        <w:rPr>
          <w:rFonts w:ascii="Times New Roman"/>
          <w:color w:val="595959"/>
          <w:sz w:val="14"/>
        </w:rPr>
        <w:t>460,000</w:t>
      </w:r>
    </w:p>
    <w:p w:rsidR="00CB223A" w:rsidRDefault="00CB223A" w:rsidP="00CB223A">
      <w:pPr>
        <w:pStyle w:val="BodyText"/>
        <w:spacing w:before="4"/>
        <w:rPr>
          <w:rFonts w:ascii="Times New Roman"/>
          <w:sz w:val="15"/>
        </w:rPr>
      </w:pPr>
    </w:p>
    <w:p w:rsidR="00CB223A" w:rsidRDefault="00CB223A" w:rsidP="00CB223A">
      <w:pPr>
        <w:ind w:left="2130" w:right="1566"/>
        <w:jc w:val="center"/>
        <w:rPr>
          <w:rFonts w:ascii="Courier New"/>
          <w:sz w:val="14"/>
        </w:rPr>
      </w:pPr>
      <w:r>
        <w:rPr>
          <w:rFonts w:ascii="Courier New"/>
          <w:color w:val="595959"/>
          <w:w w:val="85"/>
          <w:sz w:val="14"/>
        </w:rPr>
        <w:t>440.000</w:t>
      </w:r>
    </w:p>
    <w:p w:rsidR="00CB223A" w:rsidRDefault="00CB223A" w:rsidP="00CB223A">
      <w:pPr>
        <w:spacing w:before="100"/>
        <w:ind w:left="45"/>
        <w:rPr>
          <w:rFonts w:ascii="Times New Roman"/>
          <w:sz w:val="20"/>
        </w:rPr>
      </w:pPr>
      <w:r>
        <w:br w:type="column"/>
      </w:r>
      <w:r>
        <w:rPr>
          <w:rFonts w:ascii="Times New Roman"/>
          <w:color w:val="595959"/>
          <w:sz w:val="20"/>
        </w:rPr>
        <w:lastRenderedPageBreak/>
        <w:t>Population</w:t>
      </w:r>
    </w:p>
    <w:p w:rsidR="00CB223A" w:rsidRDefault="00CB223A" w:rsidP="00CB223A">
      <w:pPr>
        <w:rPr>
          <w:rFonts w:ascii="Times New Roman"/>
          <w:sz w:val="20"/>
        </w:rPr>
        <w:sectPr w:rsidR="00CB223A">
          <w:pgSz w:w="12240" w:h="15840"/>
          <w:pgMar w:top="1500" w:right="1360" w:bottom="280" w:left="1340" w:header="720" w:footer="720" w:gutter="0"/>
          <w:cols w:num="2" w:space="720" w:equalWidth="0">
            <w:col w:w="4250" w:space="40"/>
            <w:col w:w="5250"/>
          </w:cols>
        </w:sectPr>
      </w:pPr>
    </w:p>
    <w:p w:rsidR="00CB223A" w:rsidRDefault="00CB223A" w:rsidP="00CB223A">
      <w:pPr>
        <w:pStyle w:val="BodyText"/>
        <w:spacing w:before="10"/>
        <w:rPr>
          <w:rFonts w:ascii="Times New Roman"/>
          <w:sz w:val="14"/>
        </w:rPr>
      </w:pPr>
    </w:p>
    <w:p w:rsidR="00CB223A" w:rsidRDefault="00CB223A" w:rsidP="00CB223A">
      <w:pPr>
        <w:jc w:val="right"/>
        <w:rPr>
          <w:rFonts w:ascii="Times New Roman"/>
          <w:sz w:val="13"/>
        </w:rPr>
      </w:pPr>
      <w:r>
        <w:rPr>
          <w:rFonts w:ascii="Times New Roman"/>
          <w:color w:val="595959"/>
          <w:sz w:val="13"/>
        </w:rPr>
        <w:t>420, 000</w:t>
      </w:r>
    </w:p>
    <w:p w:rsidR="00CB223A" w:rsidRDefault="00CB223A" w:rsidP="00CB223A">
      <w:pPr>
        <w:pStyle w:val="BodyText"/>
        <w:spacing w:before="0"/>
        <w:rPr>
          <w:rFonts w:ascii="Times New Roman"/>
          <w:sz w:val="16"/>
        </w:rPr>
      </w:pPr>
      <w:r>
        <w:br w:type="column"/>
      </w:r>
    </w:p>
    <w:p w:rsidR="00CB223A" w:rsidRDefault="00CB223A" w:rsidP="00CB223A">
      <w:pPr>
        <w:pStyle w:val="BodyText"/>
        <w:spacing w:before="6"/>
        <w:rPr>
          <w:rFonts w:ascii="Times New Roman"/>
          <w:sz w:val="13"/>
        </w:rPr>
      </w:pPr>
    </w:p>
    <w:p w:rsidR="00CB223A" w:rsidRDefault="00CB223A" w:rsidP="00CB223A">
      <w:pPr>
        <w:tabs>
          <w:tab w:val="left" w:pos="2265"/>
        </w:tabs>
        <w:ind w:right="2153"/>
        <w:jc w:val="center"/>
        <w:rPr>
          <w:rFonts w:ascii="Courier New"/>
          <w:sz w:val="14"/>
        </w:rPr>
      </w:pPr>
      <w:r>
        <w:rPr>
          <w:noProof/>
        </w:rPr>
        <w:drawing>
          <wp:anchor distT="0" distB="0" distL="0" distR="0" simplePos="0" relativeHeight="251660288" behindDoc="0" locked="0" layoutInCell="1" allowOverlap="1">
            <wp:simplePos x="0" y="0"/>
            <wp:positionH relativeFrom="page">
              <wp:posOffset>4532623</wp:posOffset>
            </wp:positionH>
            <wp:positionV relativeFrom="paragraph">
              <wp:posOffset>-543323</wp:posOffset>
            </wp:positionV>
            <wp:extent cx="452809" cy="495703"/>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cstate="print"/>
                    <a:stretch>
                      <a:fillRect/>
                    </a:stretch>
                  </pic:blipFill>
                  <pic:spPr>
                    <a:xfrm>
                      <a:off x="0" y="0"/>
                      <a:ext cx="452809" cy="495703"/>
                    </a:xfrm>
                    <a:prstGeom prst="rect">
                      <a:avLst/>
                    </a:prstGeom>
                  </pic:spPr>
                </pic:pic>
              </a:graphicData>
            </a:graphic>
          </wp:anchor>
        </w:drawing>
      </w:r>
      <w:r>
        <w:rPr>
          <w:rFonts w:ascii="Arial"/>
          <w:color w:val="595959"/>
          <w:sz w:val="14"/>
        </w:rPr>
        <w:t>1</w:t>
      </w:r>
      <w:r>
        <w:rPr>
          <w:rFonts w:ascii="Arial"/>
          <w:color w:val="595959"/>
          <w:sz w:val="14"/>
        </w:rPr>
        <w:tab/>
      </w:r>
      <w:r>
        <w:rPr>
          <w:rFonts w:ascii="Courier New"/>
          <w:color w:val="595959"/>
          <w:sz w:val="14"/>
        </w:rPr>
        <w:t>2</w:t>
      </w:r>
    </w:p>
    <w:p w:rsidR="00CB223A" w:rsidRDefault="00CB223A" w:rsidP="00CB223A">
      <w:pPr>
        <w:spacing w:before="62"/>
        <w:ind w:right="2233"/>
        <w:jc w:val="center"/>
        <w:rPr>
          <w:rFonts w:ascii="Times New Roman" w:hAnsi="Times New Roman"/>
          <w:sz w:val="14"/>
        </w:rPr>
      </w:pPr>
      <w:r>
        <w:rPr>
          <w:rFonts w:ascii="Times New Roman" w:hAnsi="Times New Roman"/>
          <w:color w:val="595959"/>
          <w:sz w:val="14"/>
        </w:rPr>
        <w:t>City [Bradford/’Bristo</w:t>
      </w:r>
      <w:r w:rsidR="00F24EED">
        <w:rPr>
          <w:rFonts w:ascii="Times New Roman" w:hAnsi="Times New Roman"/>
          <w:color w:val="595959"/>
          <w:sz w:val="14"/>
        </w:rPr>
        <w:t>l</w:t>
      </w:r>
    </w:p>
    <w:p w:rsidR="00CB223A" w:rsidRDefault="00CB223A" w:rsidP="00CB223A">
      <w:pPr>
        <w:jc w:val="center"/>
        <w:rPr>
          <w:rFonts w:ascii="Times New Roman" w:hAnsi="Times New Roman"/>
          <w:sz w:val="14"/>
        </w:rPr>
        <w:sectPr w:rsidR="00CB223A">
          <w:type w:val="continuous"/>
          <w:pgSz w:w="12240" w:h="15840"/>
          <w:pgMar w:top="1500" w:right="1360" w:bottom="280" w:left="1340" w:header="720" w:footer="720" w:gutter="0"/>
          <w:cols w:num="2" w:space="720" w:equalWidth="0">
            <w:col w:w="2635" w:space="40"/>
            <w:col w:w="6865"/>
          </w:cols>
        </w:sectPr>
      </w:pPr>
    </w:p>
    <w:p w:rsidR="00255DD2" w:rsidRPr="00743813" w:rsidRDefault="00743813" w:rsidP="00743813">
      <w:pPr>
        <w:pStyle w:val="Heading1"/>
        <w:spacing w:before="61"/>
        <w:ind w:right="3735"/>
      </w:pPr>
      <w:r>
        <w:lastRenderedPageBreak/>
        <w:t xml:space="preserve">                                    </w:t>
      </w:r>
      <w:r w:rsidR="005674CF">
        <w:t xml:space="preserve">           </w:t>
      </w:r>
      <w:proofErr w:type="gramStart"/>
      <w:r w:rsidR="00CE69EB">
        <w:t xml:space="preserve">CLASS </w:t>
      </w:r>
      <w:r w:rsidRPr="00743813">
        <w:t xml:space="preserve"> ACTIVITY</w:t>
      </w:r>
      <w:proofErr w:type="gramEnd"/>
    </w:p>
    <w:p w:rsidR="00255DD2" w:rsidRDefault="00255DD2" w:rsidP="00255DD2">
      <w:pPr>
        <w:pStyle w:val="BodyText"/>
        <w:spacing w:before="2"/>
        <w:rPr>
          <w:b/>
          <w:sz w:val="18"/>
        </w:rPr>
      </w:pPr>
    </w:p>
    <w:p w:rsidR="00255DD2" w:rsidRDefault="00255DD2" w:rsidP="00255DD2">
      <w:pPr>
        <w:spacing w:before="90"/>
        <w:ind w:left="100"/>
        <w:jc w:val="both"/>
        <w:rPr>
          <w:b/>
          <w:sz w:val="24"/>
        </w:rPr>
      </w:pPr>
      <w:r>
        <w:rPr>
          <w:b/>
          <w:sz w:val="24"/>
        </w:rPr>
        <w:t>Unit 1- Ideas and Values</w:t>
      </w:r>
    </w:p>
    <w:p w:rsidR="00255DD2" w:rsidRDefault="00255DD2" w:rsidP="00255DD2">
      <w:pPr>
        <w:spacing w:before="6" w:line="570" w:lineRule="atLeast"/>
        <w:ind w:left="100" w:right="5784"/>
        <w:jc w:val="both"/>
        <w:rPr>
          <w:b/>
          <w:sz w:val="24"/>
        </w:rPr>
      </w:pPr>
      <w:r>
        <w:rPr>
          <w:b/>
          <w:sz w:val="24"/>
        </w:rPr>
        <w:t>Topic: Addressing Sustainability Reflection</w:t>
      </w:r>
    </w:p>
    <w:p w:rsidR="00255DD2" w:rsidRDefault="00255DD2" w:rsidP="00D35679">
      <w:pPr>
        <w:pStyle w:val="BodyText"/>
        <w:spacing w:before="139" w:line="360" w:lineRule="auto"/>
        <w:ind w:right="113"/>
        <w:jc w:val="both"/>
      </w:pPr>
      <w:r>
        <w:t>In</w:t>
      </w:r>
      <w:r>
        <w:rPr>
          <w:spacing w:val="-18"/>
        </w:rPr>
        <w:t xml:space="preserve"> </w:t>
      </w:r>
      <w:r>
        <w:t>this</w:t>
      </w:r>
      <w:r>
        <w:rPr>
          <w:spacing w:val="-16"/>
        </w:rPr>
        <w:t xml:space="preserve"> </w:t>
      </w:r>
      <w:r>
        <w:t>current</w:t>
      </w:r>
      <w:r>
        <w:rPr>
          <w:spacing w:val="-19"/>
        </w:rPr>
        <w:t xml:space="preserve"> </w:t>
      </w:r>
      <w:r>
        <w:t>scenario</w:t>
      </w:r>
      <w:r>
        <w:rPr>
          <w:spacing w:val="-13"/>
        </w:rPr>
        <w:t xml:space="preserve"> </w:t>
      </w:r>
      <w:r>
        <w:t>environmental</w:t>
      </w:r>
      <w:r>
        <w:rPr>
          <w:spacing w:val="-14"/>
        </w:rPr>
        <w:t xml:space="preserve"> </w:t>
      </w:r>
      <w:r>
        <w:t>pollution</w:t>
      </w:r>
      <w:r>
        <w:rPr>
          <w:spacing w:val="-13"/>
        </w:rPr>
        <w:t xml:space="preserve"> </w:t>
      </w:r>
      <w:r>
        <w:t>is</w:t>
      </w:r>
      <w:r>
        <w:rPr>
          <w:spacing w:val="-16"/>
        </w:rPr>
        <w:t xml:space="preserve"> </w:t>
      </w:r>
      <w:r>
        <w:t>responsible</w:t>
      </w:r>
      <w:r>
        <w:rPr>
          <w:spacing w:val="-19"/>
        </w:rPr>
        <w:t xml:space="preserve"> </w:t>
      </w:r>
      <w:r>
        <w:t>for</w:t>
      </w:r>
      <w:r>
        <w:rPr>
          <w:spacing w:val="-17"/>
        </w:rPr>
        <w:t xml:space="preserve"> </w:t>
      </w:r>
      <w:r>
        <w:t>a</w:t>
      </w:r>
      <w:r>
        <w:rPr>
          <w:spacing w:val="-19"/>
        </w:rPr>
        <w:t xml:space="preserve"> </w:t>
      </w:r>
      <w:r>
        <w:t>startling</w:t>
      </w:r>
      <w:r>
        <w:rPr>
          <w:spacing w:val="-18"/>
        </w:rPr>
        <w:t xml:space="preserve"> </w:t>
      </w:r>
      <w:r>
        <w:t>4.4%</w:t>
      </w:r>
      <w:r>
        <w:rPr>
          <w:spacing w:val="-17"/>
        </w:rPr>
        <w:t xml:space="preserve"> </w:t>
      </w:r>
      <w:r>
        <w:t>of</w:t>
      </w:r>
      <w:r>
        <w:rPr>
          <w:spacing w:val="-12"/>
        </w:rPr>
        <w:t xml:space="preserve"> </w:t>
      </w:r>
      <w:r>
        <w:t>the</w:t>
      </w:r>
      <w:r>
        <w:rPr>
          <w:spacing w:val="-19"/>
        </w:rPr>
        <w:t xml:space="preserve"> </w:t>
      </w:r>
      <w:r>
        <w:t xml:space="preserve">world's greenhouse gas emissions (GHGs) which </w:t>
      </w:r>
      <w:proofErr w:type="gramStart"/>
      <w:r>
        <w:t>is</w:t>
      </w:r>
      <w:proofErr w:type="gramEnd"/>
      <w:r>
        <w:t xml:space="preserve"> actually an alarming situation for human health (Sterling, 2004). The Intergovernmental Panel on Climate Change (IPCC) states that climate change is the main reason for health issues and is more severe than projected, having already crossed</w:t>
      </w:r>
      <w:r>
        <w:rPr>
          <w:spacing w:val="-12"/>
        </w:rPr>
        <w:t xml:space="preserve"> </w:t>
      </w:r>
      <w:r>
        <w:t>several</w:t>
      </w:r>
      <w:r>
        <w:rPr>
          <w:spacing w:val="-8"/>
        </w:rPr>
        <w:t xml:space="preserve"> </w:t>
      </w:r>
      <w:r>
        <w:t>planetary</w:t>
      </w:r>
      <w:r>
        <w:rPr>
          <w:spacing w:val="-12"/>
        </w:rPr>
        <w:t xml:space="preserve"> </w:t>
      </w:r>
      <w:r>
        <w:t>boundaries.</w:t>
      </w:r>
      <w:r>
        <w:rPr>
          <w:spacing w:val="-12"/>
        </w:rPr>
        <w:t xml:space="preserve"> </w:t>
      </w:r>
      <w:r>
        <w:t>Sustainability</w:t>
      </w:r>
      <w:r>
        <w:rPr>
          <w:spacing w:val="-8"/>
        </w:rPr>
        <w:t xml:space="preserve"> </w:t>
      </w:r>
      <w:r>
        <w:t>of</w:t>
      </w:r>
      <w:r>
        <w:rPr>
          <w:spacing w:val="-12"/>
        </w:rPr>
        <w:t xml:space="preserve"> </w:t>
      </w:r>
      <w:r>
        <w:t>the</w:t>
      </w:r>
      <w:r>
        <w:rPr>
          <w:spacing w:val="-9"/>
        </w:rPr>
        <w:t xml:space="preserve"> </w:t>
      </w:r>
      <w:r>
        <w:t>environment</w:t>
      </w:r>
      <w:r>
        <w:rPr>
          <w:spacing w:val="-9"/>
        </w:rPr>
        <w:t xml:space="preserve"> </w:t>
      </w:r>
      <w:r>
        <w:t>is</w:t>
      </w:r>
      <w:r>
        <w:rPr>
          <w:spacing w:val="-11"/>
        </w:rPr>
        <w:t xml:space="preserve"> </w:t>
      </w:r>
      <w:r>
        <w:t>necessary</w:t>
      </w:r>
      <w:r>
        <w:rPr>
          <w:spacing w:val="-12"/>
        </w:rPr>
        <w:t xml:space="preserve"> </w:t>
      </w:r>
      <w:r>
        <w:t>for</w:t>
      </w:r>
      <w:r>
        <w:rPr>
          <w:spacing w:val="-12"/>
        </w:rPr>
        <w:t xml:space="preserve"> </w:t>
      </w:r>
      <w:r>
        <w:t>human health. However, environmental sustainability advocacy and environmentally conscious healthcare practices have frequently been cited as essential healthcare measures. As per my learning the issue of environmental sustainability should be addressed. An examination of the qualitative data revealed that Australian healthcare workers, especially those with strong professional identities, frequently take more initiatives to safeguard the environment in their personal than professional lives. A major impediment to environmentally friendly action was the healthcare sector's which emphasis on economic rationality. The dread of conflict and exclusion from the profession are other professional concerns, and they frequently felt ill- equipped to intervene. Due to the experience of helplessness and powerlessness in healthcare practitioners began to make inconsistent moral judgments. These challenges are more challenging</w:t>
      </w:r>
      <w:r>
        <w:rPr>
          <w:spacing w:val="-14"/>
        </w:rPr>
        <w:t xml:space="preserve"> </w:t>
      </w:r>
      <w:r>
        <w:t>by</w:t>
      </w:r>
      <w:r>
        <w:rPr>
          <w:spacing w:val="-13"/>
        </w:rPr>
        <w:t xml:space="preserve"> </w:t>
      </w:r>
      <w:r>
        <w:t>restrictions</w:t>
      </w:r>
      <w:r>
        <w:rPr>
          <w:spacing w:val="-11"/>
        </w:rPr>
        <w:t xml:space="preserve"> </w:t>
      </w:r>
      <w:r>
        <w:t>placed</w:t>
      </w:r>
      <w:r>
        <w:rPr>
          <w:spacing w:val="-14"/>
        </w:rPr>
        <w:t xml:space="preserve"> </w:t>
      </w:r>
      <w:r>
        <w:t>on</w:t>
      </w:r>
      <w:r>
        <w:rPr>
          <w:spacing w:val="-13"/>
        </w:rPr>
        <w:t xml:space="preserve"> </w:t>
      </w:r>
      <w:r>
        <w:t>non-clinical</w:t>
      </w:r>
      <w:r>
        <w:rPr>
          <w:spacing w:val="-9"/>
        </w:rPr>
        <w:t xml:space="preserve"> </w:t>
      </w:r>
      <w:r>
        <w:t>employees</w:t>
      </w:r>
      <w:r>
        <w:rPr>
          <w:spacing w:val="-10"/>
        </w:rPr>
        <w:t xml:space="preserve"> </w:t>
      </w:r>
      <w:r>
        <w:t>within</w:t>
      </w:r>
      <w:r>
        <w:rPr>
          <w:spacing w:val="-8"/>
        </w:rPr>
        <w:t xml:space="preserve"> </w:t>
      </w:r>
      <w:r>
        <w:t>and</w:t>
      </w:r>
      <w:r>
        <w:rPr>
          <w:spacing w:val="-14"/>
        </w:rPr>
        <w:t xml:space="preserve"> </w:t>
      </w:r>
      <w:r>
        <w:t>outside</w:t>
      </w:r>
      <w:r>
        <w:rPr>
          <w:spacing w:val="-12"/>
        </w:rPr>
        <w:t xml:space="preserve"> </w:t>
      </w:r>
      <w:r>
        <w:t>the</w:t>
      </w:r>
      <w:r>
        <w:rPr>
          <w:spacing w:val="-9"/>
        </w:rPr>
        <w:t xml:space="preserve"> </w:t>
      </w:r>
      <w:r>
        <w:t>sector.</w:t>
      </w:r>
      <w:r>
        <w:rPr>
          <w:spacing w:val="-7"/>
        </w:rPr>
        <w:t xml:space="preserve"> </w:t>
      </w:r>
      <w:r>
        <w:t>The results align with the literature claiming that organizational restrictions and strong social identification can prevent people from acting according to their ideals. This discrepancy may result</w:t>
      </w:r>
      <w:r>
        <w:rPr>
          <w:spacing w:val="-19"/>
        </w:rPr>
        <w:t xml:space="preserve"> </w:t>
      </w:r>
      <w:r>
        <w:t>in</w:t>
      </w:r>
      <w:r>
        <w:rPr>
          <w:spacing w:val="-17"/>
        </w:rPr>
        <w:t xml:space="preserve"> </w:t>
      </w:r>
      <w:r>
        <w:t>moral</w:t>
      </w:r>
      <w:r>
        <w:rPr>
          <w:spacing w:val="-18"/>
        </w:rPr>
        <w:t xml:space="preserve"> </w:t>
      </w:r>
      <w:r>
        <w:t>anguish</w:t>
      </w:r>
      <w:r>
        <w:rPr>
          <w:spacing w:val="-17"/>
        </w:rPr>
        <w:t xml:space="preserve"> </w:t>
      </w:r>
      <w:r>
        <w:t>and</w:t>
      </w:r>
      <w:r>
        <w:rPr>
          <w:spacing w:val="-17"/>
        </w:rPr>
        <w:t xml:space="preserve"> </w:t>
      </w:r>
      <w:r>
        <w:t>repercussions,</w:t>
      </w:r>
      <w:r>
        <w:rPr>
          <w:spacing w:val="-14"/>
        </w:rPr>
        <w:t xml:space="preserve"> </w:t>
      </w:r>
      <w:r>
        <w:t>making</w:t>
      </w:r>
      <w:r>
        <w:rPr>
          <w:spacing w:val="-18"/>
        </w:rPr>
        <w:t xml:space="preserve"> </w:t>
      </w:r>
      <w:r>
        <w:t>people</w:t>
      </w:r>
      <w:r>
        <w:rPr>
          <w:spacing w:val="-18"/>
        </w:rPr>
        <w:t xml:space="preserve"> </w:t>
      </w:r>
      <w:r>
        <w:t>feel</w:t>
      </w:r>
      <w:r>
        <w:rPr>
          <w:spacing w:val="-18"/>
        </w:rPr>
        <w:t xml:space="preserve"> </w:t>
      </w:r>
      <w:r>
        <w:t>helpless</w:t>
      </w:r>
      <w:r>
        <w:rPr>
          <w:spacing w:val="-15"/>
        </w:rPr>
        <w:t xml:space="preserve"> </w:t>
      </w:r>
      <w:r>
        <w:t>and</w:t>
      </w:r>
      <w:r>
        <w:rPr>
          <w:spacing w:val="-17"/>
        </w:rPr>
        <w:t xml:space="preserve"> </w:t>
      </w:r>
      <w:r>
        <w:t>leading</w:t>
      </w:r>
      <w:r>
        <w:rPr>
          <w:spacing w:val="-12"/>
        </w:rPr>
        <w:t xml:space="preserve"> </w:t>
      </w:r>
      <w:r>
        <w:t>to</w:t>
      </w:r>
      <w:r>
        <w:rPr>
          <w:spacing w:val="-13"/>
        </w:rPr>
        <w:t xml:space="preserve"> </w:t>
      </w:r>
      <w:r>
        <w:t>less</w:t>
      </w:r>
      <w:r>
        <w:rPr>
          <w:spacing w:val="-15"/>
        </w:rPr>
        <w:t xml:space="preserve"> </w:t>
      </w:r>
      <w:r>
        <w:t xml:space="preserve">moral behavior. The information reveals a gap between individual and collective efforts to promote environmental sustainability. Given the limitations, medical professionals are unlikely to change their </w:t>
      </w:r>
      <w:proofErr w:type="spellStart"/>
      <w:r>
        <w:t>practises</w:t>
      </w:r>
      <w:proofErr w:type="spellEnd"/>
      <w:r>
        <w:t xml:space="preserve"> to be more environmentally friendly without assistance from </w:t>
      </w:r>
      <w:proofErr w:type="spellStart"/>
      <w:r>
        <w:t>organisations</w:t>
      </w:r>
      <w:proofErr w:type="spellEnd"/>
      <w:r>
        <w:rPr>
          <w:spacing w:val="-17"/>
        </w:rPr>
        <w:t xml:space="preserve"> </w:t>
      </w:r>
      <w:r>
        <w:t>and</w:t>
      </w:r>
      <w:r>
        <w:rPr>
          <w:spacing w:val="-15"/>
        </w:rPr>
        <w:t xml:space="preserve"> </w:t>
      </w:r>
      <w:r>
        <w:t>professional</w:t>
      </w:r>
      <w:r>
        <w:rPr>
          <w:spacing w:val="-15"/>
        </w:rPr>
        <w:t xml:space="preserve"> </w:t>
      </w:r>
      <w:r>
        <w:t>associations.</w:t>
      </w:r>
      <w:r>
        <w:rPr>
          <w:spacing w:val="-19"/>
        </w:rPr>
        <w:t xml:space="preserve"> </w:t>
      </w:r>
      <w:r>
        <w:t>To</w:t>
      </w:r>
      <w:r>
        <w:rPr>
          <w:spacing w:val="-14"/>
        </w:rPr>
        <w:t xml:space="preserve"> </w:t>
      </w:r>
      <w:r>
        <w:t>complement</w:t>
      </w:r>
      <w:r>
        <w:rPr>
          <w:spacing w:val="-15"/>
        </w:rPr>
        <w:t xml:space="preserve"> </w:t>
      </w:r>
      <w:r>
        <w:t>this</w:t>
      </w:r>
      <w:r>
        <w:rPr>
          <w:spacing w:val="-17"/>
        </w:rPr>
        <w:t xml:space="preserve"> </w:t>
      </w:r>
      <w:r>
        <w:t>endeavor,</w:t>
      </w:r>
      <w:r>
        <w:rPr>
          <w:spacing w:val="-18"/>
        </w:rPr>
        <w:t xml:space="preserve"> </w:t>
      </w:r>
      <w:r>
        <w:t>professional</w:t>
      </w:r>
      <w:r>
        <w:rPr>
          <w:spacing w:val="-19"/>
        </w:rPr>
        <w:t xml:space="preserve"> </w:t>
      </w:r>
      <w:r>
        <w:t>growth is needed. International ramifications for healthcare practice are probable due to the limited transferability of pro-ecological behavior from one place to another (</w:t>
      </w:r>
      <w:proofErr w:type="spellStart"/>
      <w:r>
        <w:t>Dunphy</w:t>
      </w:r>
      <w:proofErr w:type="spellEnd"/>
      <w:r>
        <w:t>, 2014). Many planetary</w:t>
      </w:r>
      <w:r>
        <w:rPr>
          <w:spacing w:val="-18"/>
        </w:rPr>
        <w:t xml:space="preserve"> </w:t>
      </w:r>
      <w:r>
        <w:t>boundaries</w:t>
      </w:r>
      <w:r>
        <w:rPr>
          <w:spacing w:val="-16"/>
        </w:rPr>
        <w:t xml:space="preserve"> </w:t>
      </w:r>
      <w:r>
        <w:t>have</w:t>
      </w:r>
      <w:r>
        <w:rPr>
          <w:spacing w:val="-14"/>
        </w:rPr>
        <w:t xml:space="preserve"> </w:t>
      </w:r>
      <w:r>
        <w:t>already</w:t>
      </w:r>
      <w:r>
        <w:rPr>
          <w:spacing w:val="-9"/>
        </w:rPr>
        <w:t xml:space="preserve"> </w:t>
      </w:r>
      <w:r>
        <w:t>been</w:t>
      </w:r>
      <w:r>
        <w:rPr>
          <w:spacing w:val="-18"/>
        </w:rPr>
        <w:t xml:space="preserve"> </w:t>
      </w:r>
      <w:r>
        <w:t>surpassed,</w:t>
      </w:r>
      <w:r>
        <w:rPr>
          <w:spacing w:val="-18"/>
        </w:rPr>
        <w:t xml:space="preserve"> </w:t>
      </w:r>
      <w:r>
        <w:t>notably,</w:t>
      </w:r>
      <w:r>
        <w:rPr>
          <w:spacing w:val="-18"/>
        </w:rPr>
        <w:t xml:space="preserve"> </w:t>
      </w:r>
      <w:r>
        <w:t>the</w:t>
      </w:r>
      <w:r>
        <w:rPr>
          <w:spacing w:val="-19"/>
        </w:rPr>
        <w:t xml:space="preserve"> </w:t>
      </w:r>
      <w:r>
        <w:t>one</w:t>
      </w:r>
      <w:r>
        <w:rPr>
          <w:spacing w:val="-14"/>
        </w:rPr>
        <w:t xml:space="preserve"> </w:t>
      </w:r>
      <w:r>
        <w:t>that</w:t>
      </w:r>
      <w:r>
        <w:rPr>
          <w:spacing w:val="-14"/>
        </w:rPr>
        <w:t xml:space="preserve"> </w:t>
      </w:r>
      <w:r>
        <w:t>governs</w:t>
      </w:r>
      <w:r>
        <w:rPr>
          <w:spacing w:val="-16"/>
        </w:rPr>
        <w:t xml:space="preserve"> </w:t>
      </w:r>
      <w:r>
        <w:t>climate</w:t>
      </w:r>
      <w:r>
        <w:rPr>
          <w:spacing w:val="-19"/>
        </w:rPr>
        <w:t xml:space="preserve"> </w:t>
      </w:r>
      <w:r>
        <w:t>change or address the issue of environmental sustainability can brought on the sustainability of healthcare</w:t>
      </w:r>
      <w:r>
        <w:rPr>
          <w:spacing w:val="-4"/>
        </w:rPr>
        <w:t xml:space="preserve"> </w:t>
      </w:r>
      <w:r>
        <w:t>also.</w:t>
      </w:r>
      <w:r>
        <w:rPr>
          <w:spacing w:val="-7"/>
        </w:rPr>
        <w:t xml:space="preserve"> </w:t>
      </w:r>
      <w:r>
        <w:t>Contrarily,</w:t>
      </w:r>
      <w:r>
        <w:rPr>
          <w:spacing w:val="-8"/>
        </w:rPr>
        <w:t xml:space="preserve"> </w:t>
      </w:r>
      <w:r>
        <w:t>4.4%</w:t>
      </w:r>
      <w:r>
        <w:rPr>
          <w:spacing w:val="-6"/>
        </w:rPr>
        <w:t xml:space="preserve"> </w:t>
      </w:r>
      <w:r>
        <w:t>of GHG</w:t>
      </w:r>
      <w:r>
        <w:rPr>
          <w:spacing w:val="-10"/>
        </w:rPr>
        <w:t xml:space="preserve"> </w:t>
      </w:r>
      <w:r>
        <w:t>emissions</w:t>
      </w:r>
      <w:r>
        <w:rPr>
          <w:spacing w:val="1"/>
        </w:rPr>
        <w:t xml:space="preserve"> </w:t>
      </w:r>
      <w:r>
        <w:t>result</w:t>
      </w:r>
      <w:r>
        <w:rPr>
          <w:spacing w:val="-8"/>
        </w:rPr>
        <w:t xml:space="preserve"> </w:t>
      </w:r>
      <w:r>
        <w:t>from</w:t>
      </w:r>
      <w:r>
        <w:rPr>
          <w:spacing w:val="-4"/>
        </w:rPr>
        <w:t xml:space="preserve"> </w:t>
      </w:r>
      <w:r>
        <w:t>the</w:t>
      </w:r>
      <w:r>
        <w:rPr>
          <w:spacing w:val="-3"/>
        </w:rPr>
        <w:t xml:space="preserve"> </w:t>
      </w:r>
      <w:r>
        <w:t>healthcare</w:t>
      </w:r>
      <w:r>
        <w:rPr>
          <w:spacing w:val="-4"/>
        </w:rPr>
        <w:t xml:space="preserve"> </w:t>
      </w:r>
      <w:r>
        <w:t>industry.</w:t>
      </w:r>
      <w:r>
        <w:rPr>
          <w:spacing w:val="-4"/>
        </w:rPr>
        <w:t xml:space="preserve"> </w:t>
      </w:r>
      <w:r>
        <w:t>These</w:t>
      </w:r>
    </w:p>
    <w:p w:rsidR="00255DD2" w:rsidRDefault="00255DD2" w:rsidP="00D35679">
      <w:pPr>
        <w:spacing w:line="360" w:lineRule="auto"/>
        <w:jc w:val="both"/>
        <w:sectPr w:rsidR="00255DD2" w:rsidSect="00255DD2">
          <w:pgSz w:w="11910" w:h="16840"/>
          <w:pgMar w:top="1380" w:right="1320" w:bottom="280" w:left="1340" w:header="720" w:footer="720" w:gutter="0"/>
          <w:cols w:space="720"/>
        </w:sectPr>
      </w:pPr>
    </w:p>
    <w:p w:rsidR="00255DD2" w:rsidRDefault="00255DD2" w:rsidP="00D35679">
      <w:pPr>
        <w:pStyle w:val="BodyText"/>
        <w:spacing w:before="61" w:line="360" w:lineRule="auto"/>
        <w:ind w:right="115"/>
        <w:jc w:val="both"/>
      </w:pPr>
      <w:proofErr w:type="gramStart"/>
      <w:r>
        <w:lastRenderedPageBreak/>
        <w:t>issues</w:t>
      </w:r>
      <w:proofErr w:type="gramEnd"/>
      <w:r>
        <w:rPr>
          <w:spacing w:val="-5"/>
        </w:rPr>
        <w:t xml:space="preserve"> </w:t>
      </w:r>
      <w:r>
        <w:t>have</w:t>
      </w:r>
      <w:r>
        <w:rPr>
          <w:spacing w:val="-7"/>
        </w:rPr>
        <w:t xml:space="preserve"> </w:t>
      </w:r>
      <w:r>
        <w:t>not</w:t>
      </w:r>
      <w:r>
        <w:rPr>
          <w:spacing w:val="-3"/>
        </w:rPr>
        <w:t xml:space="preserve"> </w:t>
      </w:r>
      <w:r>
        <w:t>been</w:t>
      </w:r>
      <w:r>
        <w:rPr>
          <w:spacing w:val="-1"/>
        </w:rPr>
        <w:t xml:space="preserve"> </w:t>
      </w:r>
      <w:r>
        <w:t>fully</w:t>
      </w:r>
      <w:r>
        <w:rPr>
          <w:spacing w:val="-1"/>
        </w:rPr>
        <w:t xml:space="preserve"> </w:t>
      </w:r>
      <w:r>
        <w:t>acknowledged</w:t>
      </w:r>
      <w:r>
        <w:rPr>
          <w:spacing w:val="-1"/>
        </w:rPr>
        <w:t xml:space="preserve"> </w:t>
      </w:r>
      <w:r>
        <w:t>in</w:t>
      </w:r>
      <w:r>
        <w:rPr>
          <w:spacing w:val="-6"/>
        </w:rPr>
        <w:t xml:space="preserve"> </w:t>
      </w:r>
      <w:r>
        <w:t>the</w:t>
      </w:r>
      <w:r>
        <w:rPr>
          <w:spacing w:val="-7"/>
        </w:rPr>
        <w:t xml:space="preserve"> </w:t>
      </w:r>
      <w:r>
        <w:t>curricula</w:t>
      </w:r>
      <w:r>
        <w:rPr>
          <w:spacing w:val="-8"/>
        </w:rPr>
        <w:t xml:space="preserve"> </w:t>
      </w:r>
      <w:r>
        <w:t>for</w:t>
      </w:r>
      <w:r>
        <w:rPr>
          <w:spacing w:val="-1"/>
        </w:rPr>
        <w:t xml:space="preserve"> </w:t>
      </w:r>
      <w:r>
        <w:t>health</w:t>
      </w:r>
      <w:r>
        <w:rPr>
          <w:spacing w:val="-7"/>
        </w:rPr>
        <w:t xml:space="preserve"> </w:t>
      </w:r>
      <w:r>
        <w:t>professionals.</w:t>
      </w:r>
      <w:r>
        <w:rPr>
          <w:spacing w:val="-5"/>
        </w:rPr>
        <w:t xml:space="preserve"> </w:t>
      </w:r>
      <w:r>
        <w:t>The</w:t>
      </w:r>
      <w:r>
        <w:rPr>
          <w:spacing w:val="-7"/>
        </w:rPr>
        <w:t xml:space="preserve"> </w:t>
      </w:r>
      <w:r>
        <w:t>two</w:t>
      </w:r>
      <w:r>
        <w:rPr>
          <w:spacing w:val="-7"/>
        </w:rPr>
        <w:t xml:space="preserve"> </w:t>
      </w:r>
      <w:r>
        <w:t>key topics</w:t>
      </w:r>
      <w:r>
        <w:rPr>
          <w:spacing w:val="-11"/>
        </w:rPr>
        <w:t xml:space="preserve"> </w:t>
      </w:r>
      <w:r>
        <w:t>this</w:t>
      </w:r>
      <w:r>
        <w:rPr>
          <w:spacing w:val="-10"/>
        </w:rPr>
        <w:t xml:space="preserve"> </w:t>
      </w:r>
      <w:r>
        <w:t>unit</w:t>
      </w:r>
      <w:r>
        <w:rPr>
          <w:spacing w:val="-14"/>
        </w:rPr>
        <w:t xml:space="preserve"> </w:t>
      </w:r>
      <w:r>
        <w:t>covers</w:t>
      </w:r>
      <w:r>
        <w:rPr>
          <w:spacing w:val="-11"/>
        </w:rPr>
        <w:t xml:space="preserve"> </w:t>
      </w:r>
      <w:r>
        <w:t>are</w:t>
      </w:r>
      <w:r>
        <w:rPr>
          <w:spacing w:val="-9"/>
        </w:rPr>
        <w:t xml:space="preserve"> </w:t>
      </w:r>
      <w:r>
        <w:t>humanistic</w:t>
      </w:r>
      <w:r>
        <w:rPr>
          <w:spacing w:val="-14"/>
        </w:rPr>
        <w:t xml:space="preserve"> </w:t>
      </w:r>
      <w:r>
        <w:t>learning</w:t>
      </w:r>
      <w:r>
        <w:rPr>
          <w:spacing w:val="-8"/>
        </w:rPr>
        <w:t xml:space="preserve"> </w:t>
      </w:r>
      <w:r>
        <w:t>and</w:t>
      </w:r>
      <w:r>
        <w:rPr>
          <w:spacing w:val="-7"/>
        </w:rPr>
        <w:t xml:space="preserve"> </w:t>
      </w:r>
      <w:r>
        <w:t>integrating</w:t>
      </w:r>
      <w:r>
        <w:rPr>
          <w:spacing w:val="-8"/>
        </w:rPr>
        <w:t xml:space="preserve"> </w:t>
      </w:r>
      <w:r>
        <w:t>acquired</w:t>
      </w:r>
      <w:r>
        <w:rPr>
          <w:spacing w:val="-13"/>
        </w:rPr>
        <w:t xml:space="preserve"> </w:t>
      </w:r>
      <w:r>
        <w:t>knowledge</w:t>
      </w:r>
      <w:r>
        <w:rPr>
          <w:spacing w:val="-1"/>
        </w:rPr>
        <w:t xml:space="preserve"> </w:t>
      </w:r>
      <w:r>
        <w:t>into</w:t>
      </w:r>
      <w:r>
        <w:rPr>
          <w:spacing w:val="-8"/>
        </w:rPr>
        <w:t xml:space="preserve"> </w:t>
      </w:r>
      <w:r>
        <w:t>clinical practice.</w:t>
      </w:r>
      <w:r>
        <w:rPr>
          <w:spacing w:val="-15"/>
        </w:rPr>
        <w:t xml:space="preserve"> </w:t>
      </w:r>
      <w:r>
        <w:t>Humanistic</w:t>
      </w:r>
      <w:r>
        <w:rPr>
          <w:spacing w:val="-16"/>
        </w:rPr>
        <w:t xml:space="preserve"> </w:t>
      </w:r>
      <w:r>
        <w:t>learning</w:t>
      </w:r>
      <w:r>
        <w:rPr>
          <w:spacing w:val="-15"/>
        </w:rPr>
        <w:t xml:space="preserve"> </w:t>
      </w:r>
      <w:r>
        <w:t>concepts</w:t>
      </w:r>
      <w:r>
        <w:rPr>
          <w:spacing w:val="-13"/>
        </w:rPr>
        <w:t xml:space="preserve"> </w:t>
      </w:r>
      <w:r>
        <w:t>can</w:t>
      </w:r>
      <w:r>
        <w:rPr>
          <w:spacing w:val="-15"/>
        </w:rPr>
        <w:t xml:space="preserve"> </w:t>
      </w:r>
      <w:r>
        <w:t>be</w:t>
      </w:r>
      <w:r>
        <w:rPr>
          <w:spacing w:val="-17"/>
        </w:rPr>
        <w:t xml:space="preserve"> </w:t>
      </w:r>
      <w:r>
        <w:t>applied</w:t>
      </w:r>
      <w:r>
        <w:rPr>
          <w:spacing w:val="-10"/>
        </w:rPr>
        <w:t xml:space="preserve"> </w:t>
      </w:r>
      <w:r>
        <w:t>to</w:t>
      </w:r>
      <w:r>
        <w:rPr>
          <w:spacing w:val="-15"/>
        </w:rPr>
        <w:t xml:space="preserve"> </w:t>
      </w:r>
      <w:r>
        <w:t>stress</w:t>
      </w:r>
      <w:r>
        <w:rPr>
          <w:spacing w:val="-14"/>
        </w:rPr>
        <w:t xml:space="preserve"> </w:t>
      </w:r>
      <w:r>
        <w:t>learner-centered</w:t>
      </w:r>
      <w:r>
        <w:rPr>
          <w:spacing w:val="-15"/>
        </w:rPr>
        <w:t xml:space="preserve"> </w:t>
      </w:r>
      <w:r>
        <w:t>strategies,</w:t>
      </w:r>
      <w:r>
        <w:rPr>
          <w:spacing w:val="-15"/>
        </w:rPr>
        <w:t xml:space="preserve"> </w:t>
      </w:r>
      <w:r>
        <w:t>such as information acquisition and reflection to improve self-awareness. Stewardship can be encouraged by incorporating humanistic values into daily living and clinical practice, which can help students become</w:t>
      </w:r>
      <w:r>
        <w:rPr>
          <w:spacing w:val="-2"/>
        </w:rPr>
        <w:t xml:space="preserve"> </w:t>
      </w:r>
      <w:proofErr w:type="spellStart"/>
      <w:r>
        <w:t>changemakers</w:t>
      </w:r>
      <w:proofErr w:type="spellEnd"/>
      <w:r>
        <w:t>.</w:t>
      </w:r>
    </w:p>
    <w:p w:rsidR="005A4661" w:rsidRDefault="005A4661" w:rsidP="00D35679">
      <w:pPr>
        <w:jc w:val="both"/>
      </w:pPr>
    </w:p>
    <w:p w:rsidR="005A4661" w:rsidRDefault="005A4661" w:rsidP="00056F1D"/>
    <w:p w:rsidR="005A4661" w:rsidRDefault="005A4661" w:rsidP="005A4661">
      <w:pPr>
        <w:pStyle w:val="Heading1"/>
        <w:rPr>
          <w:b/>
          <w:bCs/>
          <w:sz w:val="36"/>
          <w:szCs w:val="36"/>
        </w:rPr>
      </w:pPr>
      <w:bookmarkStart w:id="14" w:name="_GoBack"/>
      <w:bookmarkEnd w:id="14"/>
      <w:r w:rsidRPr="005A4661">
        <w:rPr>
          <w:b/>
          <w:bCs/>
          <w:sz w:val="36"/>
          <w:szCs w:val="36"/>
        </w:rPr>
        <w:t>Ref</w:t>
      </w:r>
      <w:r>
        <w:rPr>
          <w:b/>
          <w:bCs/>
          <w:sz w:val="36"/>
          <w:szCs w:val="36"/>
        </w:rPr>
        <w:t>e</w:t>
      </w:r>
      <w:r w:rsidRPr="005A4661">
        <w:rPr>
          <w:b/>
          <w:bCs/>
          <w:sz w:val="36"/>
          <w:szCs w:val="36"/>
        </w:rPr>
        <w:t>rences</w:t>
      </w:r>
    </w:p>
    <w:p w:rsidR="005A4661" w:rsidRDefault="005A4661" w:rsidP="00F24EED">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proofErr w:type="spellStart"/>
      <w:r w:rsidRPr="00F24EED">
        <w:rPr>
          <w:rFonts w:ascii="Times New Roman" w:eastAsia="Times New Roman" w:hAnsi="Times New Roman" w:cs="Times New Roman"/>
          <w:sz w:val="24"/>
          <w:szCs w:val="24"/>
        </w:rPr>
        <w:t>Alissa</w:t>
      </w:r>
      <w:proofErr w:type="spellEnd"/>
      <w:r w:rsidRPr="00F24EED">
        <w:rPr>
          <w:rFonts w:ascii="Times New Roman" w:eastAsia="Times New Roman" w:hAnsi="Times New Roman" w:cs="Times New Roman"/>
          <w:sz w:val="24"/>
          <w:szCs w:val="24"/>
        </w:rPr>
        <w:t xml:space="preserve"> Goodman, Paul Gregg, and Neil Smith, "The new geography of social disadvantage in the UK," Oxford Review of Economic Policy 24, no. 1 (2008): 1-16.</w:t>
      </w:r>
    </w:p>
    <w:p w:rsidR="00F24EED" w:rsidRPr="00F24EED" w:rsidRDefault="00F24EED" w:rsidP="00F24EED">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F24EED">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F24EED">
        <w:rPr>
          <w:rFonts w:ascii="Times New Roman" w:eastAsia="Times New Roman" w:hAnsi="Times New Roman" w:cs="Times New Roman"/>
          <w:sz w:val="24"/>
          <w:szCs w:val="24"/>
        </w:rPr>
        <w:t xml:space="preserve">Andy Pike and </w:t>
      </w:r>
      <w:proofErr w:type="spellStart"/>
      <w:r w:rsidRPr="00F24EED">
        <w:rPr>
          <w:rFonts w:ascii="Times New Roman" w:eastAsia="Times New Roman" w:hAnsi="Times New Roman" w:cs="Times New Roman"/>
          <w:sz w:val="24"/>
          <w:szCs w:val="24"/>
        </w:rPr>
        <w:t>Emmanouil</w:t>
      </w:r>
      <w:proofErr w:type="spellEnd"/>
      <w:r w:rsidRPr="00F24EED">
        <w:rPr>
          <w:rFonts w:ascii="Times New Roman" w:eastAsia="Times New Roman" w:hAnsi="Times New Roman" w:cs="Times New Roman"/>
          <w:sz w:val="24"/>
          <w:szCs w:val="24"/>
        </w:rPr>
        <w:t xml:space="preserve"> </w:t>
      </w:r>
      <w:proofErr w:type="spellStart"/>
      <w:r w:rsidRPr="00F24EED">
        <w:rPr>
          <w:rFonts w:ascii="Times New Roman" w:eastAsia="Times New Roman" w:hAnsi="Times New Roman" w:cs="Times New Roman"/>
          <w:sz w:val="24"/>
          <w:szCs w:val="24"/>
        </w:rPr>
        <w:t>Tranos</w:t>
      </w:r>
      <w:proofErr w:type="spellEnd"/>
      <w:r w:rsidRPr="00F24EED">
        <w:rPr>
          <w:rFonts w:ascii="Times New Roman" w:eastAsia="Times New Roman" w:hAnsi="Times New Roman" w:cs="Times New Roman"/>
          <w:sz w:val="24"/>
          <w:szCs w:val="24"/>
        </w:rPr>
        <w:t>, "Growth coalitions, city governance</w:t>
      </w:r>
      <w:r w:rsidR="000D40FA" w:rsidRPr="00F24EED">
        <w:rPr>
          <w:rFonts w:ascii="Times New Roman" w:eastAsia="Times New Roman" w:hAnsi="Times New Roman" w:cs="Times New Roman"/>
          <w:sz w:val="24"/>
          <w:szCs w:val="24"/>
        </w:rPr>
        <w:t>,</w:t>
      </w:r>
      <w:r w:rsidRPr="00F24EED">
        <w:rPr>
          <w:rFonts w:ascii="Times New Roman" w:eastAsia="Times New Roman" w:hAnsi="Times New Roman" w:cs="Times New Roman"/>
          <w:sz w:val="24"/>
          <w:szCs w:val="24"/>
        </w:rPr>
        <w:t xml:space="preserve"> and modernity: Nottingham's 'renaissance' revisited," Urban Studies 42, no. 11 (2005): 1991-2018.</w:t>
      </w:r>
    </w:p>
    <w:p w:rsidR="00F24EED" w:rsidRPr="00F24EED" w:rsidRDefault="00F24EED" w:rsidP="00F24EED">
      <w:pPr>
        <w:pStyle w:val="ListParagraph"/>
        <w:rPr>
          <w:rFonts w:ascii="Times New Roman" w:eastAsia="Times New Roman" w:hAnsi="Times New Roman" w:cs="Times New Roman"/>
          <w:sz w:val="24"/>
          <w:szCs w:val="24"/>
        </w:rPr>
      </w:pPr>
    </w:p>
    <w:p w:rsidR="00F24EED" w:rsidRPr="00F24EED" w:rsidRDefault="00F24EED" w:rsidP="00F24EED">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F24EED">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F24EED">
        <w:rPr>
          <w:rFonts w:ascii="Times New Roman" w:eastAsia="Times New Roman" w:hAnsi="Times New Roman" w:cs="Times New Roman"/>
          <w:sz w:val="24"/>
          <w:szCs w:val="24"/>
        </w:rPr>
        <w:t xml:space="preserve">Ben Schiller, "Bristol, England's Economic Engine, is Running on Renewable Energy," Fast Company, accessed March 11, 2023, </w:t>
      </w:r>
      <w:hyperlink r:id="rId7" w:tgtFrame="_new" w:history="1">
        <w:r w:rsidRPr="00F24EED">
          <w:rPr>
            <w:rFonts w:ascii="Times New Roman" w:eastAsia="Times New Roman" w:hAnsi="Times New Roman" w:cs="Times New Roman"/>
            <w:color w:val="0000FF"/>
            <w:sz w:val="24"/>
            <w:szCs w:val="24"/>
            <w:u w:val="single"/>
          </w:rPr>
          <w:t>https://www.fastcompany.com/90242586/bristol-englands-economic-engine-is-running-on-renewable-energy</w:t>
        </w:r>
      </w:hyperlink>
      <w:r w:rsidRPr="00F24EED">
        <w:rPr>
          <w:rFonts w:ascii="Times New Roman" w:eastAsia="Times New Roman" w:hAnsi="Times New Roman" w:cs="Times New Roman"/>
          <w:sz w:val="24"/>
          <w:szCs w:val="24"/>
        </w:rPr>
        <w:t>.</w:t>
      </w:r>
    </w:p>
    <w:p w:rsidR="00F24EED" w:rsidRPr="00F24EED" w:rsidRDefault="00F24EED" w:rsidP="00F24EED">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F24EED">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F24EED">
        <w:rPr>
          <w:rFonts w:ascii="Times New Roman" w:eastAsia="Times New Roman" w:hAnsi="Times New Roman" w:cs="Times New Roman"/>
          <w:sz w:val="24"/>
          <w:szCs w:val="24"/>
        </w:rPr>
        <w:t xml:space="preserve">Bradford Metropolitan District Council, "Bradford district: Economic profile," last modified March 2022, </w:t>
      </w:r>
      <w:hyperlink r:id="rId8" w:tgtFrame="_new" w:history="1">
        <w:r w:rsidRPr="00F24EED">
          <w:rPr>
            <w:rFonts w:ascii="Times New Roman" w:eastAsia="Times New Roman" w:hAnsi="Times New Roman" w:cs="Times New Roman"/>
            <w:color w:val="0000FF"/>
            <w:sz w:val="24"/>
            <w:szCs w:val="24"/>
            <w:u w:val="single"/>
          </w:rPr>
          <w:t>https://www.bradford.gov.uk/media/4759/economic-profile-march-2022.pdf</w:t>
        </w:r>
      </w:hyperlink>
      <w:r w:rsidRPr="00F24EED">
        <w:rPr>
          <w:rFonts w:ascii="Times New Roman" w:eastAsia="Times New Roman" w:hAnsi="Times New Roman" w:cs="Times New Roman"/>
          <w:sz w:val="24"/>
          <w:szCs w:val="24"/>
        </w:rPr>
        <w:t>.</w:t>
      </w:r>
    </w:p>
    <w:p w:rsidR="00F24EED" w:rsidRPr="00F24EED" w:rsidRDefault="00F24EED" w:rsidP="00F24EED">
      <w:pPr>
        <w:pStyle w:val="ListParagraph"/>
        <w:rPr>
          <w:rFonts w:ascii="Times New Roman" w:eastAsia="Times New Roman" w:hAnsi="Times New Roman" w:cs="Times New Roman"/>
          <w:sz w:val="24"/>
          <w:szCs w:val="24"/>
        </w:rPr>
      </w:pPr>
    </w:p>
    <w:p w:rsidR="00F24EED" w:rsidRPr="00F24EED" w:rsidRDefault="00F24EED" w:rsidP="00F24EED">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F24EED">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F24EED">
        <w:rPr>
          <w:rFonts w:ascii="Times New Roman" w:eastAsia="Times New Roman" w:hAnsi="Times New Roman" w:cs="Times New Roman"/>
          <w:sz w:val="24"/>
          <w:szCs w:val="24"/>
        </w:rPr>
        <w:t xml:space="preserve">Bristol City Council, "State of Bristol: Inequality," last modified 2020, </w:t>
      </w:r>
      <w:hyperlink r:id="rId9" w:tgtFrame="_new" w:history="1">
        <w:r w:rsidRPr="00F24EED">
          <w:rPr>
            <w:rFonts w:ascii="Times New Roman" w:eastAsia="Times New Roman" w:hAnsi="Times New Roman" w:cs="Times New Roman"/>
            <w:color w:val="0000FF"/>
            <w:sz w:val="24"/>
            <w:szCs w:val="24"/>
            <w:u w:val="single"/>
          </w:rPr>
          <w:t>https://www.bristol.gov.uk/documents/20142/330812/Inequality+2018.pdf/11612cf5-3d84-9c3b-8a43-c11e018b6145</w:t>
        </w:r>
      </w:hyperlink>
      <w:r w:rsidRPr="00F24EED">
        <w:rPr>
          <w:rFonts w:ascii="Times New Roman" w:eastAsia="Times New Roman" w:hAnsi="Times New Roman" w:cs="Times New Roman"/>
          <w:sz w:val="24"/>
          <w:szCs w:val="24"/>
        </w:rPr>
        <w:t>.</w:t>
      </w:r>
    </w:p>
    <w:p w:rsidR="00F24EED" w:rsidRPr="00F24EED" w:rsidRDefault="00F24EED" w:rsidP="00F24EED">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F24EED">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F24EED">
        <w:rPr>
          <w:rFonts w:ascii="Times New Roman" w:eastAsia="Times New Roman" w:hAnsi="Times New Roman" w:cs="Times New Roman"/>
          <w:sz w:val="24"/>
          <w:szCs w:val="24"/>
        </w:rPr>
        <w:t xml:space="preserve">Census, "Bradford - Local Area Report," accessed March 11, 2023, </w:t>
      </w:r>
      <w:hyperlink r:id="rId10" w:tgtFrame="_new" w:history="1">
        <w:r w:rsidRPr="00F24EED">
          <w:rPr>
            <w:rFonts w:ascii="Times New Roman" w:eastAsia="Times New Roman" w:hAnsi="Times New Roman" w:cs="Times New Roman"/>
            <w:color w:val="0000FF"/>
            <w:sz w:val="24"/>
            <w:szCs w:val="24"/>
            <w:u w:val="single"/>
          </w:rPr>
          <w:t>https://www.nomisweb.co.uk/reports/localarea?compare=E08000032</w:t>
        </w:r>
      </w:hyperlink>
      <w:r w:rsidRPr="00F24EED">
        <w:rPr>
          <w:rFonts w:ascii="Times New Roman" w:eastAsia="Times New Roman" w:hAnsi="Times New Roman" w:cs="Times New Roman"/>
          <w:sz w:val="24"/>
          <w:szCs w:val="24"/>
        </w:rPr>
        <w:t>.</w:t>
      </w:r>
    </w:p>
    <w:p w:rsidR="00F24EED" w:rsidRPr="00F24EED" w:rsidRDefault="00F24EED" w:rsidP="00F24EED">
      <w:pPr>
        <w:pStyle w:val="ListParagraph"/>
        <w:rPr>
          <w:rFonts w:ascii="Times New Roman" w:eastAsia="Times New Roman" w:hAnsi="Times New Roman" w:cs="Times New Roman"/>
          <w:sz w:val="24"/>
          <w:szCs w:val="24"/>
        </w:rPr>
      </w:pPr>
    </w:p>
    <w:p w:rsidR="00F24EED" w:rsidRPr="00F24EED" w:rsidRDefault="00F24EED" w:rsidP="00F24EED">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F24EED">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F24EED">
        <w:rPr>
          <w:rFonts w:ascii="Times New Roman" w:eastAsia="Times New Roman" w:hAnsi="Times New Roman" w:cs="Times New Roman"/>
          <w:sz w:val="24"/>
          <w:szCs w:val="24"/>
        </w:rPr>
        <w:t xml:space="preserve">Census, "Bristol - Local Area Report," accessed March 11, 2023, </w:t>
      </w:r>
      <w:hyperlink r:id="rId11" w:tgtFrame="_new" w:history="1">
        <w:r w:rsidRPr="00F24EED">
          <w:rPr>
            <w:rFonts w:ascii="Times New Roman" w:eastAsia="Times New Roman" w:hAnsi="Times New Roman" w:cs="Times New Roman"/>
            <w:color w:val="0000FF"/>
            <w:sz w:val="24"/>
            <w:szCs w:val="24"/>
            <w:u w:val="single"/>
          </w:rPr>
          <w:t>https://www.nomisweb.co.uk/reports/localarea?compare=E06000023</w:t>
        </w:r>
      </w:hyperlink>
      <w:r w:rsidRPr="00F24EED">
        <w:rPr>
          <w:rFonts w:ascii="Times New Roman" w:eastAsia="Times New Roman" w:hAnsi="Times New Roman" w:cs="Times New Roman"/>
          <w:sz w:val="24"/>
          <w:szCs w:val="24"/>
        </w:rPr>
        <w:t>.</w:t>
      </w:r>
    </w:p>
    <w:p w:rsidR="00F24EED" w:rsidRPr="00F24EED" w:rsidRDefault="00F24EED" w:rsidP="00F24EED">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Pr="00F24EED" w:rsidRDefault="005A4661" w:rsidP="00F24EED">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F24EED">
        <w:rPr>
          <w:rFonts w:ascii="Times New Roman" w:eastAsia="Times New Roman" w:hAnsi="Times New Roman" w:cs="Times New Roman"/>
          <w:sz w:val="24"/>
          <w:szCs w:val="24"/>
        </w:rPr>
        <w:t xml:space="preserve">City Metric, "Why Bristol is the best city in the UK for cycling," accessed March 11, 2023, </w:t>
      </w:r>
      <w:hyperlink r:id="rId12" w:tgtFrame="_new" w:history="1">
        <w:r w:rsidRPr="00F24EED">
          <w:rPr>
            <w:rFonts w:ascii="Times New Roman" w:eastAsia="Times New Roman" w:hAnsi="Times New Roman" w:cs="Times New Roman"/>
            <w:color w:val="0000FF"/>
            <w:sz w:val="24"/>
            <w:szCs w:val="24"/>
            <w:u w:val="single"/>
          </w:rPr>
          <w:t>https://www.citymetric.com/transport/why-bristol-best-city-uk-cycling-5468</w:t>
        </w:r>
      </w:hyperlink>
      <w:r w:rsidRPr="00F24EED">
        <w:rPr>
          <w:rFonts w:ascii="Times New Roman" w:eastAsia="Times New Roman" w:hAnsi="Times New Roman" w:cs="Times New Roman"/>
          <w:sz w:val="24"/>
          <w:szCs w:val="24"/>
        </w:rPr>
        <w:t>.</w:t>
      </w:r>
    </w:p>
    <w:p w:rsidR="005A4661" w:rsidRDefault="005A4661" w:rsidP="00E71CF0">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E71CF0">
        <w:rPr>
          <w:rFonts w:ascii="Times New Roman" w:eastAsia="Times New Roman" w:hAnsi="Times New Roman" w:cs="Times New Roman"/>
          <w:sz w:val="24"/>
          <w:szCs w:val="24"/>
        </w:rPr>
        <w:lastRenderedPageBreak/>
        <w:t xml:space="preserve">Department for Environment, Food and Rural Affairs, "Indices of Deprivation 2019," accessed March 11, 2023, </w:t>
      </w:r>
      <w:hyperlink r:id="rId13" w:tgtFrame="_new" w:history="1">
        <w:r w:rsidRPr="00E71CF0">
          <w:rPr>
            <w:rFonts w:ascii="Times New Roman" w:eastAsia="Times New Roman" w:hAnsi="Times New Roman" w:cs="Times New Roman"/>
            <w:color w:val="0000FF"/>
            <w:sz w:val="24"/>
            <w:szCs w:val="24"/>
            <w:u w:val="single"/>
          </w:rPr>
          <w:t>https://www.gov.uk/government/statistics/english-indices-of-deprivation-2019</w:t>
        </w:r>
      </w:hyperlink>
      <w:r w:rsidRPr="00E71CF0">
        <w:rPr>
          <w:rFonts w:ascii="Times New Roman" w:eastAsia="Times New Roman" w:hAnsi="Times New Roman" w:cs="Times New Roman"/>
          <w:sz w:val="24"/>
          <w:szCs w:val="24"/>
        </w:rPr>
        <w:t>.</w:t>
      </w:r>
    </w:p>
    <w:p w:rsidR="00E71CF0" w:rsidRPr="00E71CF0" w:rsidRDefault="00E71CF0" w:rsidP="00E71CF0">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E71CF0">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E71CF0">
        <w:rPr>
          <w:rFonts w:ascii="Times New Roman" w:eastAsia="Times New Roman" w:hAnsi="Times New Roman" w:cs="Times New Roman"/>
          <w:sz w:val="24"/>
          <w:szCs w:val="24"/>
        </w:rPr>
        <w:t xml:space="preserve">Dr. Tom Smith, "Understanding the socio-economic diversity of Bristol," Bristol City Council, accessed March 11, 2023, </w:t>
      </w:r>
      <w:hyperlink r:id="rId14" w:tgtFrame="_new" w:history="1">
        <w:r w:rsidRPr="00E71CF0">
          <w:rPr>
            <w:rFonts w:ascii="Times New Roman" w:eastAsia="Times New Roman" w:hAnsi="Times New Roman" w:cs="Times New Roman"/>
            <w:color w:val="0000FF"/>
            <w:sz w:val="24"/>
            <w:szCs w:val="24"/>
            <w:u w:val="single"/>
          </w:rPr>
          <w:t>https://www.bristol.gov.uk/documents/20142/330812/Socio-economic+diversity+in+Bristol+2018.pdf/4b4df5e8-2a31-9b38-c54b-27f0b90d48c1</w:t>
        </w:r>
      </w:hyperlink>
      <w:r w:rsidRPr="00E71CF0">
        <w:rPr>
          <w:rFonts w:ascii="Times New Roman" w:eastAsia="Times New Roman" w:hAnsi="Times New Roman" w:cs="Times New Roman"/>
          <w:sz w:val="24"/>
          <w:szCs w:val="24"/>
        </w:rPr>
        <w:t>.</w:t>
      </w:r>
      <w:r w:rsidR="00E71CF0">
        <w:rPr>
          <w:rFonts w:ascii="Times New Roman" w:eastAsia="Times New Roman" w:hAnsi="Times New Roman" w:cs="Times New Roman"/>
          <w:sz w:val="24"/>
          <w:szCs w:val="24"/>
        </w:rPr>
        <w:t xml:space="preserve"> </w:t>
      </w:r>
    </w:p>
    <w:p w:rsidR="00E71CF0" w:rsidRPr="00E71CF0" w:rsidRDefault="00E71CF0" w:rsidP="00E71CF0">
      <w:pPr>
        <w:pStyle w:val="ListParagraph"/>
        <w:rPr>
          <w:rFonts w:ascii="Times New Roman" w:eastAsia="Times New Roman" w:hAnsi="Times New Roman" w:cs="Times New Roman"/>
          <w:sz w:val="24"/>
          <w:szCs w:val="24"/>
        </w:rPr>
      </w:pPr>
    </w:p>
    <w:p w:rsidR="00E71CF0" w:rsidRPr="00E71CF0" w:rsidRDefault="00E71CF0" w:rsidP="00E71CF0">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E71CF0">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E71CF0">
        <w:rPr>
          <w:rFonts w:ascii="Times New Roman" w:eastAsia="Times New Roman" w:hAnsi="Times New Roman" w:cs="Times New Roman"/>
          <w:sz w:val="24"/>
          <w:szCs w:val="24"/>
        </w:rPr>
        <w:t xml:space="preserve">Frank </w:t>
      </w:r>
      <w:proofErr w:type="spellStart"/>
      <w:r w:rsidRPr="00E71CF0">
        <w:rPr>
          <w:rFonts w:ascii="Times New Roman" w:eastAsia="Times New Roman" w:hAnsi="Times New Roman" w:cs="Times New Roman"/>
          <w:sz w:val="24"/>
          <w:szCs w:val="24"/>
        </w:rPr>
        <w:t>Moulaert</w:t>
      </w:r>
      <w:proofErr w:type="spellEnd"/>
      <w:r w:rsidRPr="00E71CF0">
        <w:rPr>
          <w:rFonts w:ascii="Times New Roman" w:eastAsia="Times New Roman" w:hAnsi="Times New Roman" w:cs="Times New Roman"/>
          <w:sz w:val="24"/>
          <w:szCs w:val="24"/>
        </w:rPr>
        <w:t>, "Social innovation: Institutionally embedded, territorially (re)produced," Local Economy 26, no. 4 (2011): 386-398.</w:t>
      </w:r>
    </w:p>
    <w:p w:rsidR="00E71CF0" w:rsidRPr="00E71CF0" w:rsidRDefault="00E71CF0" w:rsidP="00E71CF0">
      <w:pPr>
        <w:pStyle w:val="ListParagraph"/>
        <w:spacing w:before="100" w:beforeAutospacing="1" w:after="100" w:afterAutospacing="1" w:line="240" w:lineRule="auto"/>
        <w:rPr>
          <w:rFonts w:ascii="Times New Roman" w:eastAsia="Times New Roman" w:hAnsi="Times New Roman" w:cs="Times New Roman"/>
          <w:sz w:val="24"/>
          <w:szCs w:val="24"/>
        </w:rPr>
      </w:pPr>
    </w:p>
    <w:p w:rsidR="00E71CF0" w:rsidRDefault="005A4661" w:rsidP="00E71CF0">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E71CF0">
        <w:rPr>
          <w:rFonts w:ascii="Times New Roman" w:eastAsia="Times New Roman" w:hAnsi="Times New Roman" w:cs="Times New Roman"/>
          <w:sz w:val="24"/>
          <w:szCs w:val="24"/>
        </w:rPr>
        <w:t xml:space="preserve">James </w:t>
      </w:r>
      <w:proofErr w:type="spellStart"/>
      <w:r w:rsidRPr="00E71CF0">
        <w:rPr>
          <w:rFonts w:ascii="Times New Roman" w:eastAsia="Times New Roman" w:hAnsi="Times New Roman" w:cs="Times New Roman"/>
          <w:sz w:val="24"/>
          <w:szCs w:val="24"/>
        </w:rPr>
        <w:t>Derounian</w:t>
      </w:r>
      <w:proofErr w:type="spellEnd"/>
      <w:r w:rsidRPr="00E71CF0">
        <w:rPr>
          <w:rFonts w:ascii="Times New Roman" w:eastAsia="Times New Roman" w:hAnsi="Times New Roman" w:cs="Times New Roman"/>
          <w:sz w:val="24"/>
          <w:szCs w:val="24"/>
        </w:rPr>
        <w:t>, "Good governance, collaboration and partnership: the keys to success in building sustainable communities in England," Journal of Environmental Planning and Management 58, no. 9 (2015): 1527-1548.</w:t>
      </w:r>
    </w:p>
    <w:p w:rsidR="00E71CF0" w:rsidRPr="00E71CF0" w:rsidRDefault="00E71CF0" w:rsidP="00E71CF0">
      <w:pPr>
        <w:pStyle w:val="ListParagraph"/>
        <w:rPr>
          <w:rFonts w:ascii="Times New Roman" w:eastAsia="Times New Roman" w:hAnsi="Times New Roman" w:cs="Times New Roman"/>
          <w:sz w:val="24"/>
          <w:szCs w:val="24"/>
        </w:rPr>
      </w:pPr>
    </w:p>
    <w:p w:rsidR="00E71CF0" w:rsidRPr="00E71CF0" w:rsidRDefault="00E71CF0" w:rsidP="00E71CF0">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E71CF0">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E71CF0">
        <w:rPr>
          <w:rFonts w:ascii="Times New Roman" w:eastAsia="Times New Roman" w:hAnsi="Times New Roman" w:cs="Times New Roman"/>
          <w:sz w:val="24"/>
          <w:szCs w:val="24"/>
        </w:rPr>
        <w:t xml:space="preserve">Joseph </w:t>
      </w:r>
      <w:proofErr w:type="spellStart"/>
      <w:r w:rsidRPr="00E71CF0">
        <w:rPr>
          <w:rFonts w:ascii="Times New Roman" w:eastAsia="Times New Roman" w:hAnsi="Times New Roman" w:cs="Times New Roman"/>
          <w:sz w:val="24"/>
          <w:szCs w:val="24"/>
        </w:rPr>
        <w:t>Rowntree</w:t>
      </w:r>
      <w:proofErr w:type="spellEnd"/>
      <w:r w:rsidRPr="00E71CF0">
        <w:rPr>
          <w:rFonts w:ascii="Times New Roman" w:eastAsia="Times New Roman" w:hAnsi="Times New Roman" w:cs="Times New Roman"/>
          <w:sz w:val="24"/>
          <w:szCs w:val="24"/>
        </w:rPr>
        <w:t xml:space="preserve"> Foundation, "The cost of social exclusion in the UK," last modified June 2020, </w:t>
      </w:r>
      <w:hyperlink r:id="rId15" w:tgtFrame="_new" w:history="1">
        <w:r w:rsidRPr="00E71CF0">
          <w:rPr>
            <w:rFonts w:ascii="Times New Roman" w:eastAsia="Times New Roman" w:hAnsi="Times New Roman" w:cs="Times New Roman"/>
            <w:color w:val="0000FF"/>
            <w:sz w:val="24"/>
            <w:szCs w:val="24"/>
            <w:u w:val="single"/>
          </w:rPr>
          <w:t>https://www.jrf.org.uk/report/cost-social-exclusion-uk</w:t>
        </w:r>
      </w:hyperlink>
      <w:r w:rsidRPr="00E71CF0">
        <w:rPr>
          <w:rFonts w:ascii="Times New Roman" w:eastAsia="Times New Roman" w:hAnsi="Times New Roman" w:cs="Times New Roman"/>
          <w:sz w:val="24"/>
          <w:szCs w:val="24"/>
        </w:rPr>
        <w:t>.</w:t>
      </w:r>
      <w:r w:rsidR="00E71CF0">
        <w:rPr>
          <w:rFonts w:ascii="Times New Roman" w:eastAsia="Times New Roman" w:hAnsi="Times New Roman" w:cs="Times New Roman"/>
          <w:sz w:val="24"/>
          <w:szCs w:val="24"/>
        </w:rPr>
        <w:t xml:space="preserve"> </w:t>
      </w:r>
    </w:p>
    <w:p w:rsidR="00E71CF0" w:rsidRPr="00E71CF0" w:rsidRDefault="00E71CF0" w:rsidP="00E71CF0">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Default="005A4661" w:rsidP="00E71CF0">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E71CF0">
        <w:rPr>
          <w:rFonts w:ascii="Times New Roman" w:eastAsia="Times New Roman" w:hAnsi="Times New Roman" w:cs="Times New Roman"/>
          <w:sz w:val="24"/>
          <w:szCs w:val="24"/>
        </w:rPr>
        <w:t xml:space="preserve">Office for National Statistics, "Annual Survey of Hours and Earnings: 2021 provisional and 2020 revised results," last modified November 2021, </w:t>
      </w:r>
      <w:hyperlink r:id="rId16" w:tgtFrame="_new" w:history="1">
        <w:r w:rsidRPr="00E71CF0">
          <w:rPr>
            <w:rFonts w:ascii="Times New Roman" w:eastAsia="Times New Roman" w:hAnsi="Times New Roman" w:cs="Times New Roman"/>
            <w:color w:val="0000FF"/>
            <w:sz w:val="24"/>
            <w:szCs w:val="24"/>
            <w:u w:val="single"/>
          </w:rPr>
          <w:t>https://www.ons.gov.uk/employmentandlabourmarket/peopleinwork/earningsandworkinghours/datasets/annualsurveyofhoursandearningsasheprovisionalandrevisedresults</w:t>
        </w:r>
      </w:hyperlink>
      <w:r w:rsidRPr="00E71CF0">
        <w:rPr>
          <w:rFonts w:ascii="Times New Roman" w:eastAsia="Times New Roman" w:hAnsi="Times New Roman" w:cs="Times New Roman"/>
          <w:sz w:val="24"/>
          <w:szCs w:val="24"/>
        </w:rPr>
        <w:t>.</w:t>
      </w:r>
    </w:p>
    <w:p w:rsidR="00E71CF0" w:rsidRPr="00E71CF0" w:rsidRDefault="00E71CF0" w:rsidP="00E71CF0">
      <w:pPr>
        <w:pStyle w:val="ListParagraph"/>
        <w:rPr>
          <w:rFonts w:ascii="Times New Roman" w:eastAsia="Times New Roman" w:hAnsi="Times New Roman" w:cs="Times New Roman"/>
          <w:sz w:val="24"/>
          <w:szCs w:val="24"/>
        </w:rPr>
      </w:pPr>
    </w:p>
    <w:p w:rsidR="00E71CF0" w:rsidRPr="00E71CF0" w:rsidRDefault="00E71CF0" w:rsidP="00E71CF0">
      <w:pPr>
        <w:pStyle w:val="ListParagraph"/>
        <w:spacing w:before="100" w:beforeAutospacing="1" w:after="100" w:afterAutospacing="1" w:line="240" w:lineRule="auto"/>
        <w:rPr>
          <w:rFonts w:ascii="Times New Roman" w:eastAsia="Times New Roman" w:hAnsi="Times New Roman" w:cs="Times New Roman"/>
          <w:sz w:val="24"/>
          <w:szCs w:val="24"/>
        </w:rPr>
      </w:pPr>
    </w:p>
    <w:p w:rsidR="005A4661" w:rsidRPr="00E71CF0" w:rsidRDefault="005A4661" w:rsidP="00E71CF0">
      <w:pPr>
        <w:pStyle w:val="ListParagraph"/>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E71CF0">
        <w:rPr>
          <w:rFonts w:ascii="Times New Roman" w:eastAsia="Times New Roman" w:hAnsi="Times New Roman" w:cs="Times New Roman"/>
          <w:sz w:val="24"/>
          <w:szCs w:val="24"/>
        </w:rPr>
        <w:t>West of England Combined Authority, "State of the Region Report 2021," accessed March 11, 2023,</w:t>
      </w:r>
    </w:p>
    <w:p w:rsidR="005A4661" w:rsidRPr="005A4661" w:rsidRDefault="005A4661" w:rsidP="005A4661"/>
    <w:sectPr w:rsidR="005A4661" w:rsidRPr="005A4661" w:rsidSect="009478D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altName w:val="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Arial"/>
    <w:charset w:val="00"/>
    <w:family w:val="swiss"/>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DC29A1"/>
    <w:multiLevelType w:val="hybridMultilevel"/>
    <w:tmpl w:val="8A683F9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0E174DE5"/>
    <w:multiLevelType w:val="hybridMultilevel"/>
    <w:tmpl w:val="5B646C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A255DB"/>
    <w:multiLevelType w:val="multilevel"/>
    <w:tmpl w:val="D326D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D8029FF"/>
    <w:multiLevelType w:val="hybridMultilevel"/>
    <w:tmpl w:val="417697D6"/>
    <w:lvl w:ilvl="0" w:tplc="1AC66650">
      <w:start w:val="1"/>
      <w:numFmt w:val="decimal"/>
      <w:suff w:val="space"/>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6A44C16"/>
    <w:multiLevelType w:val="hybridMultilevel"/>
    <w:tmpl w:val="8C96D666"/>
    <w:lvl w:ilvl="0" w:tplc="1AC66650">
      <w:start w:val="1"/>
      <w:numFmt w:val="decimal"/>
      <w:suff w:val="space"/>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0354377"/>
    <w:multiLevelType w:val="hybridMultilevel"/>
    <w:tmpl w:val="A2DA1752"/>
    <w:lvl w:ilvl="0" w:tplc="81A8978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6DE5662"/>
    <w:multiLevelType w:val="hybridMultilevel"/>
    <w:tmpl w:val="E1ECAC8C"/>
    <w:lvl w:ilvl="0" w:tplc="256035C0">
      <w:start w:val="1"/>
      <w:numFmt w:val="decimal"/>
      <w:lvlText w:val="%1."/>
      <w:lvlJc w:val="left"/>
      <w:pPr>
        <w:ind w:left="751" w:hanging="290"/>
        <w:jc w:val="left"/>
      </w:pPr>
      <w:rPr>
        <w:rFonts w:ascii="Trebuchet MS" w:eastAsia="Trebuchet MS" w:hAnsi="Trebuchet MS" w:cs="Trebuchet MS" w:hint="default"/>
        <w:color w:val="2D74B5"/>
        <w:spacing w:val="-2"/>
        <w:w w:val="84"/>
        <w:sz w:val="28"/>
        <w:szCs w:val="28"/>
        <w:lang w:val="en-US" w:eastAsia="en-US" w:bidi="ar-SA"/>
      </w:rPr>
    </w:lvl>
    <w:lvl w:ilvl="1" w:tplc="7F00A5A8">
      <w:numFmt w:val="bullet"/>
      <w:lvlText w:val="•"/>
      <w:lvlJc w:val="left"/>
      <w:pPr>
        <w:ind w:left="1638" w:hanging="290"/>
      </w:pPr>
      <w:rPr>
        <w:rFonts w:hint="default"/>
        <w:lang w:val="en-US" w:eastAsia="en-US" w:bidi="ar-SA"/>
      </w:rPr>
    </w:lvl>
    <w:lvl w:ilvl="2" w:tplc="D1D0A58A">
      <w:numFmt w:val="bullet"/>
      <w:lvlText w:val="•"/>
      <w:lvlJc w:val="left"/>
      <w:pPr>
        <w:ind w:left="2516" w:hanging="290"/>
      </w:pPr>
      <w:rPr>
        <w:rFonts w:hint="default"/>
        <w:lang w:val="en-US" w:eastAsia="en-US" w:bidi="ar-SA"/>
      </w:rPr>
    </w:lvl>
    <w:lvl w:ilvl="3" w:tplc="27764EE4">
      <w:numFmt w:val="bullet"/>
      <w:lvlText w:val="•"/>
      <w:lvlJc w:val="left"/>
      <w:pPr>
        <w:ind w:left="3394" w:hanging="290"/>
      </w:pPr>
      <w:rPr>
        <w:rFonts w:hint="default"/>
        <w:lang w:val="en-US" w:eastAsia="en-US" w:bidi="ar-SA"/>
      </w:rPr>
    </w:lvl>
    <w:lvl w:ilvl="4" w:tplc="D1846F44">
      <w:numFmt w:val="bullet"/>
      <w:lvlText w:val="•"/>
      <w:lvlJc w:val="left"/>
      <w:pPr>
        <w:ind w:left="4272" w:hanging="290"/>
      </w:pPr>
      <w:rPr>
        <w:rFonts w:hint="default"/>
        <w:lang w:val="en-US" w:eastAsia="en-US" w:bidi="ar-SA"/>
      </w:rPr>
    </w:lvl>
    <w:lvl w:ilvl="5" w:tplc="0C66F6DA">
      <w:numFmt w:val="bullet"/>
      <w:lvlText w:val="•"/>
      <w:lvlJc w:val="left"/>
      <w:pPr>
        <w:ind w:left="5150" w:hanging="290"/>
      </w:pPr>
      <w:rPr>
        <w:rFonts w:hint="default"/>
        <w:lang w:val="en-US" w:eastAsia="en-US" w:bidi="ar-SA"/>
      </w:rPr>
    </w:lvl>
    <w:lvl w:ilvl="6" w:tplc="B3B220B2">
      <w:numFmt w:val="bullet"/>
      <w:lvlText w:val="•"/>
      <w:lvlJc w:val="left"/>
      <w:pPr>
        <w:ind w:left="6028" w:hanging="290"/>
      </w:pPr>
      <w:rPr>
        <w:rFonts w:hint="default"/>
        <w:lang w:val="en-US" w:eastAsia="en-US" w:bidi="ar-SA"/>
      </w:rPr>
    </w:lvl>
    <w:lvl w:ilvl="7" w:tplc="97BA23F0">
      <w:numFmt w:val="bullet"/>
      <w:lvlText w:val="•"/>
      <w:lvlJc w:val="left"/>
      <w:pPr>
        <w:ind w:left="6906" w:hanging="290"/>
      </w:pPr>
      <w:rPr>
        <w:rFonts w:hint="default"/>
        <w:lang w:val="en-US" w:eastAsia="en-US" w:bidi="ar-SA"/>
      </w:rPr>
    </w:lvl>
    <w:lvl w:ilvl="8" w:tplc="F6A22548">
      <w:numFmt w:val="bullet"/>
      <w:lvlText w:val="•"/>
      <w:lvlJc w:val="left"/>
      <w:pPr>
        <w:ind w:left="7784" w:hanging="290"/>
      </w:pPr>
      <w:rPr>
        <w:rFonts w:hint="default"/>
        <w:lang w:val="en-US" w:eastAsia="en-US" w:bidi="ar-SA"/>
      </w:rPr>
    </w:lvl>
  </w:abstractNum>
  <w:abstractNum w:abstractNumId="7">
    <w:nsid w:val="7B4D7E69"/>
    <w:multiLevelType w:val="hybridMultilevel"/>
    <w:tmpl w:val="E3F02C54"/>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0"/>
  </w:num>
  <w:num w:numId="5">
    <w:abstractNumId w:val="7"/>
  </w:num>
  <w:num w:numId="6">
    <w:abstractNumId w:val="2"/>
  </w:num>
  <w:num w:numId="7">
    <w:abstractNumId w:val="6"/>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hideSpellingErrors/>
  <w:hideGrammaticalErrors/>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2MjI3NjcysjAwNzOzsDRQ0lEKTi0uzszPAykwrgUAT/OI/iwAAAA="/>
  </w:docVars>
  <w:rsids>
    <w:rsidRoot w:val="00A67BAA"/>
    <w:rsid w:val="00050396"/>
    <w:rsid w:val="00056F1D"/>
    <w:rsid w:val="000703C4"/>
    <w:rsid w:val="0009038D"/>
    <w:rsid w:val="000B2B55"/>
    <w:rsid w:val="000B4535"/>
    <w:rsid w:val="000C445E"/>
    <w:rsid w:val="000D40FA"/>
    <w:rsid w:val="000E5146"/>
    <w:rsid w:val="001036D5"/>
    <w:rsid w:val="00150ED8"/>
    <w:rsid w:val="00153EA7"/>
    <w:rsid w:val="0015550E"/>
    <w:rsid w:val="00173A0A"/>
    <w:rsid w:val="0019013A"/>
    <w:rsid w:val="001924F8"/>
    <w:rsid w:val="001D2A27"/>
    <w:rsid w:val="001D6A17"/>
    <w:rsid w:val="001E2B38"/>
    <w:rsid w:val="001E2F88"/>
    <w:rsid w:val="001F234C"/>
    <w:rsid w:val="001F2C6B"/>
    <w:rsid w:val="0020707C"/>
    <w:rsid w:val="00211691"/>
    <w:rsid w:val="00243436"/>
    <w:rsid w:val="002535D0"/>
    <w:rsid w:val="00255DD2"/>
    <w:rsid w:val="00257D2E"/>
    <w:rsid w:val="0027165F"/>
    <w:rsid w:val="00273E37"/>
    <w:rsid w:val="00292004"/>
    <w:rsid w:val="00294168"/>
    <w:rsid w:val="002A59DE"/>
    <w:rsid w:val="002B6539"/>
    <w:rsid w:val="002D0630"/>
    <w:rsid w:val="002D7AAA"/>
    <w:rsid w:val="002E125C"/>
    <w:rsid w:val="00323C23"/>
    <w:rsid w:val="003322D4"/>
    <w:rsid w:val="00334071"/>
    <w:rsid w:val="003341CE"/>
    <w:rsid w:val="00342AE0"/>
    <w:rsid w:val="003523CC"/>
    <w:rsid w:val="0035521B"/>
    <w:rsid w:val="00371641"/>
    <w:rsid w:val="0037388D"/>
    <w:rsid w:val="00374061"/>
    <w:rsid w:val="003A1933"/>
    <w:rsid w:val="003D7DB2"/>
    <w:rsid w:val="003E6AAE"/>
    <w:rsid w:val="003F4821"/>
    <w:rsid w:val="00414F5C"/>
    <w:rsid w:val="00431E85"/>
    <w:rsid w:val="00433FC9"/>
    <w:rsid w:val="004401D1"/>
    <w:rsid w:val="00452BA4"/>
    <w:rsid w:val="0045390B"/>
    <w:rsid w:val="0046001E"/>
    <w:rsid w:val="00464053"/>
    <w:rsid w:val="00477DDF"/>
    <w:rsid w:val="00492763"/>
    <w:rsid w:val="004A126B"/>
    <w:rsid w:val="004A6515"/>
    <w:rsid w:val="004C2147"/>
    <w:rsid w:val="004D175D"/>
    <w:rsid w:val="004D5BE2"/>
    <w:rsid w:val="004D6603"/>
    <w:rsid w:val="004F25A6"/>
    <w:rsid w:val="004F43F9"/>
    <w:rsid w:val="00504CB1"/>
    <w:rsid w:val="005050CF"/>
    <w:rsid w:val="00505BAC"/>
    <w:rsid w:val="00544A72"/>
    <w:rsid w:val="00553189"/>
    <w:rsid w:val="005674CF"/>
    <w:rsid w:val="005741A1"/>
    <w:rsid w:val="005746B8"/>
    <w:rsid w:val="005A4661"/>
    <w:rsid w:val="005B55D0"/>
    <w:rsid w:val="005D5F92"/>
    <w:rsid w:val="005E680C"/>
    <w:rsid w:val="005F6C39"/>
    <w:rsid w:val="00611F8B"/>
    <w:rsid w:val="006216D7"/>
    <w:rsid w:val="006241B1"/>
    <w:rsid w:val="00640C13"/>
    <w:rsid w:val="006503D8"/>
    <w:rsid w:val="00652D6D"/>
    <w:rsid w:val="00697934"/>
    <w:rsid w:val="006A36A5"/>
    <w:rsid w:val="006C20D4"/>
    <w:rsid w:val="006D485A"/>
    <w:rsid w:val="006D6E7F"/>
    <w:rsid w:val="006E1670"/>
    <w:rsid w:val="006F76E4"/>
    <w:rsid w:val="006F7931"/>
    <w:rsid w:val="007353B6"/>
    <w:rsid w:val="00741583"/>
    <w:rsid w:val="00742FE6"/>
    <w:rsid w:val="00743813"/>
    <w:rsid w:val="0076649B"/>
    <w:rsid w:val="00795EDA"/>
    <w:rsid w:val="007964AC"/>
    <w:rsid w:val="00797633"/>
    <w:rsid w:val="007B09C6"/>
    <w:rsid w:val="007C0F7A"/>
    <w:rsid w:val="007D58DC"/>
    <w:rsid w:val="007D6710"/>
    <w:rsid w:val="00807F5C"/>
    <w:rsid w:val="00812D1D"/>
    <w:rsid w:val="008217F3"/>
    <w:rsid w:val="008430FC"/>
    <w:rsid w:val="0088071B"/>
    <w:rsid w:val="00881CD2"/>
    <w:rsid w:val="00890844"/>
    <w:rsid w:val="008A0124"/>
    <w:rsid w:val="008B76AD"/>
    <w:rsid w:val="008D2A43"/>
    <w:rsid w:val="008E3DD6"/>
    <w:rsid w:val="009238B0"/>
    <w:rsid w:val="00934B68"/>
    <w:rsid w:val="009478D9"/>
    <w:rsid w:val="0098594C"/>
    <w:rsid w:val="0099381D"/>
    <w:rsid w:val="009A3530"/>
    <w:rsid w:val="009D0FE7"/>
    <w:rsid w:val="009D1953"/>
    <w:rsid w:val="00A02CC6"/>
    <w:rsid w:val="00A06CDA"/>
    <w:rsid w:val="00A156B1"/>
    <w:rsid w:val="00A24205"/>
    <w:rsid w:val="00A25981"/>
    <w:rsid w:val="00A47AEA"/>
    <w:rsid w:val="00A5041D"/>
    <w:rsid w:val="00A67BAA"/>
    <w:rsid w:val="00A74020"/>
    <w:rsid w:val="00A74C45"/>
    <w:rsid w:val="00A752CD"/>
    <w:rsid w:val="00AA0A60"/>
    <w:rsid w:val="00AC1863"/>
    <w:rsid w:val="00AC5E1C"/>
    <w:rsid w:val="00B012FA"/>
    <w:rsid w:val="00B01BE6"/>
    <w:rsid w:val="00B13841"/>
    <w:rsid w:val="00B50C57"/>
    <w:rsid w:val="00B6364A"/>
    <w:rsid w:val="00B64D0C"/>
    <w:rsid w:val="00B71828"/>
    <w:rsid w:val="00BB24D7"/>
    <w:rsid w:val="00BB3CA0"/>
    <w:rsid w:val="00BE5A58"/>
    <w:rsid w:val="00BF5C05"/>
    <w:rsid w:val="00C012EB"/>
    <w:rsid w:val="00C0468E"/>
    <w:rsid w:val="00C231F5"/>
    <w:rsid w:val="00C35B3A"/>
    <w:rsid w:val="00C56DAE"/>
    <w:rsid w:val="00C6076A"/>
    <w:rsid w:val="00C71786"/>
    <w:rsid w:val="00C71F66"/>
    <w:rsid w:val="00C729C4"/>
    <w:rsid w:val="00C81B77"/>
    <w:rsid w:val="00C84F06"/>
    <w:rsid w:val="00C948F4"/>
    <w:rsid w:val="00CB0CF9"/>
    <w:rsid w:val="00CB223A"/>
    <w:rsid w:val="00CB4E14"/>
    <w:rsid w:val="00CB57DA"/>
    <w:rsid w:val="00CC5D68"/>
    <w:rsid w:val="00CC68D2"/>
    <w:rsid w:val="00CE69EB"/>
    <w:rsid w:val="00CF7376"/>
    <w:rsid w:val="00D210B5"/>
    <w:rsid w:val="00D34724"/>
    <w:rsid w:val="00D35679"/>
    <w:rsid w:val="00D35C56"/>
    <w:rsid w:val="00D71584"/>
    <w:rsid w:val="00D71733"/>
    <w:rsid w:val="00D8278D"/>
    <w:rsid w:val="00D84671"/>
    <w:rsid w:val="00D86A0C"/>
    <w:rsid w:val="00DC152D"/>
    <w:rsid w:val="00DE5713"/>
    <w:rsid w:val="00DE754B"/>
    <w:rsid w:val="00DF34F4"/>
    <w:rsid w:val="00DF372C"/>
    <w:rsid w:val="00E155FC"/>
    <w:rsid w:val="00E52823"/>
    <w:rsid w:val="00E55721"/>
    <w:rsid w:val="00E562FF"/>
    <w:rsid w:val="00E71CF0"/>
    <w:rsid w:val="00E76F4E"/>
    <w:rsid w:val="00E82E6A"/>
    <w:rsid w:val="00EA17FC"/>
    <w:rsid w:val="00EA640A"/>
    <w:rsid w:val="00EB1272"/>
    <w:rsid w:val="00EF4560"/>
    <w:rsid w:val="00F24EED"/>
    <w:rsid w:val="00F470FE"/>
    <w:rsid w:val="00F51E18"/>
    <w:rsid w:val="00F52E11"/>
    <w:rsid w:val="00F71E55"/>
    <w:rsid w:val="00F87367"/>
    <w:rsid w:val="00F94112"/>
    <w:rsid w:val="00FB22EF"/>
    <w:rsid w:val="00FC4411"/>
    <w:rsid w:val="00FE4F3B"/>
    <w:rsid w:val="00FF4DD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78D9"/>
  </w:style>
  <w:style w:type="paragraph" w:styleId="Heading1">
    <w:name w:val="heading 1"/>
    <w:basedOn w:val="Normal"/>
    <w:next w:val="Normal"/>
    <w:link w:val="Heading1Char"/>
    <w:uiPriority w:val="9"/>
    <w:qFormat/>
    <w:rsid w:val="00640C1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C13"/>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C948F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7ColorfulAccent5">
    <w:name w:val="Grid Table 7 Colorful Accent 5"/>
    <w:basedOn w:val="TableNormal"/>
    <w:uiPriority w:val="52"/>
    <w:rsid w:val="002535D0"/>
    <w:pPr>
      <w:spacing w:after="0" w:line="240" w:lineRule="auto"/>
    </w:pPr>
    <w:rPr>
      <w:color w:val="2F5496" w:themeColor="accent5" w:themeShade="BF"/>
    </w:r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ListParagraph">
    <w:name w:val="List Paragraph"/>
    <w:basedOn w:val="Normal"/>
    <w:uiPriority w:val="34"/>
    <w:qFormat/>
    <w:rsid w:val="00A74020"/>
    <w:pPr>
      <w:ind w:left="720"/>
      <w:contextualSpacing/>
    </w:pPr>
  </w:style>
  <w:style w:type="paragraph" w:styleId="NormalWeb">
    <w:name w:val="Normal (Web)"/>
    <w:basedOn w:val="Normal"/>
    <w:uiPriority w:val="99"/>
    <w:unhideWhenUsed/>
    <w:rsid w:val="00CB0CF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A4661"/>
    <w:rPr>
      <w:color w:val="0000FF"/>
      <w:u w:val="single"/>
    </w:rPr>
  </w:style>
  <w:style w:type="paragraph" w:styleId="BodyText">
    <w:name w:val="Body Text"/>
    <w:basedOn w:val="Normal"/>
    <w:link w:val="BodyTextChar"/>
    <w:uiPriority w:val="1"/>
    <w:qFormat/>
    <w:rsid w:val="00CB223A"/>
    <w:pPr>
      <w:widowControl w:val="0"/>
      <w:autoSpaceDE w:val="0"/>
      <w:autoSpaceDN w:val="0"/>
      <w:spacing w:before="3" w:after="0" w:line="240" w:lineRule="auto"/>
    </w:pPr>
    <w:rPr>
      <w:rFonts w:ascii="Carlito" w:eastAsia="Carlito" w:hAnsi="Carlito" w:cs="Carlito"/>
    </w:rPr>
  </w:style>
  <w:style w:type="character" w:customStyle="1" w:styleId="BodyTextChar">
    <w:name w:val="Body Text Char"/>
    <w:basedOn w:val="DefaultParagraphFont"/>
    <w:link w:val="BodyText"/>
    <w:uiPriority w:val="1"/>
    <w:rsid w:val="00CB223A"/>
    <w:rPr>
      <w:rFonts w:ascii="Carlito" w:eastAsia="Carlito" w:hAnsi="Carlito" w:cs="Carlito"/>
    </w:rPr>
  </w:style>
  <w:style w:type="paragraph" w:styleId="Title">
    <w:name w:val="Title"/>
    <w:basedOn w:val="Normal"/>
    <w:link w:val="TitleChar"/>
    <w:uiPriority w:val="1"/>
    <w:qFormat/>
    <w:rsid w:val="00CB223A"/>
    <w:pPr>
      <w:widowControl w:val="0"/>
      <w:autoSpaceDE w:val="0"/>
      <w:autoSpaceDN w:val="0"/>
      <w:spacing w:after="0" w:line="626" w:lineRule="exact"/>
      <w:ind w:left="1664" w:right="1643"/>
      <w:jc w:val="center"/>
    </w:pPr>
    <w:rPr>
      <w:rFonts w:ascii="Trebuchet MS" w:eastAsia="Trebuchet MS" w:hAnsi="Trebuchet MS" w:cs="Trebuchet MS"/>
      <w:sz w:val="54"/>
      <w:szCs w:val="54"/>
    </w:rPr>
  </w:style>
  <w:style w:type="character" w:customStyle="1" w:styleId="TitleChar">
    <w:name w:val="Title Char"/>
    <w:basedOn w:val="DefaultParagraphFont"/>
    <w:link w:val="Title"/>
    <w:uiPriority w:val="1"/>
    <w:rsid w:val="00CB223A"/>
    <w:rPr>
      <w:rFonts w:ascii="Trebuchet MS" w:eastAsia="Trebuchet MS" w:hAnsi="Trebuchet MS" w:cs="Trebuchet MS"/>
      <w:sz w:val="54"/>
      <w:szCs w:val="54"/>
    </w:rPr>
  </w:style>
  <w:style w:type="paragraph" w:customStyle="1" w:styleId="TableParagraph">
    <w:name w:val="Table Paragraph"/>
    <w:basedOn w:val="Normal"/>
    <w:uiPriority w:val="1"/>
    <w:qFormat/>
    <w:rsid w:val="00CB223A"/>
    <w:pPr>
      <w:widowControl w:val="0"/>
      <w:autoSpaceDE w:val="0"/>
      <w:autoSpaceDN w:val="0"/>
      <w:spacing w:before="117" w:after="0" w:line="240" w:lineRule="auto"/>
      <w:ind w:left="648" w:right="647"/>
      <w:jc w:val="center"/>
    </w:pPr>
    <w:rPr>
      <w:rFonts w:ascii="Arial" w:eastAsia="Arial" w:hAnsi="Arial" w:cs="Arial"/>
    </w:rPr>
  </w:style>
</w:styles>
</file>

<file path=word/webSettings.xml><?xml version="1.0" encoding="utf-8"?>
<w:webSettings xmlns:r="http://schemas.openxmlformats.org/officeDocument/2006/relationships" xmlns:w="http://schemas.openxmlformats.org/wordprocessingml/2006/main">
  <w:divs>
    <w:div w:id="4747831">
      <w:bodyDiv w:val="1"/>
      <w:marLeft w:val="0"/>
      <w:marRight w:val="0"/>
      <w:marTop w:val="0"/>
      <w:marBottom w:val="0"/>
      <w:divBdr>
        <w:top w:val="none" w:sz="0" w:space="0" w:color="auto"/>
        <w:left w:val="none" w:sz="0" w:space="0" w:color="auto"/>
        <w:bottom w:val="none" w:sz="0" w:space="0" w:color="auto"/>
        <w:right w:val="none" w:sz="0" w:space="0" w:color="auto"/>
      </w:divBdr>
    </w:div>
    <w:div w:id="47386376">
      <w:bodyDiv w:val="1"/>
      <w:marLeft w:val="0"/>
      <w:marRight w:val="0"/>
      <w:marTop w:val="0"/>
      <w:marBottom w:val="0"/>
      <w:divBdr>
        <w:top w:val="none" w:sz="0" w:space="0" w:color="auto"/>
        <w:left w:val="none" w:sz="0" w:space="0" w:color="auto"/>
        <w:bottom w:val="none" w:sz="0" w:space="0" w:color="auto"/>
        <w:right w:val="none" w:sz="0" w:space="0" w:color="auto"/>
      </w:divBdr>
    </w:div>
    <w:div w:id="170604294">
      <w:bodyDiv w:val="1"/>
      <w:marLeft w:val="0"/>
      <w:marRight w:val="0"/>
      <w:marTop w:val="0"/>
      <w:marBottom w:val="0"/>
      <w:divBdr>
        <w:top w:val="none" w:sz="0" w:space="0" w:color="auto"/>
        <w:left w:val="none" w:sz="0" w:space="0" w:color="auto"/>
        <w:bottom w:val="none" w:sz="0" w:space="0" w:color="auto"/>
        <w:right w:val="none" w:sz="0" w:space="0" w:color="auto"/>
      </w:divBdr>
      <w:divsChild>
        <w:div w:id="2094278729">
          <w:marLeft w:val="0"/>
          <w:marRight w:val="0"/>
          <w:marTop w:val="0"/>
          <w:marBottom w:val="0"/>
          <w:divBdr>
            <w:top w:val="none" w:sz="0" w:space="0" w:color="auto"/>
            <w:left w:val="none" w:sz="0" w:space="0" w:color="auto"/>
            <w:bottom w:val="none" w:sz="0" w:space="0" w:color="auto"/>
            <w:right w:val="none" w:sz="0" w:space="0" w:color="auto"/>
          </w:divBdr>
          <w:divsChild>
            <w:div w:id="444157664">
              <w:marLeft w:val="0"/>
              <w:marRight w:val="0"/>
              <w:marTop w:val="0"/>
              <w:marBottom w:val="0"/>
              <w:divBdr>
                <w:top w:val="none" w:sz="0" w:space="0" w:color="auto"/>
                <w:left w:val="none" w:sz="0" w:space="0" w:color="auto"/>
                <w:bottom w:val="none" w:sz="0" w:space="0" w:color="auto"/>
                <w:right w:val="none" w:sz="0" w:space="0" w:color="auto"/>
              </w:divBdr>
              <w:divsChild>
                <w:div w:id="34952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82373">
      <w:bodyDiv w:val="1"/>
      <w:marLeft w:val="0"/>
      <w:marRight w:val="0"/>
      <w:marTop w:val="0"/>
      <w:marBottom w:val="0"/>
      <w:divBdr>
        <w:top w:val="none" w:sz="0" w:space="0" w:color="auto"/>
        <w:left w:val="none" w:sz="0" w:space="0" w:color="auto"/>
        <w:bottom w:val="none" w:sz="0" w:space="0" w:color="auto"/>
        <w:right w:val="none" w:sz="0" w:space="0" w:color="auto"/>
      </w:divBdr>
    </w:div>
    <w:div w:id="292104826">
      <w:bodyDiv w:val="1"/>
      <w:marLeft w:val="0"/>
      <w:marRight w:val="0"/>
      <w:marTop w:val="0"/>
      <w:marBottom w:val="0"/>
      <w:divBdr>
        <w:top w:val="none" w:sz="0" w:space="0" w:color="auto"/>
        <w:left w:val="none" w:sz="0" w:space="0" w:color="auto"/>
        <w:bottom w:val="none" w:sz="0" w:space="0" w:color="auto"/>
        <w:right w:val="none" w:sz="0" w:space="0" w:color="auto"/>
      </w:divBdr>
    </w:div>
    <w:div w:id="540869115">
      <w:bodyDiv w:val="1"/>
      <w:marLeft w:val="0"/>
      <w:marRight w:val="0"/>
      <w:marTop w:val="0"/>
      <w:marBottom w:val="0"/>
      <w:divBdr>
        <w:top w:val="none" w:sz="0" w:space="0" w:color="auto"/>
        <w:left w:val="none" w:sz="0" w:space="0" w:color="auto"/>
        <w:bottom w:val="none" w:sz="0" w:space="0" w:color="auto"/>
        <w:right w:val="none" w:sz="0" w:space="0" w:color="auto"/>
      </w:divBdr>
      <w:divsChild>
        <w:div w:id="829907705">
          <w:marLeft w:val="0"/>
          <w:marRight w:val="0"/>
          <w:marTop w:val="0"/>
          <w:marBottom w:val="0"/>
          <w:divBdr>
            <w:top w:val="none" w:sz="0" w:space="0" w:color="auto"/>
            <w:left w:val="none" w:sz="0" w:space="0" w:color="auto"/>
            <w:bottom w:val="none" w:sz="0" w:space="0" w:color="auto"/>
            <w:right w:val="none" w:sz="0" w:space="0" w:color="auto"/>
          </w:divBdr>
          <w:divsChild>
            <w:div w:id="1923100623">
              <w:marLeft w:val="0"/>
              <w:marRight w:val="0"/>
              <w:marTop w:val="0"/>
              <w:marBottom w:val="0"/>
              <w:divBdr>
                <w:top w:val="none" w:sz="0" w:space="0" w:color="auto"/>
                <w:left w:val="none" w:sz="0" w:space="0" w:color="auto"/>
                <w:bottom w:val="none" w:sz="0" w:space="0" w:color="auto"/>
                <w:right w:val="none" w:sz="0" w:space="0" w:color="auto"/>
              </w:divBdr>
              <w:divsChild>
                <w:div w:id="17924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54581">
      <w:bodyDiv w:val="1"/>
      <w:marLeft w:val="0"/>
      <w:marRight w:val="0"/>
      <w:marTop w:val="0"/>
      <w:marBottom w:val="0"/>
      <w:divBdr>
        <w:top w:val="none" w:sz="0" w:space="0" w:color="auto"/>
        <w:left w:val="none" w:sz="0" w:space="0" w:color="auto"/>
        <w:bottom w:val="none" w:sz="0" w:space="0" w:color="auto"/>
        <w:right w:val="none" w:sz="0" w:space="0" w:color="auto"/>
      </w:divBdr>
      <w:divsChild>
        <w:div w:id="1614359806">
          <w:marLeft w:val="0"/>
          <w:marRight w:val="0"/>
          <w:marTop w:val="0"/>
          <w:marBottom w:val="0"/>
          <w:divBdr>
            <w:top w:val="none" w:sz="0" w:space="0" w:color="auto"/>
            <w:left w:val="none" w:sz="0" w:space="0" w:color="auto"/>
            <w:bottom w:val="none" w:sz="0" w:space="0" w:color="auto"/>
            <w:right w:val="none" w:sz="0" w:space="0" w:color="auto"/>
          </w:divBdr>
          <w:divsChild>
            <w:div w:id="727387663">
              <w:marLeft w:val="0"/>
              <w:marRight w:val="0"/>
              <w:marTop w:val="0"/>
              <w:marBottom w:val="0"/>
              <w:divBdr>
                <w:top w:val="none" w:sz="0" w:space="0" w:color="auto"/>
                <w:left w:val="none" w:sz="0" w:space="0" w:color="auto"/>
                <w:bottom w:val="none" w:sz="0" w:space="0" w:color="auto"/>
                <w:right w:val="none" w:sz="0" w:space="0" w:color="auto"/>
              </w:divBdr>
              <w:divsChild>
                <w:div w:id="180002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923997">
      <w:bodyDiv w:val="1"/>
      <w:marLeft w:val="0"/>
      <w:marRight w:val="0"/>
      <w:marTop w:val="0"/>
      <w:marBottom w:val="0"/>
      <w:divBdr>
        <w:top w:val="none" w:sz="0" w:space="0" w:color="auto"/>
        <w:left w:val="none" w:sz="0" w:space="0" w:color="auto"/>
        <w:bottom w:val="none" w:sz="0" w:space="0" w:color="auto"/>
        <w:right w:val="none" w:sz="0" w:space="0" w:color="auto"/>
      </w:divBdr>
      <w:divsChild>
        <w:div w:id="1216042449">
          <w:marLeft w:val="0"/>
          <w:marRight w:val="0"/>
          <w:marTop w:val="0"/>
          <w:marBottom w:val="0"/>
          <w:divBdr>
            <w:top w:val="none" w:sz="0" w:space="0" w:color="auto"/>
            <w:left w:val="none" w:sz="0" w:space="0" w:color="auto"/>
            <w:bottom w:val="none" w:sz="0" w:space="0" w:color="auto"/>
            <w:right w:val="none" w:sz="0" w:space="0" w:color="auto"/>
          </w:divBdr>
          <w:divsChild>
            <w:div w:id="2062824774">
              <w:marLeft w:val="0"/>
              <w:marRight w:val="0"/>
              <w:marTop w:val="0"/>
              <w:marBottom w:val="0"/>
              <w:divBdr>
                <w:top w:val="none" w:sz="0" w:space="0" w:color="auto"/>
                <w:left w:val="none" w:sz="0" w:space="0" w:color="auto"/>
                <w:bottom w:val="none" w:sz="0" w:space="0" w:color="auto"/>
                <w:right w:val="none" w:sz="0" w:space="0" w:color="auto"/>
              </w:divBdr>
              <w:divsChild>
                <w:div w:id="85460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781278">
      <w:bodyDiv w:val="1"/>
      <w:marLeft w:val="0"/>
      <w:marRight w:val="0"/>
      <w:marTop w:val="0"/>
      <w:marBottom w:val="0"/>
      <w:divBdr>
        <w:top w:val="none" w:sz="0" w:space="0" w:color="auto"/>
        <w:left w:val="none" w:sz="0" w:space="0" w:color="auto"/>
        <w:bottom w:val="none" w:sz="0" w:space="0" w:color="auto"/>
        <w:right w:val="none" w:sz="0" w:space="0" w:color="auto"/>
      </w:divBdr>
    </w:div>
    <w:div w:id="1541359214">
      <w:bodyDiv w:val="1"/>
      <w:marLeft w:val="0"/>
      <w:marRight w:val="0"/>
      <w:marTop w:val="0"/>
      <w:marBottom w:val="0"/>
      <w:divBdr>
        <w:top w:val="none" w:sz="0" w:space="0" w:color="auto"/>
        <w:left w:val="none" w:sz="0" w:space="0" w:color="auto"/>
        <w:bottom w:val="none" w:sz="0" w:space="0" w:color="auto"/>
        <w:right w:val="none" w:sz="0" w:space="0" w:color="auto"/>
      </w:divBdr>
    </w:div>
    <w:div w:id="1618177025">
      <w:bodyDiv w:val="1"/>
      <w:marLeft w:val="0"/>
      <w:marRight w:val="0"/>
      <w:marTop w:val="0"/>
      <w:marBottom w:val="0"/>
      <w:divBdr>
        <w:top w:val="none" w:sz="0" w:space="0" w:color="auto"/>
        <w:left w:val="none" w:sz="0" w:space="0" w:color="auto"/>
        <w:bottom w:val="none" w:sz="0" w:space="0" w:color="auto"/>
        <w:right w:val="none" w:sz="0" w:space="0" w:color="auto"/>
      </w:divBdr>
    </w:div>
    <w:div w:id="1835607252">
      <w:bodyDiv w:val="1"/>
      <w:marLeft w:val="0"/>
      <w:marRight w:val="0"/>
      <w:marTop w:val="0"/>
      <w:marBottom w:val="0"/>
      <w:divBdr>
        <w:top w:val="none" w:sz="0" w:space="0" w:color="auto"/>
        <w:left w:val="none" w:sz="0" w:space="0" w:color="auto"/>
        <w:bottom w:val="none" w:sz="0" w:space="0" w:color="auto"/>
        <w:right w:val="none" w:sz="0" w:space="0" w:color="auto"/>
      </w:divBdr>
    </w:div>
    <w:div w:id="194611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adford.gov.uk/media/4759/economic-profile-march-2022.pdf" TargetMode="External"/><Relationship Id="rId13" Type="http://schemas.openxmlformats.org/officeDocument/2006/relationships/hyperlink" Target="https://www.gov.uk/government/statistics/english-indices-of-deprivation-201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astcompany.com/90242586/bristol-englands-economic-engine-is-running-on-renewable-energy" TargetMode="External"/><Relationship Id="rId12" Type="http://schemas.openxmlformats.org/officeDocument/2006/relationships/hyperlink" Target="https://www.citymetric.com/transport/why-bristol-best-city-uk-cycling-546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ns.gov.uk/employmentandlabourmarket/peopleinwork/earningsandworkinghours/datasets/annualsurveyofhoursandearningsasheprovisionalandrevisedresult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nomisweb.co.uk/reports/localarea?compare=E06000023" TargetMode="External"/><Relationship Id="rId5" Type="http://schemas.openxmlformats.org/officeDocument/2006/relationships/image" Target="media/image1.png"/><Relationship Id="rId15" Type="http://schemas.openxmlformats.org/officeDocument/2006/relationships/hyperlink" Target="https://www.jrf.org.uk/report/cost-social-exclusion-uk" TargetMode="External"/><Relationship Id="rId10" Type="http://schemas.openxmlformats.org/officeDocument/2006/relationships/hyperlink" Target="https://www.nomisweb.co.uk/reports/localarea?compare=E08000032" TargetMode="External"/><Relationship Id="rId4" Type="http://schemas.openxmlformats.org/officeDocument/2006/relationships/webSettings" Target="webSettings.xml"/><Relationship Id="rId9" Type="http://schemas.openxmlformats.org/officeDocument/2006/relationships/hyperlink" Target="https://www.bristol.gov.uk/documents/20142/330812/Inequality+2018.pdf/11612cf5-3d84-9c3b-8a43-c11e018b6145" TargetMode="External"/><Relationship Id="rId14" Type="http://schemas.openxmlformats.org/officeDocument/2006/relationships/hyperlink" Target="https://www.bristol.gov.uk/documents/20142/330812/Socio-economic+diversity+in+Bristol+2018.pdf/4b4df5e8-2a31-9b38-c54b-27f0b90d48c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10</Pages>
  <Words>2842</Words>
  <Characters>16201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ROCK MOBILE</cp:lastModifiedBy>
  <cp:revision>18</cp:revision>
  <dcterms:created xsi:type="dcterms:W3CDTF">2023-03-13T14:09:00Z</dcterms:created>
  <dcterms:modified xsi:type="dcterms:W3CDTF">2023-03-13T15:18:00Z</dcterms:modified>
</cp:coreProperties>
</file>