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00060819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548B50E4" w14:textId="5E2A88A2" w:rsidR="00BF044D" w:rsidRDefault="00BF044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7FAB2140" wp14:editId="54C7E357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242852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7794DDA" w14:textId="0C4CC397" w:rsidR="00BF044D" w:rsidRDefault="00BF044D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242852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242852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Omeneke Yusuf (2009232)</w:t>
                                      </w:r>
                                    </w:p>
                                  </w:sdtContent>
                                </w:sdt>
                                <w:p w14:paraId="73AC7B2F" w14:textId="56484A07" w:rsidR="00BF044D" w:rsidRPr="00B61C64" w:rsidRDefault="00BF044D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242852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242852" w:themeColor="text2"/>
                                        <w:spacing w:val="10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AA260B" w:rsidRPr="00B61C64"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BUSHRA KHAN</w:t>
                                      </w:r>
                                      <w:r w:rsidR="00B61C64"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r w:rsidR="00AA260B" w:rsidRPr="00B61C64"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(</w:t>
                                      </w:r>
                                      <w:r w:rsidR="00B61C64" w:rsidRPr="00B61C64"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1818384</w:t>
                                      </w:r>
                                      <w:r w:rsidR="00AA260B" w:rsidRPr="00B61C64"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FAB2140" id="Group 38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242852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242852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7794DDA" w14:textId="0C4CC397" w:rsidR="00BF044D" w:rsidRDefault="00BF044D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242852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242852" w:themeColor="text2"/>
                                    <w:spacing w:val="10"/>
                                    <w:sz w:val="36"/>
                                    <w:szCs w:val="36"/>
                                  </w:rPr>
                                  <w:t>Omeneke Yusuf (2009232)</w:t>
                                </w:r>
                              </w:p>
                            </w:sdtContent>
                          </w:sdt>
                          <w:p w14:paraId="73AC7B2F" w14:textId="56484A07" w:rsidR="00BF044D" w:rsidRPr="00B61C64" w:rsidRDefault="00BF044D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242852" w:themeColor="text2"/>
                                <w:spacing w:val="10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242852" w:themeColor="text2"/>
                                  <w:spacing w:val="10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AA260B" w:rsidRPr="00B61C64"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  <w:t>BUSHRA KHAN</w:t>
                                </w:r>
                                <w:r w:rsidR="00B61C64"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AA260B" w:rsidRPr="00B61C64"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  <w:t>(</w:t>
                                </w:r>
                                <w:r w:rsidR="00B61C64" w:rsidRPr="00B61C64"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  <w:t>1818384</w:t>
                                </w:r>
                                <w:r w:rsidR="00AA260B" w:rsidRPr="00B61C64"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  <w:t>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023483EC" wp14:editId="33F06ED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5715" b="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8936F18" w14:textId="717A8877" w:rsidR="00BF044D" w:rsidRPr="00AA260B" w:rsidRDefault="00BF044D" w:rsidP="00124AD9">
                                      <w:pPr>
                                        <w:pStyle w:val="NoSpacing"/>
                                        <w:spacing w:after="240" w:line="276" w:lineRule="auto"/>
                                        <w:rPr>
                                          <w:rFonts w:ascii="Arial" w:hAnsi="Arial" w:cs="Arial"/>
                                          <w:color w:val="242852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AA260B">
                                        <w:rPr>
                                          <w:rFonts w:ascii="Arial" w:hAnsi="Arial" w:cs="Arial"/>
                                          <w:sz w:val="32"/>
                                          <w:szCs w:val="32"/>
                                        </w:rPr>
                                        <w:t>DEBATE ON THE CHANGES</w:t>
                                      </w:r>
                                      <w:r w:rsidR="00AA260B">
                                        <w:rPr>
                                          <w:rFonts w:ascii="Arial" w:hAnsi="Arial" w:cs="Arial"/>
                                          <w:sz w:val="32"/>
                                          <w:szCs w:val="32"/>
                                        </w:rPr>
                                        <w:t xml:space="preserve"> THAT</w:t>
                                      </w:r>
                                      <w:r w:rsidRPr="00AA260B">
                                        <w:rPr>
                                          <w:rFonts w:ascii="Arial" w:hAnsi="Arial" w:cs="Arial"/>
                                          <w:sz w:val="32"/>
                                          <w:szCs w:val="32"/>
                                        </w:rPr>
                                        <w:t xml:space="preserve"> HAVE OCCURRED IN UK MENTAL HEALTH LEGISLATION AND HOW THIS CAN IMPROVE OR IMPAIR THE </w:t>
                                      </w:r>
                                      <w:r w:rsidR="00AA260B">
                                        <w:rPr>
                                          <w:rFonts w:ascii="Arial" w:hAnsi="Arial" w:cs="Arial"/>
                                          <w:sz w:val="32"/>
                                          <w:szCs w:val="32"/>
                                        </w:rPr>
                                        <w:t>PEOPLE WITH DEMENTIA</w:t>
                                      </w:r>
                                    </w:p>
                                  </w:sdtContent>
                                </w:sdt>
                                <w:bookmarkStart w:id="0" w:name="_GoBack"/>
                                <w:p w14:paraId="2B19D213" w14:textId="28F43002" w:rsidR="00BF044D" w:rsidRPr="00B61C64" w:rsidRDefault="00BF044D" w:rsidP="00124AD9">
                                  <w:pPr>
                                    <w:pStyle w:val="NoSpacing"/>
                                    <w:spacing w:line="276" w:lineRule="auto"/>
                                    <w:rPr>
                                      <w:rFonts w:ascii="Arial" w:hAnsi="Arial" w:cs="Arial"/>
                                      <w:caps/>
                                      <w:color w:val="242852" w:themeColor="text2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242852" w:themeColor="text2"/>
                                        <w:sz w:val="36"/>
                                        <w:szCs w:val="36"/>
                                      </w:rPr>
                                      <w:alias w:val="Title"/>
                                      <w:tag w:val=""/>
                                      <w:id w:val="-917322602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15:appearance w15:val="hidden"/>
                                      <w:text/>
                                    </w:sdtPr>
                                    <w:sdtContent>
                                      <w:r w:rsidR="00AA260B" w:rsidRPr="00B61C64">
                                        <w:rPr>
                                          <w:rFonts w:ascii="Arial" w:hAnsi="Arial" w:cs="Arial"/>
                                          <w:caps/>
                                          <w:color w:val="242852" w:themeColor="text2"/>
                                          <w:sz w:val="36"/>
                                          <w:szCs w:val="36"/>
                                        </w:rPr>
                                        <w:t>BMH</w:t>
                                      </w:r>
                                      <w:r w:rsidR="00B61C64" w:rsidRPr="00B61C64">
                                        <w:rPr>
                                          <w:rFonts w:ascii="Arial" w:hAnsi="Arial" w:cs="Arial"/>
                                          <w:caps/>
                                          <w:color w:val="242852" w:themeColor="text2"/>
                                          <w:sz w:val="36"/>
                                          <w:szCs w:val="36"/>
                                        </w:rPr>
                                        <w:t xml:space="preserve">P </w:t>
                                      </w:r>
                                    </w:sdtContent>
                                  </w:sdt>
                                  <w:bookmarkEnd w:id="0"/>
                                  <w:r w:rsidR="00B61C64" w:rsidRPr="00B61C64">
                                    <w:rPr>
                                      <w:rFonts w:ascii="Arial" w:hAnsi="Arial" w:cs="Arial"/>
                                      <w:caps/>
                                      <w:color w:val="242852" w:themeColor="text2"/>
                                      <w:sz w:val="36"/>
                                      <w:szCs w:val="36"/>
                                    </w:rPr>
                                    <w:t>6006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23483EC" id="Group 3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242852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8936F18" w14:textId="717A8877" w:rsidR="00BF044D" w:rsidRPr="00AA260B" w:rsidRDefault="00BF044D" w:rsidP="00124AD9">
                                <w:pPr>
                                  <w:pStyle w:val="NoSpacing"/>
                                  <w:spacing w:after="240" w:line="276" w:lineRule="auto"/>
                                  <w:rPr>
                                    <w:rFonts w:ascii="Arial" w:hAnsi="Arial" w:cs="Arial"/>
                                    <w:color w:val="242852" w:themeColor="text2"/>
                                    <w:spacing w:val="10"/>
                                    <w:sz w:val="32"/>
                                    <w:szCs w:val="32"/>
                                  </w:rPr>
                                </w:pPr>
                                <w:r w:rsidRPr="00AA260B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DEBATE ON THE CHANGES</w:t>
                                </w:r>
                                <w:r w:rsidR="00AA260B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THAT</w:t>
                                </w:r>
                                <w:r w:rsidRPr="00AA260B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HAVE OCCURRED IN UK MENTAL HEALTH LEGISLATION AND HOW THIS CAN IMPROVE OR IMPAIR THE </w:t>
                                </w:r>
                                <w:r w:rsidR="00AA260B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PEOPLE WITH DEMENTIA</w:t>
                                </w:r>
                              </w:p>
                            </w:sdtContent>
                          </w:sdt>
                          <w:bookmarkStart w:id="1" w:name="_GoBack"/>
                          <w:p w14:paraId="2B19D213" w14:textId="28F43002" w:rsidR="00BF044D" w:rsidRPr="00B61C64" w:rsidRDefault="00BF044D" w:rsidP="00124AD9">
                            <w:pPr>
                              <w:pStyle w:val="NoSpacing"/>
                              <w:spacing w:line="276" w:lineRule="auto"/>
                              <w:rPr>
                                <w:rFonts w:ascii="Arial" w:hAnsi="Arial" w:cs="Arial"/>
                                <w:caps/>
                                <w:color w:val="242852" w:themeColor="text2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242852" w:themeColor="text2"/>
                                  <w:sz w:val="36"/>
                                  <w:szCs w:val="36"/>
                                </w:rPr>
                                <w:alias w:val="Title"/>
                                <w:tag w:val=""/>
                                <w:id w:val="-917322602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r w:rsidR="00AA260B" w:rsidRPr="00B61C64">
                                  <w:rPr>
                                    <w:rFonts w:ascii="Arial" w:hAnsi="Arial" w:cs="Arial"/>
                                    <w:caps/>
                                    <w:color w:val="242852" w:themeColor="text2"/>
                                    <w:sz w:val="36"/>
                                    <w:szCs w:val="36"/>
                                  </w:rPr>
                                  <w:t>BMH</w:t>
                                </w:r>
                                <w:r w:rsidR="00B61C64" w:rsidRPr="00B61C64">
                                  <w:rPr>
                                    <w:rFonts w:ascii="Arial" w:hAnsi="Arial" w:cs="Arial"/>
                                    <w:caps/>
                                    <w:color w:val="242852" w:themeColor="text2"/>
                                    <w:sz w:val="36"/>
                                    <w:szCs w:val="36"/>
                                  </w:rPr>
                                  <w:t xml:space="preserve">P </w:t>
                                </w:r>
                              </w:sdtContent>
                            </w:sdt>
                            <w:bookmarkEnd w:id="1"/>
                            <w:r w:rsidR="00B61C64" w:rsidRPr="00B61C64">
                              <w:rPr>
                                <w:rFonts w:ascii="Arial" w:hAnsi="Arial" w:cs="Arial"/>
                                <w:caps/>
                                <w:color w:val="242852" w:themeColor="text2"/>
                                <w:sz w:val="36"/>
                                <w:szCs w:val="36"/>
                              </w:rPr>
                              <w:t>6006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94B2514" wp14:editId="57D121D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0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8E95CEE" id="Rectangle 40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accbf9 [3214]" stroked="f">
                    <w10:wrap anchorx="page" anchory="page"/>
                  </v:rect>
                </w:pict>
              </mc:Fallback>
            </mc:AlternateContent>
          </w:r>
        </w:p>
        <w:p w14:paraId="3A641043" w14:textId="7B7C3DED" w:rsidR="00BF044D" w:rsidRDefault="00BF044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sdt>
      <w:sdtPr>
        <w:id w:val="-529957685"/>
        <w:docPartObj>
          <w:docPartGallery w:val="Bibliographies"/>
          <w:docPartUnique/>
        </w:docPartObj>
      </w:sdtPr>
      <w:sdtEndPr>
        <w:rPr>
          <w:rFonts w:asciiTheme="minorHAnsi" w:hAnsiTheme="minorHAnsi"/>
          <w:b/>
          <w:bCs/>
          <w:color w:val="auto"/>
          <w:sz w:val="21"/>
          <w:szCs w:val="21"/>
        </w:rPr>
      </w:sdtEndPr>
      <w:sdtContent>
        <w:p w14:paraId="224333D4" w14:textId="1685788D" w:rsidR="00124AD9" w:rsidRDefault="00124AD9">
          <w:pPr>
            <w:pStyle w:val="Heading1"/>
          </w:pPr>
          <w:r>
            <w:t>REFERENCES</w:t>
          </w:r>
        </w:p>
        <w:p w14:paraId="58878CC1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Alzheimer’s Research UK (2022).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Perceptions and inequalities</w:t>
          </w:r>
          <w:r w:rsidRPr="00124AD9">
            <w:rPr>
              <w:rFonts w:ascii="Arial" w:hAnsi="Arial" w:cs="Arial"/>
              <w:sz w:val="22"/>
              <w:szCs w:val="22"/>
            </w:rPr>
            <w:t>. [online] Dementia Statistics Hub. Available at: https://dementiastatistics.org/perceptions-and-inequalities/.</w:t>
          </w:r>
        </w:p>
        <w:p w14:paraId="632FB3C9" w14:textId="6B052AAD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Daw, R. (2014). The Mental Health Act 2007 – The Defeat of an Ideal.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International Journal of Mental Health and Capacity Law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1(16), p.131.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https://doi.org/10.19164/ijmhcl.v1i16.210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38110089" w14:textId="6412D4D5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Draper, B. and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Withall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 xml:space="preserve">, A. (2016). Young onset dementia.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Internal Medicine Journal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46(7), pp.779–786.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https://doi.org/10.1111/imj.13099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7F4E4B6D" w14:textId="7F5299A1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Fennell, P. (2014). The Mental Capacity Act 2005, the Mental Health Act 1983, and the Common Law.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International Journal of Mental Health and Capacity Law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1(13), p.163.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https://doi.org/10.19164/ijmhcl.v1i13.178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79B0959F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Hambrook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 xml:space="preserve">, C. (2019).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Further towards an Affirmative Model of Disability - Disability Arts Online</w:t>
          </w:r>
          <w:r w:rsidRPr="00124AD9">
            <w:rPr>
              <w:rFonts w:ascii="Arial" w:hAnsi="Arial" w:cs="Arial"/>
              <w:sz w:val="22"/>
              <w:szCs w:val="22"/>
            </w:rPr>
            <w:t>. [online] Disability Arts Online. Available at: https://disabilityarts.online/magazine/opinion/towards-affirmative-model-disability/ [Accessed 13 Jun. 2023].</w:t>
          </w:r>
        </w:p>
        <w:p w14:paraId="0668ECE0" w14:textId="57DF8B73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Hare, P. (2016). Dementia without Walls: reflections on the Joseph Rowntree Foundation programme.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Working with Older People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20(3), pp.134–143.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https://doi.org/10.1108/wwop-06-2016-0012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02540773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ICD.WHO.INT. (2010).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ICD-10 Version:2010</w:t>
          </w:r>
          <w:r w:rsidRPr="00124AD9">
            <w:rPr>
              <w:rFonts w:ascii="Arial" w:hAnsi="Arial" w:cs="Arial"/>
              <w:sz w:val="22"/>
              <w:szCs w:val="22"/>
            </w:rPr>
            <w:t>. [online] Available at: https://icd.who.int/browse10/2010/en#/F00.</w:t>
          </w:r>
        </w:p>
        <w:p w14:paraId="6CAE717C" w14:textId="6604D738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Knut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Engedal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 xml:space="preserve">, L.H. (2014). Young Onset Dementia study – A Prospective Cohort Study of Quality of Life and Specific Needs in Persons with Young Onset Dementia and their Families.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Journal of Clinical Trials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05(01).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https://doi.org/10.4172/2167-0870.1000204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7B44906A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Legislation.gov.uk. (1983).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Health Act 1983</w:t>
          </w:r>
          <w:r w:rsidRPr="00124AD9">
            <w:rPr>
              <w:rFonts w:ascii="Arial" w:hAnsi="Arial" w:cs="Arial"/>
              <w:sz w:val="22"/>
              <w:szCs w:val="22"/>
            </w:rPr>
            <w:t>. [online] Available at: https://www.legislation.gov.uk/ukpga/1983/20/contents.</w:t>
          </w:r>
        </w:p>
        <w:p w14:paraId="106538B5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Mental Health Act (2007).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Health Act 2007</w:t>
          </w:r>
          <w:r w:rsidRPr="00124AD9">
            <w:rPr>
              <w:rFonts w:ascii="Arial" w:hAnsi="Arial" w:cs="Arial"/>
              <w:sz w:val="22"/>
              <w:szCs w:val="22"/>
            </w:rPr>
            <w:t>. [online] Legislation.gov.uk. Available at: https://www.legislation.gov.uk/ukpga/2007/12/contents.</w:t>
          </w:r>
        </w:p>
        <w:p w14:paraId="163D3785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National Institute for Health and Care Excellence (2023).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NICE | The National Institute for Health and Care Excellence</w:t>
          </w:r>
          <w:r w:rsidRPr="00124AD9">
            <w:rPr>
              <w:rFonts w:ascii="Arial" w:hAnsi="Arial" w:cs="Arial"/>
              <w:sz w:val="22"/>
              <w:szCs w:val="22"/>
            </w:rPr>
            <w:t>. [online] NICE. Available at: https://www.nice.org.uk/.</w:t>
          </w:r>
        </w:p>
        <w:p w14:paraId="4587B2E5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lastRenderedPageBreak/>
            <w:t xml:space="preserve">NHS (2017).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Dementia guide</w:t>
          </w:r>
          <w:r w:rsidRPr="00124AD9">
            <w:rPr>
              <w:rFonts w:ascii="Arial" w:hAnsi="Arial" w:cs="Arial"/>
              <w:sz w:val="22"/>
              <w:szCs w:val="22"/>
            </w:rPr>
            <w:t>. [online] nhs.uk. Available at: https://www.nhs.uk/conditions/dementia/.</w:t>
          </w:r>
        </w:p>
        <w:p w14:paraId="01E6E345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NHS (2021).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Capacity Act</w:t>
          </w:r>
          <w:r w:rsidRPr="00124AD9">
            <w:rPr>
              <w:rFonts w:ascii="Arial" w:hAnsi="Arial" w:cs="Arial"/>
              <w:sz w:val="22"/>
              <w:szCs w:val="22"/>
            </w:rPr>
            <w:t>. [online] NHS. Available at: https://www.nhs.uk/conditions/social-care-and-support-guide/making-decisions-for-someone-else/mental-capacity-act/.</w:t>
          </w:r>
        </w:p>
        <w:p w14:paraId="11A98D02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NHS (2022).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health act</w:t>
          </w:r>
          <w:r w:rsidRPr="00124AD9">
            <w:rPr>
              <w:rFonts w:ascii="Arial" w:hAnsi="Arial" w:cs="Arial"/>
              <w:sz w:val="22"/>
              <w:szCs w:val="22"/>
            </w:rPr>
            <w:t>. [online] nhs.uk. Available at: https://www.nhs.uk/mental-health/social-care-and-your-rights/mental-health-and-the-law/mental-health-act/.</w:t>
          </w:r>
        </w:p>
        <w:p w14:paraId="30934F62" w14:textId="50165E25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Shaw, G. (2011). Dementia in the Workplace.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Neurology Now</w:t>
          </w:r>
          <w:r w:rsidRPr="00124AD9">
            <w:rPr>
              <w:rFonts w:ascii="Arial" w:hAnsi="Arial" w:cs="Arial"/>
              <w:sz w:val="22"/>
              <w:szCs w:val="22"/>
            </w:rPr>
            <w:t xml:space="preserve">, 7(6), pp.30–33. </w:t>
          </w:r>
          <w:proofErr w:type="spellStart"/>
          <w:r w:rsidRPr="00124AD9">
            <w:rPr>
              <w:rFonts w:ascii="Arial" w:hAnsi="Arial" w:cs="Arial"/>
              <w:sz w:val="22"/>
              <w:szCs w:val="22"/>
            </w:rPr>
            <w:t>doi</w:t>
          </w:r>
          <w:proofErr w:type="spellEnd"/>
          <w:r w:rsidRPr="00124AD9">
            <w:rPr>
              <w:rFonts w:ascii="Arial" w:hAnsi="Arial" w:cs="Arial"/>
              <w:sz w:val="22"/>
              <w:szCs w:val="22"/>
            </w:rPr>
            <w:t>: https://doi.org/10.1097/01.nnn.0000410097.11866.68</w:t>
          </w:r>
          <w:r w:rsidRPr="00124AD9">
            <w:rPr>
              <w:rFonts w:ascii="Arial" w:hAnsi="Arial" w:cs="Arial"/>
              <w:sz w:val="22"/>
              <w:szCs w:val="22"/>
            </w:rPr>
            <w:t>.</w:t>
          </w:r>
        </w:p>
        <w:p w14:paraId="1E59424A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World Health Organization (2022a).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disorders</w:t>
          </w:r>
          <w:r w:rsidRPr="00124AD9">
            <w:rPr>
              <w:rFonts w:ascii="Arial" w:hAnsi="Arial" w:cs="Arial"/>
              <w:sz w:val="22"/>
              <w:szCs w:val="22"/>
            </w:rPr>
            <w:t>. [online] World Health Organization. Available at: https://www.who.int/news-room/fact-sheets/detail/mental-disorders [Accessed 17 May 2023].</w:t>
          </w:r>
        </w:p>
        <w:p w14:paraId="6150C2A2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World Health Organization (2022b).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Mental Health</w:t>
          </w:r>
          <w:r w:rsidRPr="00124AD9">
            <w:rPr>
              <w:rFonts w:ascii="Arial" w:hAnsi="Arial" w:cs="Arial"/>
              <w:sz w:val="22"/>
              <w:szCs w:val="22"/>
            </w:rPr>
            <w:t>. [online] World Health Organization. Available at: https://www.who.int/news-room/fact-sheets/detail/mental-health-strengthening-our-response.</w:t>
          </w:r>
        </w:p>
        <w:p w14:paraId="7247B211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World Health Organization (2023).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Dementia</w:t>
          </w:r>
          <w:r w:rsidRPr="00124AD9">
            <w:rPr>
              <w:rFonts w:ascii="Arial" w:hAnsi="Arial" w:cs="Arial"/>
              <w:sz w:val="22"/>
              <w:szCs w:val="22"/>
            </w:rPr>
            <w:t>. [online] World Health Organization. Available at: https://www.who.int/news-room/fact-sheets/detail/dementia [Accessed 11 Jun. 2023].</w:t>
          </w:r>
        </w:p>
        <w:p w14:paraId="438721A0" w14:textId="77777777" w:rsidR="00124AD9" w:rsidRPr="00124AD9" w:rsidRDefault="00124AD9" w:rsidP="00124AD9">
          <w:pPr>
            <w:pStyle w:val="NormalWeb"/>
            <w:spacing w:before="0" w:beforeAutospacing="0" w:after="240" w:afterAutospacing="0" w:line="360" w:lineRule="auto"/>
            <w:rPr>
              <w:rFonts w:ascii="Arial" w:hAnsi="Arial" w:cs="Arial"/>
              <w:sz w:val="22"/>
              <w:szCs w:val="22"/>
            </w:rPr>
          </w:pPr>
          <w:r w:rsidRPr="00124AD9">
            <w:rPr>
              <w:rFonts w:ascii="Arial" w:hAnsi="Arial" w:cs="Arial"/>
              <w:sz w:val="22"/>
              <w:szCs w:val="22"/>
            </w:rPr>
            <w:t xml:space="preserve">World Health Organization (WHO) (2022). </w:t>
          </w:r>
          <w:r w:rsidRPr="00124AD9">
            <w:rPr>
              <w:rFonts w:ascii="Arial" w:hAnsi="Arial" w:cs="Arial"/>
              <w:i/>
              <w:iCs/>
              <w:sz w:val="22"/>
              <w:szCs w:val="22"/>
            </w:rPr>
            <w:t>Ageing and health</w:t>
          </w:r>
          <w:r w:rsidRPr="00124AD9">
            <w:rPr>
              <w:rFonts w:ascii="Arial" w:hAnsi="Arial" w:cs="Arial"/>
              <w:sz w:val="22"/>
              <w:szCs w:val="22"/>
            </w:rPr>
            <w:t>. [online] World Health Organization. Available at: https://www.who.int/news-room/fact-sheets/detail/ageing-and-health [Accessed 12 Jun. 2023].</w:t>
          </w:r>
        </w:p>
        <w:p w14:paraId="072810CE" w14:textId="18D858A2" w:rsidR="00124AD9" w:rsidRDefault="00124AD9"/>
      </w:sdtContent>
    </w:sdt>
    <w:p w14:paraId="0DA95534" w14:textId="77777777" w:rsidR="005C4529" w:rsidRPr="00BF044D" w:rsidRDefault="005C4529">
      <w:pPr>
        <w:rPr>
          <w:rFonts w:ascii="Arial" w:hAnsi="Arial" w:cs="Arial"/>
        </w:rPr>
      </w:pPr>
    </w:p>
    <w:sectPr w:rsidR="005C4529" w:rsidRPr="00BF044D" w:rsidSect="00BF044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pStyle w:val="ListParagraph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7404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44D"/>
    <w:rsid w:val="00124AD9"/>
    <w:rsid w:val="00423D5E"/>
    <w:rsid w:val="005C4529"/>
    <w:rsid w:val="008F7448"/>
    <w:rsid w:val="00A8637C"/>
    <w:rsid w:val="00AA260B"/>
    <w:rsid w:val="00B61C64"/>
    <w:rsid w:val="00BF044D"/>
    <w:rsid w:val="00D0157A"/>
    <w:rsid w:val="00E31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E3EA8"/>
  <w15:chartTrackingRefBased/>
  <w15:docId w15:val="{9752F454-65DD-E34F-A0BE-A7338EB0E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C64"/>
    <w:rPr>
      <w:iCs/>
      <w:sz w:val="21"/>
      <w:szCs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1C64"/>
    <w:pPr>
      <w:pBdr>
        <w:top w:val="single" w:sz="12" w:space="1" w:color="629DD1" w:themeColor="accent2"/>
        <w:left w:val="single" w:sz="12" w:space="4" w:color="629DD1" w:themeColor="accent2"/>
        <w:bottom w:val="single" w:sz="12" w:space="1" w:color="629DD1" w:themeColor="accent2"/>
        <w:right w:val="single" w:sz="12" w:space="4" w:color="629DD1" w:themeColor="accent2"/>
      </w:pBdr>
      <w:shd w:val="clear" w:color="auto" w:fill="4A66AC" w:themeFill="accent1"/>
      <w:spacing w:line="240" w:lineRule="auto"/>
      <w:outlineLvl w:val="0"/>
    </w:pPr>
    <w:rPr>
      <w:rFonts w:asciiTheme="majorHAnsi" w:hAnsiTheme="majorHAnsi"/>
      <w:color w:val="FFFFFF"/>
      <w:sz w:val="28"/>
      <w:szCs w:val="3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C64"/>
    <w:pPr>
      <w:spacing w:before="200" w:after="60" w:line="240" w:lineRule="auto"/>
      <w:contextualSpacing/>
      <w:outlineLvl w:val="1"/>
    </w:pPr>
    <w:rPr>
      <w:rFonts w:asciiTheme="majorHAnsi" w:eastAsiaTheme="majorEastAsia" w:hAnsiTheme="majorHAnsi" w:cstheme="majorBidi"/>
      <w:b/>
      <w:bCs/>
      <w:outline/>
      <w:color w:val="4A66AC" w:themeColor="accent1"/>
      <w:sz w:val="34"/>
      <w:szCs w:val="34"/>
      <w14:textOutline w14:w="9525" w14:cap="flat" w14:cmpd="sng" w14:algn="ctr">
        <w14:solidFill>
          <w14:schemeClr w14:val="accent1">
            <w14:lumMod w14:val="75000"/>
          </w14:schemeClr>
        </w14:solidFill>
        <w14:prstDash w14:val="solid"/>
        <w14:round/>
      </w14:textOutline>
      <w14:textFill>
        <w14:noFill/>
      </w14:textFill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C64"/>
    <w:pPr>
      <w:spacing w:before="200" w:after="100" w:line="240" w:lineRule="auto"/>
      <w:contextualSpacing/>
      <w:outlineLvl w:val="2"/>
    </w:pPr>
    <w:rPr>
      <w:rFonts w:asciiTheme="majorHAnsi" w:eastAsiaTheme="majorEastAsia" w:hAnsiTheme="majorHAnsi" w:cstheme="majorBidi"/>
      <w:b/>
      <w:bCs/>
      <w:smallCaps/>
      <w:color w:val="3476B1" w:themeColor="accent2" w:themeShade="BF"/>
      <w:spacing w:val="24"/>
      <w:sz w:val="28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C64"/>
    <w:pPr>
      <w:spacing w:before="200" w:after="100" w:line="240" w:lineRule="auto"/>
      <w:contextualSpacing/>
      <w:outlineLvl w:val="3"/>
    </w:pPr>
    <w:rPr>
      <w:rFonts w:asciiTheme="majorHAnsi" w:eastAsiaTheme="majorEastAsia" w:hAnsiTheme="majorHAnsi" w:cstheme="majorBidi"/>
      <w:b/>
      <w:bCs/>
      <w:color w:val="374C80" w:themeColor="accent1" w:themeShade="BF"/>
      <w:sz w:val="24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C64"/>
    <w:pPr>
      <w:spacing w:before="200" w:after="100" w:line="240" w:lineRule="auto"/>
      <w:contextualSpacing/>
      <w:outlineLvl w:val="4"/>
    </w:pPr>
    <w:rPr>
      <w:rFonts w:asciiTheme="majorHAnsi" w:eastAsiaTheme="majorEastAsia" w:hAnsiTheme="majorHAnsi" w:cstheme="majorBidi"/>
      <w:bCs/>
      <w:caps/>
      <w:color w:val="3476B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C64"/>
    <w:pP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374C80" w:themeColor="accent1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C64"/>
    <w:pP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3476B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C64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4A66AC" w:themeColor="accent1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C64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smallCaps/>
      <w:color w:val="629DD1" w:themeColor="accent2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link w:val="NoSpacingChar"/>
    <w:uiPriority w:val="1"/>
    <w:qFormat/>
    <w:rsid w:val="00B61C64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61C64"/>
    <w:rPr>
      <w:iCs/>
      <w:sz w:val="21"/>
      <w:szCs w:val="21"/>
    </w:rPr>
  </w:style>
  <w:style w:type="character" w:customStyle="1" w:styleId="Heading1Char">
    <w:name w:val="Heading 1 Char"/>
    <w:basedOn w:val="DefaultParagraphFont"/>
    <w:link w:val="Heading1"/>
    <w:uiPriority w:val="9"/>
    <w:rsid w:val="00B61C64"/>
    <w:rPr>
      <w:rFonts w:asciiTheme="majorHAnsi" w:hAnsiTheme="majorHAnsi"/>
      <w:iCs/>
      <w:color w:val="FFFFFF"/>
      <w:sz w:val="28"/>
      <w:szCs w:val="38"/>
      <w:shd w:val="clear" w:color="auto" w:fill="4A66AC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C64"/>
    <w:rPr>
      <w:rFonts w:asciiTheme="majorHAnsi" w:eastAsiaTheme="majorEastAsia" w:hAnsiTheme="majorHAnsi" w:cstheme="majorBidi"/>
      <w:b/>
      <w:bCs/>
      <w:iCs/>
      <w:outline/>
      <w:color w:val="4A66AC" w:themeColor="accent1"/>
      <w:sz w:val="34"/>
      <w:szCs w:val="34"/>
      <w14:textOutline w14:w="9525" w14:cap="flat" w14:cmpd="sng" w14:algn="ctr">
        <w14:solidFill>
          <w14:schemeClr w14:val="accent1">
            <w14:lumMod w14:val="75000"/>
          </w14:schemeClr>
        </w14:solidFill>
        <w14:prstDash w14:val="solid"/>
        <w14:round/>
      </w14:textOutline>
      <w14:textFill>
        <w14:noFill/>
      </w14:textFill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C64"/>
    <w:rPr>
      <w:rFonts w:asciiTheme="majorHAnsi" w:eastAsiaTheme="majorEastAsia" w:hAnsiTheme="majorHAnsi" w:cstheme="majorBidi"/>
      <w:b/>
      <w:bCs/>
      <w:iCs/>
      <w:smallCaps/>
      <w:color w:val="3476B1" w:themeColor="accent2" w:themeShade="BF"/>
      <w:spacing w:val="24"/>
      <w:sz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C64"/>
    <w:rPr>
      <w:rFonts w:asciiTheme="majorHAnsi" w:eastAsiaTheme="majorEastAsia" w:hAnsiTheme="majorHAnsi" w:cstheme="majorBidi"/>
      <w:b/>
      <w:bCs/>
      <w:iCs/>
      <w:color w:val="374C80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C64"/>
    <w:rPr>
      <w:rFonts w:asciiTheme="majorHAnsi" w:eastAsiaTheme="majorEastAsia" w:hAnsiTheme="majorHAnsi" w:cstheme="majorBidi"/>
      <w:bCs/>
      <w:iCs/>
      <w:caps/>
      <w:color w:val="3476B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C64"/>
    <w:rPr>
      <w:rFonts w:asciiTheme="majorHAnsi" w:eastAsiaTheme="majorEastAsia" w:hAnsiTheme="majorHAnsi" w:cstheme="majorBidi"/>
      <w:iCs/>
      <w:color w:val="374C80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C64"/>
    <w:rPr>
      <w:rFonts w:asciiTheme="majorHAnsi" w:eastAsiaTheme="majorEastAsia" w:hAnsiTheme="majorHAnsi" w:cstheme="majorBidi"/>
      <w:iCs/>
      <w:color w:val="3476B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C64"/>
    <w:rPr>
      <w:rFonts w:asciiTheme="majorHAnsi" w:eastAsiaTheme="majorEastAsia" w:hAnsiTheme="majorHAnsi" w:cstheme="majorBidi"/>
      <w:iCs/>
      <w:color w:val="4A66AC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C64"/>
    <w:rPr>
      <w:rFonts w:asciiTheme="majorHAnsi" w:eastAsiaTheme="majorEastAsia" w:hAnsiTheme="majorHAnsi" w:cstheme="majorBidi"/>
      <w:iCs/>
      <w:smallCaps/>
      <w:color w:val="629DD1" w:themeColor="accent2"/>
      <w:sz w:val="20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61C64"/>
    <w:rPr>
      <w:b/>
      <w:bCs/>
      <w:color w:val="3476B1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61C64"/>
    <w:pPr>
      <w:shd w:val="clear" w:color="auto" w:fill="FFFFFF" w:themeFill="background1"/>
      <w:spacing w:after="120" w:line="240" w:lineRule="auto"/>
    </w:pPr>
    <w:rPr>
      <w:rFonts w:asciiTheme="majorHAnsi" w:eastAsiaTheme="majorEastAsia" w:hAnsiTheme="majorHAnsi" w:cstheme="majorBidi"/>
      <w:b/>
      <w:color w:val="FFFFFF" w:themeColor="background1"/>
      <w:spacing w:val="10"/>
      <w:sz w:val="72"/>
      <w:szCs w:val="64"/>
      <w14:textOutline w14:w="13335" w14:cap="flat" w14:cmpd="sng" w14:algn="ctr">
        <w14:solidFill>
          <w14:schemeClr w14:val="accent1">
            <w14:lumMod w14:val="50000"/>
          </w14:schemeClr>
        </w14:solidFill>
        <w14:prstDash w14:val="solid"/>
        <w14:round/>
      </w14:textOutline>
    </w:rPr>
  </w:style>
  <w:style w:type="character" w:customStyle="1" w:styleId="TitleChar">
    <w:name w:val="Title Char"/>
    <w:basedOn w:val="DefaultParagraphFont"/>
    <w:link w:val="Title"/>
    <w:uiPriority w:val="10"/>
    <w:rsid w:val="00B61C64"/>
    <w:rPr>
      <w:rFonts w:asciiTheme="majorHAnsi" w:eastAsiaTheme="majorEastAsia" w:hAnsiTheme="majorHAnsi" w:cstheme="majorBidi"/>
      <w:b/>
      <w:iCs/>
      <w:color w:val="FFFFFF" w:themeColor="background1"/>
      <w:spacing w:val="10"/>
      <w:sz w:val="72"/>
      <w:szCs w:val="64"/>
      <w:shd w:val="clear" w:color="auto" w:fill="FFFFFF" w:themeFill="background1"/>
      <w14:textOutline w14:w="13335" w14:cap="flat" w14:cmpd="sng" w14:algn="ctr">
        <w14:solidFill>
          <w14:schemeClr w14:val="accent1">
            <w14:lumMod w14:val="50000"/>
          </w14:schemeClr>
        </w14:solidFill>
        <w14:prstDash w14:val="solid"/>
        <w14:round/>
      </w14:textOutline>
    </w:rPr>
  </w:style>
  <w:style w:type="paragraph" w:styleId="Subtitle">
    <w:name w:val="Subtitle"/>
    <w:basedOn w:val="Normal"/>
    <w:next w:val="Normal"/>
    <w:link w:val="SubtitleChar"/>
    <w:uiPriority w:val="11"/>
    <w:qFormat/>
    <w:rsid w:val="00B61C64"/>
    <w:pPr>
      <w:spacing w:before="200" w:after="360" w:line="240" w:lineRule="auto"/>
    </w:pPr>
    <w:rPr>
      <w:rFonts w:asciiTheme="majorHAnsi" w:eastAsiaTheme="majorEastAsia" w:hAnsiTheme="majorHAnsi" w:cstheme="majorBidi"/>
      <w:color w:val="242852" w:themeColor="text2"/>
      <w:spacing w:val="2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61C64"/>
    <w:rPr>
      <w:rFonts w:asciiTheme="majorHAnsi" w:eastAsiaTheme="majorEastAsia" w:hAnsiTheme="majorHAnsi" w:cstheme="majorBidi"/>
      <w:iCs/>
      <w:color w:val="242852" w:themeColor="text2"/>
      <w:spacing w:val="20"/>
      <w:sz w:val="24"/>
      <w:szCs w:val="24"/>
    </w:rPr>
  </w:style>
  <w:style w:type="character" w:styleId="Strong">
    <w:name w:val="Strong"/>
    <w:uiPriority w:val="22"/>
    <w:qFormat/>
    <w:rsid w:val="00B61C64"/>
    <w:rPr>
      <w:b/>
      <w:bCs/>
      <w:spacing w:val="0"/>
    </w:rPr>
  </w:style>
  <w:style w:type="character" w:styleId="Emphasis">
    <w:name w:val="Emphasis"/>
    <w:uiPriority w:val="20"/>
    <w:qFormat/>
    <w:rsid w:val="00B61C64"/>
    <w:rPr>
      <w:rFonts w:eastAsiaTheme="majorEastAsia" w:cstheme="majorBidi"/>
      <w:b/>
      <w:bCs/>
      <w:color w:val="3476B1" w:themeColor="accent2" w:themeShade="BF"/>
      <w:bdr w:val="single" w:sz="18" w:space="0" w:color="ACCBF9" w:themeColor="background2"/>
      <w:shd w:val="clear" w:color="auto" w:fill="ACCBF9" w:themeFill="background2"/>
    </w:rPr>
  </w:style>
  <w:style w:type="paragraph" w:styleId="ListParagraph">
    <w:name w:val="List Paragraph"/>
    <w:basedOn w:val="Normal"/>
    <w:uiPriority w:val="34"/>
    <w:qFormat/>
    <w:rsid w:val="00B61C64"/>
    <w:pPr>
      <w:numPr>
        <w:numId w:val="1"/>
      </w:numPr>
      <w:contextualSpacing/>
    </w:pPr>
    <w:rPr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B61C64"/>
    <w:rPr>
      <w:b/>
      <w:i/>
      <w:color w:val="629DD1" w:themeColor="accent2"/>
      <w:sz w:val="24"/>
    </w:rPr>
  </w:style>
  <w:style w:type="character" w:customStyle="1" w:styleId="QuoteChar">
    <w:name w:val="Quote Char"/>
    <w:basedOn w:val="DefaultParagraphFont"/>
    <w:link w:val="Quote"/>
    <w:uiPriority w:val="29"/>
    <w:rsid w:val="00B61C64"/>
    <w:rPr>
      <w:b/>
      <w:i/>
      <w:iCs/>
      <w:color w:val="629DD1" w:themeColor="accent2"/>
      <w:sz w:val="24"/>
      <w:szCs w:val="2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C64"/>
    <w:pPr>
      <w:pBdr>
        <w:top w:val="dotted" w:sz="8" w:space="10" w:color="629DD1" w:themeColor="accent2"/>
        <w:bottom w:val="dotted" w:sz="8" w:space="10" w:color="629DD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i/>
      <w:color w:val="629DD1" w:themeColor="accent2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C64"/>
    <w:rPr>
      <w:rFonts w:asciiTheme="majorHAnsi" w:eastAsiaTheme="majorEastAsia" w:hAnsiTheme="majorHAnsi" w:cstheme="majorBidi"/>
      <w:b/>
      <w:bCs/>
      <w:i/>
      <w:iCs/>
      <w:color w:val="629DD1" w:themeColor="accent2"/>
      <w:sz w:val="20"/>
      <w:szCs w:val="20"/>
    </w:rPr>
  </w:style>
  <w:style w:type="character" w:styleId="SubtleEmphasis">
    <w:name w:val="Subtle Emphasis"/>
    <w:uiPriority w:val="19"/>
    <w:qFormat/>
    <w:rsid w:val="00B61C64"/>
    <w:rPr>
      <w:rFonts w:asciiTheme="majorHAnsi" w:eastAsiaTheme="majorEastAsia" w:hAnsiTheme="majorHAnsi" w:cstheme="majorBidi"/>
      <w:b/>
      <w:i/>
      <w:color w:val="4A66AC" w:themeColor="accent1"/>
    </w:rPr>
  </w:style>
  <w:style w:type="character" w:styleId="IntenseEmphasis">
    <w:name w:val="Intense Emphasis"/>
    <w:uiPriority w:val="21"/>
    <w:qFormat/>
    <w:rsid w:val="00B61C64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629DD1" w:themeColor="accent2"/>
      <w:shd w:val="clear" w:color="auto" w:fill="629DD1" w:themeFill="accent2"/>
      <w:vertAlign w:val="baseline"/>
    </w:rPr>
  </w:style>
  <w:style w:type="character" w:styleId="SubtleReference">
    <w:name w:val="Subtle Reference"/>
    <w:uiPriority w:val="31"/>
    <w:qFormat/>
    <w:rsid w:val="00B61C64"/>
    <w:rPr>
      <w:i/>
      <w:iCs/>
      <w:smallCaps/>
      <w:color w:val="629DD1" w:themeColor="accent2"/>
      <w:u w:color="629DD1" w:themeColor="accent2"/>
    </w:rPr>
  </w:style>
  <w:style w:type="character" w:styleId="IntenseReference">
    <w:name w:val="Intense Reference"/>
    <w:uiPriority w:val="32"/>
    <w:qFormat/>
    <w:rsid w:val="00B61C64"/>
    <w:rPr>
      <w:b/>
      <w:bCs/>
      <w:i/>
      <w:iCs/>
      <w:smallCaps/>
      <w:color w:val="629DD1" w:themeColor="accent2"/>
      <w:u w:color="629DD1" w:themeColor="accent2"/>
    </w:rPr>
  </w:style>
  <w:style w:type="character" w:styleId="BookTitle">
    <w:name w:val="Book Title"/>
    <w:uiPriority w:val="33"/>
    <w:qFormat/>
    <w:rsid w:val="00B61C64"/>
    <w:rPr>
      <w:rFonts w:asciiTheme="majorHAnsi" w:eastAsiaTheme="majorEastAsia" w:hAnsiTheme="majorHAnsi" w:cstheme="majorBidi"/>
      <w:b/>
      <w:bCs/>
      <w:smallCaps/>
      <w:color w:val="629DD1" w:themeColor="accent2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1C64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124A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iCs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903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36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20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413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40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47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2D9BDBE-9418-0444-9949-A723144827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500</Words>
  <Characters>2853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BUSHRA KHAN (1818384)</Company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</dc:title>
  <dc:subject>DEBATE ON THE CHANGES THAT HAVE OCCURRED IN UK MENTAL HEALTH LEGISLATION AND HOW THIS CAN IMPROVE OR IMPAIR THE PEOPLE WITH DEMENTIA</dc:subject>
  <dc:creator>Omeneke Yusuf (2009232)</dc:creator>
  <cp:keywords/>
  <dc:description/>
  <cp:lastModifiedBy>Omeneke Yusuf (2009232)</cp:lastModifiedBy>
  <cp:revision>2</cp:revision>
  <dcterms:created xsi:type="dcterms:W3CDTF">2023-06-16T11:53:00Z</dcterms:created>
  <dcterms:modified xsi:type="dcterms:W3CDTF">2023-06-16T11:53:00Z</dcterms:modified>
</cp:coreProperties>
</file>