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CD624" w14:textId="08EFE6BE" w:rsidR="00771B7F" w:rsidRDefault="00771B7F">
      <w:pPr>
        <w:rPr>
          <w:sz w:val="32"/>
          <w:szCs w:val="32"/>
        </w:rPr>
      </w:pPr>
    </w:p>
    <w:p w14:paraId="7673BB52" w14:textId="50E630C0" w:rsidR="00771B7F" w:rsidRDefault="00771B7F">
      <w:pPr>
        <w:rPr>
          <w:sz w:val="32"/>
          <w:szCs w:val="32"/>
        </w:rPr>
      </w:pPr>
    </w:p>
    <w:p w14:paraId="29E9083F" w14:textId="6BEE3233" w:rsidR="00771B7F" w:rsidRDefault="00771B7F">
      <w:pPr>
        <w:rPr>
          <w:sz w:val="32"/>
          <w:szCs w:val="32"/>
        </w:rPr>
      </w:pPr>
    </w:p>
    <w:p w14:paraId="2C08BC26" w14:textId="77777777" w:rsidR="00771B7F" w:rsidRDefault="00771B7F">
      <w:pPr>
        <w:rPr>
          <w:sz w:val="32"/>
          <w:szCs w:val="32"/>
        </w:rPr>
      </w:pPr>
      <w:bookmarkStart w:id="0" w:name="_GoBack"/>
      <w:bookmarkEnd w:id="0"/>
    </w:p>
    <w:p w14:paraId="60C4881D" w14:textId="779AFF30" w:rsidR="00771B7F" w:rsidRPr="00771B7F" w:rsidRDefault="00771B7F">
      <w:pPr>
        <w:rPr>
          <w:sz w:val="40"/>
          <w:szCs w:val="40"/>
        </w:rPr>
      </w:pPr>
      <w:r w:rsidRPr="00771B7F">
        <w:rPr>
          <w:sz w:val="40"/>
          <w:szCs w:val="40"/>
        </w:rPr>
        <w:t>Student name: Andrei Theodor Bidoianu</w:t>
      </w:r>
    </w:p>
    <w:p w14:paraId="7BC4A5C5" w14:textId="2B8E5A34" w:rsidR="00771B7F" w:rsidRPr="00771B7F" w:rsidRDefault="00771B7F">
      <w:pPr>
        <w:rPr>
          <w:sz w:val="40"/>
          <w:szCs w:val="40"/>
        </w:rPr>
      </w:pPr>
      <w:r w:rsidRPr="00771B7F">
        <w:rPr>
          <w:sz w:val="40"/>
          <w:szCs w:val="40"/>
        </w:rPr>
        <w:t>Student code: 1816338</w:t>
      </w:r>
    </w:p>
    <w:p w14:paraId="0D00B290" w14:textId="67946477" w:rsidR="00771B7F" w:rsidRPr="00771B7F" w:rsidRDefault="00771B7F">
      <w:pPr>
        <w:rPr>
          <w:sz w:val="40"/>
          <w:szCs w:val="40"/>
        </w:rPr>
      </w:pPr>
      <w:r w:rsidRPr="00771B7F">
        <w:rPr>
          <w:sz w:val="40"/>
          <w:szCs w:val="40"/>
        </w:rPr>
        <w:t xml:space="preserve">Lecturer: David Jenkins </w:t>
      </w:r>
    </w:p>
    <w:p w14:paraId="42DF246A" w14:textId="3D2AD085" w:rsidR="00771B7F" w:rsidRPr="00771B7F" w:rsidRDefault="00771B7F">
      <w:pPr>
        <w:rPr>
          <w:sz w:val="40"/>
          <w:szCs w:val="40"/>
        </w:rPr>
      </w:pPr>
      <w:r w:rsidRPr="00771B7F">
        <w:rPr>
          <w:sz w:val="40"/>
          <w:szCs w:val="40"/>
        </w:rPr>
        <w:t xml:space="preserve">Module title: Financial management in the Hotel Industry </w:t>
      </w:r>
    </w:p>
    <w:p w14:paraId="12FF30FE" w14:textId="2E8E627F" w:rsidR="00771B7F" w:rsidRDefault="00771B7F"/>
    <w:p w14:paraId="2765765C" w14:textId="7A7A6130" w:rsidR="00771B7F" w:rsidRDefault="00771B7F"/>
    <w:p w14:paraId="43EF705D" w14:textId="53B6786D" w:rsidR="00771B7F" w:rsidRDefault="00771B7F"/>
    <w:p w14:paraId="1A36C2DE" w14:textId="0CD613B7" w:rsidR="00771B7F" w:rsidRDefault="00771B7F">
      <w:r>
        <w:rPr>
          <w:noProof/>
        </w:rPr>
        <w:drawing>
          <wp:inline distT="0" distB="0" distL="0" distR="0" wp14:anchorId="09CAB912" wp14:editId="0484D98F">
            <wp:extent cx="5255828" cy="3125337"/>
            <wp:effectExtent l="0" t="0" r="2540" b="0"/>
            <wp:docPr id="1" name="Picture 1" descr="Imagini pentru financia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financial manag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8792" cy="3133046"/>
                    </a:xfrm>
                    <a:prstGeom prst="rect">
                      <a:avLst/>
                    </a:prstGeom>
                    <a:noFill/>
                    <a:ln>
                      <a:noFill/>
                    </a:ln>
                  </pic:spPr>
                </pic:pic>
              </a:graphicData>
            </a:graphic>
          </wp:inline>
        </w:drawing>
      </w:r>
    </w:p>
    <w:p w14:paraId="24D23003" w14:textId="77777777" w:rsidR="00771B7F" w:rsidRDefault="00771B7F"/>
    <w:p w14:paraId="4C74A2C6" w14:textId="77777777" w:rsidR="00771B7F" w:rsidRDefault="00771B7F"/>
    <w:p w14:paraId="4B34527A" w14:textId="77777777" w:rsidR="00771B7F" w:rsidRDefault="00771B7F"/>
    <w:p w14:paraId="34230D6F" w14:textId="31956444" w:rsidR="008E4795" w:rsidRDefault="00884D15">
      <w:r>
        <w:lastRenderedPageBreak/>
        <w:t xml:space="preserve">The aim of the today’s essay is to design a critical ratio analysis of the Rangemaster PLC using the informative data of 2018 and 2019. The report will represent multiple types of ratio analysis such as profitability, liquidity, efficiency, suitable profit etc… </w:t>
      </w:r>
    </w:p>
    <w:p w14:paraId="6D69B114" w14:textId="636353E0" w:rsidR="00884D15" w:rsidRDefault="008E4795">
      <w:r>
        <w:t xml:space="preserve">The Rangemaster PLC is a manufacturing company that produces and distributes catering equipment that is necessary in hospitality environments such as hotels, inns restaurants in Great Britain. </w:t>
      </w:r>
      <w:r w:rsidR="00884D15">
        <w:t xml:space="preserve"> </w:t>
      </w:r>
    </w:p>
    <w:tbl>
      <w:tblPr>
        <w:tblW w:w="9639" w:type="dxa"/>
        <w:tblLook w:val="04A0" w:firstRow="1" w:lastRow="0" w:firstColumn="1" w:lastColumn="0" w:noHBand="0" w:noVBand="1"/>
      </w:tblPr>
      <w:tblGrid>
        <w:gridCol w:w="2835"/>
        <w:gridCol w:w="1560"/>
        <w:gridCol w:w="1559"/>
        <w:gridCol w:w="1559"/>
        <w:gridCol w:w="2126"/>
      </w:tblGrid>
      <w:tr w:rsidR="008E4795" w14:paraId="6A387629" w14:textId="77777777" w:rsidTr="008E4795">
        <w:trPr>
          <w:trHeight w:val="315"/>
        </w:trPr>
        <w:tc>
          <w:tcPr>
            <w:tcW w:w="2835" w:type="dxa"/>
            <w:shd w:val="clear" w:color="auto" w:fill="8EAADB" w:themeFill="accent1" w:themeFillTint="99"/>
            <w:noWrap/>
            <w:vAlign w:val="bottom"/>
            <w:hideMark/>
          </w:tcPr>
          <w:p w14:paraId="7FD3889F" w14:textId="77777777" w:rsidR="008E4795" w:rsidRDefault="008E4795">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Summary table</w:t>
            </w:r>
          </w:p>
        </w:tc>
        <w:tc>
          <w:tcPr>
            <w:tcW w:w="1560" w:type="dxa"/>
            <w:noWrap/>
            <w:vAlign w:val="bottom"/>
            <w:hideMark/>
          </w:tcPr>
          <w:p w14:paraId="712D2808" w14:textId="77777777" w:rsidR="008E4795" w:rsidRDefault="008E4795">
            <w:pPr>
              <w:rPr>
                <w:rFonts w:ascii="Arial" w:eastAsia="Times New Roman" w:hAnsi="Arial" w:cs="Arial"/>
                <w:b/>
                <w:bCs/>
                <w:color w:val="000000"/>
                <w:lang w:eastAsia="en-GB"/>
              </w:rPr>
            </w:pPr>
          </w:p>
        </w:tc>
        <w:tc>
          <w:tcPr>
            <w:tcW w:w="1559" w:type="dxa"/>
            <w:noWrap/>
            <w:vAlign w:val="bottom"/>
            <w:hideMark/>
          </w:tcPr>
          <w:p w14:paraId="6C65A6E0" w14:textId="77777777" w:rsidR="008E4795" w:rsidRDefault="008E4795">
            <w:pPr>
              <w:spacing w:after="0" w:line="256" w:lineRule="auto"/>
              <w:rPr>
                <w:sz w:val="20"/>
                <w:szCs w:val="20"/>
                <w:lang w:eastAsia="en-GB"/>
              </w:rPr>
            </w:pPr>
          </w:p>
        </w:tc>
        <w:tc>
          <w:tcPr>
            <w:tcW w:w="1559" w:type="dxa"/>
            <w:noWrap/>
            <w:vAlign w:val="bottom"/>
            <w:hideMark/>
          </w:tcPr>
          <w:p w14:paraId="12BFD5D7" w14:textId="77777777" w:rsidR="008E4795" w:rsidRDefault="008E4795">
            <w:pPr>
              <w:spacing w:after="0" w:line="256" w:lineRule="auto"/>
              <w:rPr>
                <w:sz w:val="20"/>
                <w:szCs w:val="20"/>
                <w:lang w:eastAsia="en-GB"/>
              </w:rPr>
            </w:pPr>
          </w:p>
        </w:tc>
        <w:tc>
          <w:tcPr>
            <w:tcW w:w="2126" w:type="dxa"/>
            <w:noWrap/>
            <w:vAlign w:val="bottom"/>
            <w:hideMark/>
          </w:tcPr>
          <w:p w14:paraId="647B5353" w14:textId="77777777" w:rsidR="008E4795" w:rsidRDefault="008E4795">
            <w:pPr>
              <w:spacing w:after="0" w:line="256" w:lineRule="auto"/>
              <w:rPr>
                <w:sz w:val="20"/>
                <w:szCs w:val="20"/>
                <w:lang w:eastAsia="en-GB"/>
              </w:rPr>
            </w:pPr>
          </w:p>
        </w:tc>
      </w:tr>
      <w:tr w:rsidR="008E4795" w14:paraId="2FB23BB6" w14:textId="77777777" w:rsidTr="008E4795">
        <w:trPr>
          <w:trHeight w:val="76"/>
        </w:trPr>
        <w:tc>
          <w:tcPr>
            <w:tcW w:w="2835" w:type="dxa"/>
            <w:tcBorders>
              <w:top w:val="single" w:sz="12"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1319E906"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Ratio</w:t>
            </w:r>
          </w:p>
        </w:tc>
        <w:tc>
          <w:tcPr>
            <w:tcW w:w="1560"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640D54C2"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2019</w:t>
            </w:r>
          </w:p>
        </w:tc>
        <w:tc>
          <w:tcPr>
            <w:tcW w:w="1559"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6E797E8D"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2018</w:t>
            </w:r>
          </w:p>
        </w:tc>
        <w:tc>
          <w:tcPr>
            <w:tcW w:w="1559"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45F8CC87"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Absolute Difference</w:t>
            </w:r>
          </w:p>
        </w:tc>
        <w:tc>
          <w:tcPr>
            <w:tcW w:w="2126"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74CB20B2"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Relative Difference</w:t>
            </w:r>
          </w:p>
        </w:tc>
      </w:tr>
      <w:tr w:rsidR="008E4795" w14:paraId="6F89F641"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63A97015"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ROCE</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763DD3F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35,2%</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3CF9414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31,2%</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414A5AEC"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5C8EDB8F"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12,8%</w:t>
            </w:r>
          </w:p>
        </w:tc>
      </w:tr>
      <w:tr w:rsidR="008E4795" w14:paraId="190C1196"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1AB91EBE"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Asset Turnover</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4ADD0DB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183 pence</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1D639273"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173 pence</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0FF61A60"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 pence</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6F5E8B1F"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5,7%</w:t>
            </w:r>
          </w:p>
        </w:tc>
      </w:tr>
      <w:tr w:rsidR="008E4795" w14:paraId="564E6E25"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7F0B5B90"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Gross Profit Margin</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71C4ACBA"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26,8%</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212360DF"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26,8%</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654803E1"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16C9C9C6"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8E4795" w14:paraId="322DBE6A"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19E46AA5"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Net Operating Profit Margin</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6ADBF050"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19,2%</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129F2BFE"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7F677DB8"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404F02DD"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6,6%</w:t>
            </w:r>
          </w:p>
        </w:tc>
      </w:tr>
      <w:tr w:rsidR="008E4795" w14:paraId="16F16693"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1FEEB217"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Inventory Days</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2332DE12"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73,8 days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717E177A"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75,6 days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0D579357"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 days</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73BC395C"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-23,8%</w:t>
            </w:r>
          </w:p>
        </w:tc>
      </w:tr>
      <w:tr w:rsidR="008E4795" w14:paraId="137863FF"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45F8DB76"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Non-Current Asset Turnover</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77081156"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289 p</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0B8DF76C"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250 p</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6059A25B"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39 p</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69B658C5"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15,6 %</w:t>
            </w:r>
          </w:p>
        </w:tc>
      </w:tr>
      <w:tr w:rsidR="008E4795" w14:paraId="48868FC6"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tcPr>
          <w:p w14:paraId="43BA95CC" w14:textId="1EEDD5FA"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Dividends per Share(dps)</w:t>
            </w:r>
          </w:p>
        </w:tc>
        <w:tc>
          <w:tcPr>
            <w:tcW w:w="1560" w:type="dxa"/>
            <w:tcBorders>
              <w:top w:val="nil"/>
              <w:left w:val="nil"/>
              <w:bottom w:val="single" w:sz="4" w:space="0" w:color="auto"/>
              <w:right w:val="single" w:sz="4" w:space="0" w:color="auto"/>
            </w:tcBorders>
            <w:shd w:val="clear" w:color="auto" w:fill="D9E2F3" w:themeFill="accent1" w:themeFillTint="33"/>
            <w:noWrap/>
            <w:vAlign w:val="bottom"/>
          </w:tcPr>
          <w:p w14:paraId="68118DB2" w14:textId="25368DC5"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33 pence</w:t>
            </w:r>
          </w:p>
        </w:tc>
        <w:tc>
          <w:tcPr>
            <w:tcW w:w="1559" w:type="dxa"/>
            <w:tcBorders>
              <w:top w:val="nil"/>
              <w:left w:val="nil"/>
              <w:bottom w:val="single" w:sz="4" w:space="0" w:color="auto"/>
              <w:right w:val="single" w:sz="4" w:space="0" w:color="auto"/>
            </w:tcBorders>
            <w:shd w:val="clear" w:color="auto" w:fill="D9E2F3" w:themeFill="accent1" w:themeFillTint="33"/>
            <w:noWrap/>
            <w:vAlign w:val="bottom"/>
          </w:tcPr>
          <w:p w14:paraId="0475D6A9" w14:textId="38E99004"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30 pence</w:t>
            </w:r>
          </w:p>
        </w:tc>
        <w:tc>
          <w:tcPr>
            <w:tcW w:w="1559" w:type="dxa"/>
            <w:tcBorders>
              <w:top w:val="nil"/>
              <w:left w:val="nil"/>
              <w:bottom w:val="single" w:sz="4" w:space="0" w:color="auto"/>
              <w:right w:val="single" w:sz="4" w:space="0" w:color="auto"/>
            </w:tcBorders>
            <w:shd w:val="clear" w:color="auto" w:fill="D9E2F3" w:themeFill="accent1" w:themeFillTint="33"/>
            <w:noWrap/>
            <w:vAlign w:val="bottom"/>
          </w:tcPr>
          <w:p w14:paraId="37B8C193" w14:textId="7346ADEF"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 pence</w:t>
            </w:r>
          </w:p>
        </w:tc>
        <w:tc>
          <w:tcPr>
            <w:tcW w:w="2126" w:type="dxa"/>
            <w:tcBorders>
              <w:top w:val="nil"/>
              <w:left w:val="nil"/>
              <w:bottom w:val="single" w:sz="4" w:space="0" w:color="auto"/>
              <w:right w:val="single" w:sz="4" w:space="0" w:color="auto"/>
            </w:tcBorders>
            <w:shd w:val="clear" w:color="auto" w:fill="D9E2F3" w:themeFill="accent1" w:themeFillTint="33"/>
            <w:noWrap/>
            <w:vAlign w:val="bottom"/>
          </w:tcPr>
          <w:p w14:paraId="45E6F660" w14:textId="798BAAC6"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w:t>
            </w:r>
          </w:p>
        </w:tc>
      </w:tr>
      <w:tr w:rsidR="008E4795" w14:paraId="683E2B59"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0CA0ECBB" w14:textId="77777777"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Current Ratio</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14A6732A"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 times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509CD2B2"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 times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2B4BD899"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 times</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17C12892"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5,5%</w:t>
            </w:r>
          </w:p>
        </w:tc>
      </w:tr>
      <w:tr w:rsidR="008E4795" w14:paraId="5197BB9D"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tcPr>
          <w:p w14:paraId="74D6F667" w14:textId="079F3764"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Earnings per Share (EPS)</w:t>
            </w:r>
          </w:p>
        </w:tc>
        <w:tc>
          <w:tcPr>
            <w:tcW w:w="1560" w:type="dxa"/>
            <w:tcBorders>
              <w:top w:val="nil"/>
              <w:left w:val="nil"/>
              <w:bottom w:val="single" w:sz="4" w:space="0" w:color="auto"/>
              <w:right w:val="single" w:sz="4" w:space="0" w:color="auto"/>
            </w:tcBorders>
            <w:shd w:val="clear" w:color="auto" w:fill="D9E2F3" w:themeFill="accent1" w:themeFillTint="33"/>
            <w:noWrap/>
            <w:vAlign w:val="bottom"/>
          </w:tcPr>
          <w:p w14:paraId="75B7C2D4" w14:textId="021CAFC1"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63 pence</w:t>
            </w:r>
          </w:p>
        </w:tc>
        <w:tc>
          <w:tcPr>
            <w:tcW w:w="1559" w:type="dxa"/>
            <w:tcBorders>
              <w:top w:val="nil"/>
              <w:left w:val="nil"/>
              <w:bottom w:val="single" w:sz="4" w:space="0" w:color="auto"/>
              <w:right w:val="single" w:sz="4" w:space="0" w:color="auto"/>
            </w:tcBorders>
            <w:shd w:val="clear" w:color="auto" w:fill="D9E2F3" w:themeFill="accent1" w:themeFillTint="33"/>
            <w:noWrap/>
            <w:vAlign w:val="bottom"/>
          </w:tcPr>
          <w:p w14:paraId="25BA3122" w14:textId="218F29F9"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51 pence</w:t>
            </w:r>
          </w:p>
        </w:tc>
        <w:tc>
          <w:tcPr>
            <w:tcW w:w="1559" w:type="dxa"/>
            <w:tcBorders>
              <w:top w:val="nil"/>
              <w:left w:val="nil"/>
              <w:bottom w:val="single" w:sz="4" w:space="0" w:color="auto"/>
              <w:right w:val="single" w:sz="4" w:space="0" w:color="auto"/>
            </w:tcBorders>
            <w:shd w:val="clear" w:color="auto" w:fill="D9E2F3" w:themeFill="accent1" w:themeFillTint="33"/>
            <w:noWrap/>
            <w:vAlign w:val="bottom"/>
          </w:tcPr>
          <w:p w14:paraId="72FBB167" w14:textId="0C4A0B68"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pence</w:t>
            </w:r>
          </w:p>
        </w:tc>
        <w:tc>
          <w:tcPr>
            <w:tcW w:w="2126" w:type="dxa"/>
            <w:tcBorders>
              <w:top w:val="nil"/>
              <w:left w:val="nil"/>
              <w:bottom w:val="single" w:sz="4" w:space="0" w:color="auto"/>
              <w:right w:val="single" w:sz="4" w:space="0" w:color="auto"/>
            </w:tcBorders>
            <w:shd w:val="clear" w:color="auto" w:fill="D9E2F3" w:themeFill="accent1" w:themeFillTint="33"/>
            <w:noWrap/>
            <w:vAlign w:val="bottom"/>
          </w:tcPr>
          <w:p w14:paraId="3CD1A445" w14:textId="0FA44603"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23,5 %</w:t>
            </w:r>
          </w:p>
        </w:tc>
      </w:tr>
      <w:tr w:rsidR="008E4795" w14:paraId="03AFAFB9"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3411EC05" w14:textId="77777777"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Acid Test or Quick Ratio</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2E984ADE"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times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237CF254"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 times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0B694587"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 times</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609D0AAE"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9%</w:t>
            </w:r>
          </w:p>
        </w:tc>
      </w:tr>
      <w:tr w:rsidR="008E4795" w14:paraId="794AD3DB"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05F4FF03" w14:textId="77777777"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Creditor Days</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22E7CF69"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86,7 days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320CC743"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84,3 days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2F452032"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2,4 days</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09F0E340"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2,8 %</w:t>
            </w:r>
          </w:p>
        </w:tc>
      </w:tr>
      <w:tr w:rsidR="008E4795" w14:paraId="78C6B8CA"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46AE6EF2" w14:textId="77777777"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Debtor days</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2CE31374"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59,9 days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1E6E254E"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60,9 days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0299E4DA"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 days</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64ED258F"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-1,6 %</w:t>
            </w:r>
          </w:p>
        </w:tc>
      </w:tr>
      <w:tr w:rsidR="008E4795" w14:paraId="723EA44C"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tcPr>
          <w:p w14:paraId="5A156E5E" w14:textId="139DC86B"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Interest Cover</w:t>
            </w:r>
          </w:p>
        </w:tc>
        <w:tc>
          <w:tcPr>
            <w:tcW w:w="1560" w:type="dxa"/>
            <w:tcBorders>
              <w:top w:val="nil"/>
              <w:left w:val="nil"/>
              <w:bottom w:val="single" w:sz="4" w:space="0" w:color="auto"/>
              <w:right w:val="single" w:sz="4" w:space="0" w:color="auto"/>
            </w:tcBorders>
            <w:shd w:val="clear" w:color="auto" w:fill="D9E2F3" w:themeFill="accent1" w:themeFillTint="33"/>
            <w:noWrap/>
            <w:vAlign w:val="bottom"/>
          </w:tcPr>
          <w:p w14:paraId="03380397" w14:textId="271E7B6D"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times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tcPr>
          <w:p w14:paraId="16EE5980" w14:textId="5771D42C"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8,2 times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tcPr>
          <w:p w14:paraId="50EC4C55" w14:textId="44E57214"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3,8 times</w:t>
            </w:r>
          </w:p>
        </w:tc>
        <w:tc>
          <w:tcPr>
            <w:tcW w:w="2126" w:type="dxa"/>
            <w:tcBorders>
              <w:top w:val="nil"/>
              <w:left w:val="nil"/>
              <w:bottom w:val="single" w:sz="4" w:space="0" w:color="auto"/>
              <w:right w:val="single" w:sz="4" w:space="0" w:color="auto"/>
            </w:tcBorders>
            <w:shd w:val="clear" w:color="auto" w:fill="D9E2F3" w:themeFill="accent1" w:themeFillTint="33"/>
            <w:noWrap/>
            <w:vAlign w:val="bottom"/>
          </w:tcPr>
          <w:p w14:paraId="143938A4" w14:textId="315637CB"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46,3%</w:t>
            </w:r>
          </w:p>
        </w:tc>
      </w:tr>
      <w:tr w:rsidR="008E4795" w14:paraId="42E097E5"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7AAC060E" w14:textId="77777777"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Gearing 1</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34713DD9"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41,4%</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775E83EC"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61,3%</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7FF7E99E"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-19,9 %</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64CA6063"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-32,4%</w:t>
            </w:r>
          </w:p>
        </w:tc>
      </w:tr>
      <w:tr w:rsidR="008E4795" w14:paraId="735F840B"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3D30158B" w14:textId="77777777"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Gearing 2</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78B737CE"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29,3%</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27E4D086"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38%</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102073BB"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-8,7%</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4804989C"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-22,8%</w:t>
            </w:r>
          </w:p>
        </w:tc>
      </w:tr>
      <w:tr w:rsidR="008E4795" w14:paraId="3548B806"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46C0295A" w14:textId="77777777"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Price Earnings Ratio(P/E)</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54FF49D8"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5,5 years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60C0CFBD"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5,4 years</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5FEE718E"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 years</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59874401"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w:t>
            </w:r>
          </w:p>
        </w:tc>
      </w:tr>
      <w:tr w:rsidR="008E4795" w14:paraId="7B3B9D52" w14:textId="77777777" w:rsidTr="008E4795">
        <w:trPr>
          <w:trHeight w:val="300"/>
        </w:trPr>
        <w:tc>
          <w:tcPr>
            <w:tcW w:w="283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0AA274C1" w14:textId="77777777" w:rsidR="008E4795" w:rsidRDefault="008E4795" w:rsidP="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Dividend Percentage Pay-out</w:t>
            </w:r>
          </w:p>
        </w:tc>
        <w:tc>
          <w:tcPr>
            <w:tcW w:w="1560" w:type="dxa"/>
            <w:tcBorders>
              <w:top w:val="nil"/>
              <w:left w:val="nil"/>
              <w:bottom w:val="single" w:sz="4" w:space="0" w:color="auto"/>
              <w:right w:val="single" w:sz="4" w:space="0" w:color="auto"/>
            </w:tcBorders>
            <w:shd w:val="clear" w:color="auto" w:fill="D9E2F3" w:themeFill="accent1" w:themeFillTint="33"/>
            <w:noWrap/>
            <w:vAlign w:val="bottom"/>
            <w:hideMark/>
          </w:tcPr>
          <w:p w14:paraId="1565C0D2"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52,3%</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7BA2EE4F"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58,8%</w:t>
            </w:r>
          </w:p>
        </w:tc>
        <w:tc>
          <w:tcPr>
            <w:tcW w:w="1559" w:type="dxa"/>
            <w:tcBorders>
              <w:top w:val="nil"/>
              <w:left w:val="nil"/>
              <w:bottom w:val="single" w:sz="4" w:space="0" w:color="auto"/>
              <w:right w:val="single" w:sz="4" w:space="0" w:color="auto"/>
            </w:tcBorders>
            <w:shd w:val="clear" w:color="auto" w:fill="D9E2F3" w:themeFill="accent1" w:themeFillTint="33"/>
            <w:noWrap/>
            <w:vAlign w:val="bottom"/>
            <w:hideMark/>
          </w:tcPr>
          <w:p w14:paraId="349D4B7B"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-6,5%</w:t>
            </w:r>
          </w:p>
        </w:tc>
        <w:tc>
          <w:tcPr>
            <w:tcW w:w="2126" w:type="dxa"/>
            <w:tcBorders>
              <w:top w:val="nil"/>
              <w:left w:val="nil"/>
              <w:bottom w:val="single" w:sz="4" w:space="0" w:color="auto"/>
              <w:right w:val="single" w:sz="4" w:space="0" w:color="auto"/>
            </w:tcBorders>
            <w:shd w:val="clear" w:color="auto" w:fill="D9E2F3" w:themeFill="accent1" w:themeFillTint="33"/>
            <w:noWrap/>
            <w:vAlign w:val="bottom"/>
            <w:hideMark/>
          </w:tcPr>
          <w:p w14:paraId="11656E0D" w14:textId="77777777" w:rsidR="008E4795" w:rsidRDefault="008E4795" w:rsidP="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w:t>
            </w:r>
          </w:p>
        </w:tc>
      </w:tr>
    </w:tbl>
    <w:p w14:paraId="390F4043" w14:textId="77777777" w:rsidR="008E4795" w:rsidRDefault="008E4795" w:rsidP="008E4795">
      <w:pPr>
        <w:jc w:val="both"/>
        <w:rPr>
          <w:rFonts w:ascii="Arial" w:hAnsi="Arial" w:cs="Arial"/>
          <w:bCs/>
          <w:sz w:val="24"/>
          <w:szCs w:val="24"/>
        </w:rPr>
      </w:pPr>
    </w:p>
    <w:p w14:paraId="19210C5B" w14:textId="77777777" w:rsidR="008E4795" w:rsidRDefault="008E4795" w:rsidP="008E4795">
      <w:pPr>
        <w:jc w:val="both"/>
        <w:rPr>
          <w:rFonts w:ascii="Arial" w:hAnsi="Arial" w:cs="Arial"/>
          <w:sz w:val="24"/>
          <w:szCs w:val="24"/>
        </w:rPr>
      </w:pPr>
    </w:p>
    <w:p w14:paraId="23E3B383" w14:textId="77777777" w:rsidR="008E4795" w:rsidRDefault="008E4795" w:rsidP="008E4795">
      <w:pPr>
        <w:jc w:val="both"/>
        <w:rPr>
          <w:rFonts w:ascii="Arial" w:hAnsi="Arial" w:cs="Arial"/>
          <w:sz w:val="24"/>
          <w:szCs w:val="24"/>
        </w:rPr>
      </w:pPr>
    </w:p>
    <w:p w14:paraId="716A61C2" w14:textId="77777777" w:rsidR="008E4795" w:rsidRDefault="008E4795" w:rsidP="008E4795">
      <w:pPr>
        <w:jc w:val="both"/>
        <w:rPr>
          <w:rFonts w:ascii="Arial" w:hAnsi="Arial" w:cs="Arial"/>
          <w:sz w:val="24"/>
          <w:szCs w:val="24"/>
        </w:rPr>
      </w:pPr>
    </w:p>
    <w:tbl>
      <w:tblPr>
        <w:tblW w:w="11135" w:type="dxa"/>
        <w:tblInd w:w="-1052" w:type="dxa"/>
        <w:tblLook w:val="04A0" w:firstRow="1" w:lastRow="0" w:firstColumn="1" w:lastColumn="0" w:noHBand="0" w:noVBand="1"/>
      </w:tblPr>
      <w:tblGrid>
        <w:gridCol w:w="4536"/>
        <w:gridCol w:w="1218"/>
        <w:gridCol w:w="1334"/>
        <w:gridCol w:w="1276"/>
        <w:gridCol w:w="1559"/>
        <w:gridCol w:w="1459"/>
      </w:tblGrid>
      <w:tr w:rsidR="008E4795" w14:paraId="1506D5C6" w14:textId="77777777" w:rsidTr="008E4795">
        <w:trPr>
          <w:trHeight w:val="604"/>
        </w:trPr>
        <w:tc>
          <w:tcPr>
            <w:tcW w:w="4536" w:type="dxa"/>
            <w:shd w:val="clear" w:color="auto" w:fill="8EAADB" w:themeFill="accent1" w:themeFillTint="99"/>
            <w:noWrap/>
            <w:vAlign w:val="bottom"/>
            <w:hideMark/>
          </w:tcPr>
          <w:p w14:paraId="19354006" w14:textId="77777777" w:rsidR="008E4795" w:rsidRDefault="008E4795">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Assessing liquidity</w:t>
            </w:r>
          </w:p>
        </w:tc>
        <w:tc>
          <w:tcPr>
            <w:tcW w:w="1218" w:type="dxa"/>
            <w:noWrap/>
            <w:vAlign w:val="bottom"/>
            <w:hideMark/>
          </w:tcPr>
          <w:p w14:paraId="2AE5D310" w14:textId="77777777" w:rsidR="008E4795" w:rsidRDefault="008E4795">
            <w:pPr>
              <w:rPr>
                <w:rFonts w:ascii="Arial" w:eastAsia="Times New Roman" w:hAnsi="Arial" w:cs="Arial"/>
                <w:b/>
                <w:bCs/>
                <w:color w:val="000000"/>
                <w:sz w:val="24"/>
                <w:szCs w:val="24"/>
                <w:lang w:eastAsia="en-GB"/>
              </w:rPr>
            </w:pPr>
          </w:p>
        </w:tc>
        <w:tc>
          <w:tcPr>
            <w:tcW w:w="1334" w:type="dxa"/>
            <w:noWrap/>
            <w:vAlign w:val="bottom"/>
            <w:hideMark/>
          </w:tcPr>
          <w:p w14:paraId="4DDEDF15" w14:textId="77777777" w:rsidR="008E4795" w:rsidRDefault="008E4795">
            <w:pPr>
              <w:spacing w:after="0" w:line="256" w:lineRule="auto"/>
              <w:rPr>
                <w:sz w:val="20"/>
                <w:szCs w:val="20"/>
                <w:lang w:eastAsia="en-GB"/>
              </w:rPr>
            </w:pPr>
          </w:p>
        </w:tc>
        <w:tc>
          <w:tcPr>
            <w:tcW w:w="1276" w:type="dxa"/>
            <w:noWrap/>
            <w:vAlign w:val="bottom"/>
            <w:hideMark/>
          </w:tcPr>
          <w:p w14:paraId="7A211366" w14:textId="77777777" w:rsidR="008E4795" w:rsidRDefault="008E4795">
            <w:pPr>
              <w:spacing w:after="0" w:line="256" w:lineRule="auto"/>
              <w:rPr>
                <w:sz w:val="20"/>
                <w:szCs w:val="20"/>
                <w:lang w:eastAsia="en-GB"/>
              </w:rPr>
            </w:pPr>
          </w:p>
        </w:tc>
        <w:tc>
          <w:tcPr>
            <w:tcW w:w="1559" w:type="dxa"/>
            <w:noWrap/>
            <w:vAlign w:val="bottom"/>
            <w:hideMark/>
          </w:tcPr>
          <w:p w14:paraId="61F22A09" w14:textId="77777777" w:rsidR="008E4795" w:rsidRDefault="008E4795">
            <w:pPr>
              <w:spacing w:after="0" w:line="256" w:lineRule="auto"/>
              <w:rPr>
                <w:sz w:val="20"/>
                <w:szCs w:val="20"/>
                <w:lang w:eastAsia="en-GB"/>
              </w:rPr>
            </w:pPr>
          </w:p>
        </w:tc>
        <w:tc>
          <w:tcPr>
            <w:tcW w:w="1212" w:type="dxa"/>
            <w:noWrap/>
            <w:vAlign w:val="bottom"/>
            <w:hideMark/>
          </w:tcPr>
          <w:p w14:paraId="22439062" w14:textId="77777777" w:rsidR="008E4795" w:rsidRDefault="008E4795">
            <w:pPr>
              <w:spacing w:after="0" w:line="256" w:lineRule="auto"/>
              <w:rPr>
                <w:sz w:val="20"/>
                <w:szCs w:val="20"/>
                <w:lang w:eastAsia="en-GB"/>
              </w:rPr>
            </w:pPr>
          </w:p>
        </w:tc>
      </w:tr>
      <w:tr w:rsidR="008E4795" w14:paraId="12F0408C" w14:textId="77777777" w:rsidTr="008E4795">
        <w:trPr>
          <w:trHeight w:val="805"/>
        </w:trPr>
        <w:tc>
          <w:tcPr>
            <w:tcW w:w="4536" w:type="dxa"/>
            <w:tcBorders>
              <w:top w:val="single" w:sz="12"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4243BC0F"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18"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3B926EF4"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2019(days)</w:t>
            </w:r>
          </w:p>
        </w:tc>
        <w:tc>
          <w:tcPr>
            <w:tcW w:w="1334"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7BB768DE"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2018(days)</w:t>
            </w:r>
          </w:p>
        </w:tc>
        <w:tc>
          <w:tcPr>
            <w:tcW w:w="1276"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463F11DF"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Absolute difference</w:t>
            </w:r>
          </w:p>
          <w:p w14:paraId="7C9D7059"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(days)</w:t>
            </w:r>
          </w:p>
        </w:tc>
        <w:tc>
          <w:tcPr>
            <w:tcW w:w="1559"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3EEC0C74"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Relative difference (%)</w:t>
            </w:r>
          </w:p>
        </w:tc>
        <w:tc>
          <w:tcPr>
            <w:tcW w:w="121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00A69D61" w14:textId="77777777" w:rsidR="008E4795" w:rsidRDefault="008E4795">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Outcome</w:t>
            </w:r>
          </w:p>
        </w:tc>
      </w:tr>
      <w:tr w:rsidR="008E4795" w14:paraId="2AB3592B" w14:textId="77777777" w:rsidTr="008E4795">
        <w:trPr>
          <w:trHeight w:val="300"/>
        </w:trPr>
        <w:tc>
          <w:tcPr>
            <w:tcW w:w="4536"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25E8F814"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Creditor days</w:t>
            </w:r>
          </w:p>
        </w:tc>
        <w:tc>
          <w:tcPr>
            <w:tcW w:w="1218" w:type="dxa"/>
            <w:tcBorders>
              <w:top w:val="nil"/>
              <w:left w:val="nil"/>
              <w:bottom w:val="single" w:sz="4" w:space="0" w:color="auto"/>
              <w:right w:val="single" w:sz="4" w:space="0" w:color="auto"/>
            </w:tcBorders>
            <w:shd w:val="clear" w:color="auto" w:fill="B4C6E7" w:themeFill="accent1" w:themeFillTint="66"/>
            <w:noWrap/>
            <w:vAlign w:val="bottom"/>
            <w:hideMark/>
          </w:tcPr>
          <w:p w14:paraId="7581E59A"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86,7</w:t>
            </w:r>
          </w:p>
        </w:tc>
        <w:tc>
          <w:tcPr>
            <w:tcW w:w="1334" w:type="dxa"/>
            <w:tcBorders>
              <w:top w:val="nil"/>
              <w:left w:val="nil"/>
              <w:bottom w:val="single" w:sz="4" w:space="0" w:color="auto"/>
              <w:right w:val="single" w:sz="4" w:space="0" w:color="auto"/>
            </w:tcBorders>
            <w:shd w:val="clear" w:color="auto" w:fill="B4C6E7" w:themeFill="accent1" w:themeFillTint="66"/>
            <w:noWrap/>
            <w:vAlign w:val="bottom"/>
            <w:hideMark/>
          </w:tcPr>
          <w:p w14:paraId="13522E56"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84,3</w:t>
            </w:r>
          </w:p>
        </w:tc>
        <w:tc>
          <w:tcPr>
            <w:tcW w:w="1276" w:type="dxa"/>
            <w:tcBorders>
              <w:top w:val="nil"/>
              <w:left w:val="nil"/>
              <w:bottom w:val="single" w:sz="4" w:space="0" w:color="auto"/>
              <w:right w:val="single" w:sz="4" w:space="0" w:color="auto"/>
            </w:tcBorders>
            <w:shd w:val="clear" w:color="auto" w:fill="B4C6E7" w:themeFill="accent1" w:themeFillTint="66"/>
            <w:noWrap/>
            <w:vAlign w:val="bottom"/>
            <w:hideMark/>
          </w:tcPr>
          <w:p w14:paraId="52C84BF8"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2,4</w:t>
            </w:r>
          </w:p>
        </w:tc>
        <w:tc>
          <w:tcPr>
            <w:tcW w:w="1559" w:type="dxa"/>
            <w:tcBorders>
              <w:top w:val="nil"/>
              <w:left w:val="nil"/>
              <w:bottom w:val="single" w:sz="4" w:space="0" w:color="auto"/>
              <w:right w:val="single" w:sz="4" w:space="0" w:color="auto"/>
            </w:tcBorders>
            <w:shd w:val="clear" w:color="auto" w:fill="B4C6E7" w:themeFill="accent1" w:themeFillTint="66"/>
            <w:noWrap/>
            <w:vAlign w:val="bottom"/>
            <w:hideMark/>
          </w:tcPr>
          <w:p w14:paraId="691741CF"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w:t>
            </w:r>
          </w:p>
        </w:tc>
        <w:tc>
          <w:tcPr>
            <w:tcW w:w="1212" w:type="dxa"/>
            <w:tcBorders>
              <w:top w:val="nil"/>
              <w:left w:val="nil"/>
              <w:bottom w:val="single" w:sz="4" w:space="0" w:color="auto"/>
              <w:right w:val="single" w:sz="4" w:space="0" w:color="auto"/>
            </w:tcBorders>
            <w:shd w:val="clear" w:color="auto" w:fill="B4C6E7" w:themeFill="accent1" w:themeFillTint="66"/>
            <w:noWrap/>
            <w:vAlign w:val="bottom"/>
            <w:hideMark/>
          </w:tcPr>
          <w:p w14:paraId="3C447E70"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Favourable</w:t>
            </w:r>
          </w:p>
        </w:tc>
      </w:tr>
      <w:tr w:rsidR="008E4795" w14:paraId="7EDBF03E" w14:textId="77777777" w:rsidTr="008E4795">
        <w:trPr>
          <w:trHeight w:val="300"/>
        </w:trPr>
        <w:tc>
          <w:tcPr>
            <w:tcW w:w="4536"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3D708F3A"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Debtors</w:t>
            </w:r>
          </w:p>
        </w:tc>
        <w:tc>
          <w:tcPr>
            <w:tcW w:w="1218" w:type="dxa"/>
            <w:tcBorders>
              <w:top w:val="nil"/>
              <w:left w:val="nil"/>
              <w:bottom w:val="single" w:sz="4" w:space="0" w:color="auto"/>
              <w:right w:val="single" w:sz="4" w:space="0" w:color="auto"/>
            </w:tcBorders>
            <w:shd w:val="clear" w:color="auto" w:fill="B4C6E7" w:themeFill="accent1" w:themeFillTint="66"/>
            <w:noWrap/>
            <w:vAlign w:val="bottom"/>
            <w:hideMark/>
          </w:tcPr>
          <w:p w14:paraId="22337E4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59,9</w:t>
            </w:r>
          </w:p>
        </w:tc>
        <w:tc>
          <w:tcPr>
            <w:tcW w:w="1334" w:type="dxa"/>
            <w:tcBorders>
              <w:top w:val="nil"/>
              <w:left w:val="nil"/>
              <w:bottom w:val="single" w:sz="4" w:space="0" w:color="auto"/>
              <w:right w:val="single" w:sz="4" w:space="0" w:color="auto"/>
            </w:tcBorders>
            <w:shd w:val="clear" w:color="auto" w:fill="B4C6E7" w:themeFill="accent1" w:themeFillTint="66"/>
            <w:noWrap/>
            <w:vAlign w:val="bottom"/>
            <w:hideMark/>
          </w:tcPr>
          <w:p w14:paraId="2C8084AC"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60,9</w:t>
            </w:r>
          </w:p>
        </w:tc>
        <w:tc>
          <w:tcPr>
            <w:tcW w:w="1276" w:type="dxa"/>
            <w:tcBorders>
              <w:top w:val="nil"/>
              <w:left w:val="nil"/>
              <w:bottom w:val="single" w:sz="4" w:space="0" w:color="auto"/>
              <w:right w:val="single" w:sz="4" w:space="0" w:color="auto"/>
            </w:tcBorders>
            <w:shd w:val="clear" w:color="auto" w:fill="B4C6E7" w:themeFill="accent1" w:themeFillTint="66"/>
            <w:noWrap/>
            <w:vAlign w:val="bottom"/>
            <w:hideMark/>
          </w:tcPr>
          <w:p w14:paraId="596E7F4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1559" w:type="dxa"/>
            <w:tcBorders>
              <w:top w:val="nil"/>
              <w:left w:val="nil"/>
              <w:bottom w:val="single" w:sz="4" w:space="0" w:color="auto"/>
              <w:right w:val="single" w:sz="4" w:space="0" w:color="auto"/>
            </w:tcBorders>
            <w:shd w:val="clear" w:color="auto" w:fill="B4C6E7" w:themeFill="accent1" w:themeFillTint="66"/>
            <w:noWrap/>
            <w:vAlign w:val="bottom"/>
            <w:hideMark/>
          </w:tcPr>
          <w:p w14:paraId="7F154A2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-1,6</w:t>
            </w:r>
          </w:p>
        </w:tc>
        <w:tc>
          <w:tcPr>
            <w:tcW w:w="1212" w:type="dxa"/>
            <w:tcBorders>
              <w:top w:val="nil"/>
              <w:left w:val="nil"/>
              <w:bottom w:val="single" w:sz="4" w:space="0" w:color="auto"/>
              <w:right w:val="single" w:sz="4" w:space="0" w:color="auto"/>
            </w:tcBorders>
            <w:shd w:val="clear" w:color="auto" w:fill="B4C6E7" w:themeFill="accent1" w:themeFillTint="66"/>
            <w:noWrap/>
            <w:vAlign w:val="bottom"/>
            <w:hideMark/>
          </w:tcPr>
          <w:p w14:paraId="6ECB0DC3"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unfavourable</w:t>
            </w:r>
          </w:p>
        </w:tc>
      </w:tr>
      <w:tr w:rsidR="008E4795" w14:paraId="242F3A37" w14:textId="77777777" w:rsidTr="008E4795">
        <w:trPr>
          <w:trHeight w:val="300"/>
        </w:trPr>
        <w:tc>
          <w:tcPr>
            <w:tcW w:w="4536"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569C64D8"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Difference (days holding others working capital)</w:t>
            </w:r>
          </w:p>
        </w:tc>
        <w:tc>
          <w:tcPr>
            <w:tcW w:w="1218" w:type="dxa"/>
            <w:tcBorders>
              <w:top w:val="nil"/>
              <w:left w:val="nil"/>
              <w:bottom w:val="single" w:sz="4" w:space="0" w:color="auto"/>
              <w:right w:val="single" w:sz="4" w:space="0" w:color="auto"/>
            </w:tcBorders>
            <w:shd w:val="clear" w:color="auto" w:fill="B4C6E7" w:themeFill="accent1" w:themeFillTint="66"/>
            <w:noWrap/>
            <w:vAlign w:val="bottom"/>
            <w:hideMark/>
          </w:tcPr>
          <w:p w14:paraId="48D5A91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26,9</w:t>
            </w:r>
          </w:p>
        </w:tc>
        <w:tc>
          <w:tcPr>
            <w:tcW w:w="1334" w:type="dxa"/>
            <w:tcBorders>
              <w:top w:val="nil"/>
              <w:left w:val="nil"/>
              <w:bottom w:val="single" w:sz="4" w:space="0" w:color="auto"/>
              <w:right w:val="single" w:sz="4" w:space="0" w:color="auto"/>
            </w:tcBorders>
            <w:shd w:val="clear" w:color="auto" w:fill="B4C6E7" w:themeFill="accent1" w:themeFillTint="66"/>
            <w:noWrap/>
            <w:vAlign w:val="bottom"/>
            <w:hideMark/>
          </w:tcPr>
          <w:p w14:paraId="47C452B6"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23,4</w:t>
            </w:r>
          </w:p>
        </w:tc>
        <w:tc>
          <w:tcPr>
            <w:tcW w:w="1276" w:type="dxa"/>
            <w:tcBorders>
              <w:top w:val="nil"/>
              <w:left w:val="nil"/>
              <w:bottom w:val="single" w:sz="4" w:space="0" w:color="auto"/>
              <w:right w:val="single" w:sz="4" w:space="0" w:color="auto"/>
            </w:tcBorders>
            <w:shd w:val="clear" w:color="auto" w:fill="B4C6E7" w:themeFill="accent1" w:themeFillTint="66"/>
            <w:noWrap/>
            <w:vAlign w:val="bottom"/>
            <w:hideMark/>
          </w:tcPr>
          <w:p w14:paraId="51A5DFEA"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3,5</w:t>
            </w:r>
          </w:p>
        </w:tc>
        <w:tc>
          <w:tcPr>
            <w:tcW w:w="1559" w:type="dxa"/>
            <w:tcBorders>
              <w:top w:val="nil"/>
              <w:left w:val="nil"/>
              <w:bottom w:val="single" w:sz="4" w:space="0" w:color="auto"/>
              <w:right w:val="single" w:sz="4" w:space="0" w:color="auto"/>
            </w:tcBorders>
            <w:shd w:val="clear" w:color="auto" w:fill="B4C6E7" w:themeFill="accent1" w:themeFillTint="66"/>
            <w:noWrap/>
            <w:vAlign w:val="bottom"/>
            <w:hideMark/>
          </w:tcPr>
          <w:p w14:paraId="638BFF01"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w:t>
            </w:r>
          </w:p>
        </w:tc>
        <w:tc>
          <w:tcPr>
            <w:tcW w:w="1212" w:type="dxa"/>
            <w:tcBorders>
              <w:top w:val="nil"/>
              <w:left w:val="nil"/>
              <w:bottom w:val="single" w:sz="4" w:space="0" w:color="auto"/>
              <w:right w:val="single" w:sz="4" w:space="0" w:color="auto"/>
            </w:tcBorders>
            <w:shd w:val="clear" w:color="auto" w:fill="B4C6E7" w:themeFill="accent1" w:themeFillTint="66"/>
            <w:noWrap/>
            <w:vAlign w:val="bottom"/>
            <w:hideMark/>
          </w:tcPr>
          <w:p w14:paraId="0CC2B1E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Favourable</w:t>
            </w:r>
          </w:p>
        </w:tc>
      </w:tr>
    </w:tbl>
    <w:p w14:paraId="7495A5EB" w14:textId="2CFFDE2D" w:rsidR="008E4795" w:rsidRDefault="008E4795"/>
    <w:p w14:paraId="6EFB29F4" w14:textId="34856C07" w:rsidR="008E4795" w:rsidRDefault="008E4795"/>
    <w:p w14:paraId="7D8E2214" w14:textId="50BE5BCA" w:rsidR="008E4795" w:rsidRDefault="008E4795"/>
    <w:p w14:paraId="31D43E68" w14:textId="366AF672" w:rsidR="008E4795" w:rsidRDefault="008E4795"/>
    <w:p w14:paraId="407D4503" w14:textId="3A7AFBDE" w:rsidR="008E4795" w:rsidRDefault="008E4795">
      <w:r>
        <w:lastRenderedPageBreak/>
        <w:t xml:space="preserve">THE DIFFERENT TYPES OF RATIOS </w:t>
      </w:r>
    </w:p>
    <w:tbl>
      <w:tblPr>
        <w:tblW w:w="7420" w:type="dxa"/>
        <w:tblLook w:val="04A0" w:firstRow="1" w:lastRow="0" w:firstColumn="1" w:lastColumn="0" w:noHBand="0" w:noVBand="1"/>
      </w:tblPr>
      <w:tblGrid>
        <w:gridCol w:w="4640"/>
        <w:gridCol w:w="1483"/>
        <w:gridCol w:w="1540"/>
      </w:tblGrid>
      <w:tr w:rsidR="008E4795" w14:paraId="709C844D" w14:textId="77777777" w:rsidTr="008E4795">
        <w:trPr>
          <w:trHeight w:val="330"/>
        </w:trPr>
        <w:tc>
          <w:tcPr>
            <w:tcW w:w="4640" w:type="dxa"/>
            <w:tcBorders>
              <w:top w:val="single" w:sz="12" w:space="0" w:color="auto"/>
              <w:left w:val="single" w:sz="12" w:space="0" w:color="auto"/>
              <w:bottom w:val="single" w:sz="12" w:space="0" w:color="auto"/>
              <w:right w:val="single" w:sz="4" w:space="0" w:color="auto"/>
            </w:tcBorders>
            <w:shd w:val="clear" w:color="auto" w:fill="B4C6E7"/>
            <w:noWrap/>
            <w:vAlign w:val="bottom"/>
            <w:hideMark/>
          </w:tcPr>
          <w:p w14:paraId="60F72E01" w14:textId="77777777" w:rsidR="008E4795" w:rsidRDefault="008E4795">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Profitability</w:t>
            </w:r>
          </w:p>
        </w:tc>
        <w:tc>
          <w:tcPr>
            <w:tcW w:w="124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05ACC63E" w14:textId="40D5CEC6"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2019</w:t>
            </w:r>
            <w:r>
              <w:rPr>
                <w:rFonts w:ascii="Calibri" w:eastAsia="Times New Roman" w:hAnsi="Calibri" w:cs="Calibri"/>
                <w:color w:val="000000"/>
                <w:lang w:eastAsia="en-GB"/>
              </w:rPr>
              <w:t> </w:t>
            </w:r>
          </w:p>
        </w:tc>
        <w:tc>
          <w:tcPr>
            <w:tcW w:w="1540"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503DDEE3" w14:textId="160DCAD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2018</w:t>
            </w:r>
            <w:r>
              <w:rPr>
                <w:rFonts w:ascii="Calibri" w:eastAsia="Times New Roman" w:hAnsi="Calibri" w:cs="Calibri"/>
                <w:color w:val="000000"/>
                <w:lang w:eastAsia="en-GB"/>
              </w:rPr>
              <w:t> </w:t>
            </w:r>
          </w:p>
        </w:tc>
      </w:tr>
      <w:tr w:rsidR="008E4795" w14:paraId="66A48828" w14:textId="77777777" w:rsidTr="008E4795">
        <w:trPr>
          <w:trHeight w:val="315"/>
        </w:trPr>
        <w:tc>
          <w:tcPr>
            <w:tcW w:w="464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3F8C7602"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ROCE</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0A980445"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35,2%</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04E880DE"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31,2%</w:t>
            </w:r>
          </w:p>
        </w:tc>
      </w:tr>
      <w:tr w:rsidR="008E4795" w14:paraId="376349CA" w14:textId="77777777" w:rsidTr="008E4795">
        <w:trPr>
          <w:trHeight w:val="300"/>
        </w:trPr>
        <w:tc>
          <w:tcPr>
            <w:tcW w:w="464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5108599F"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Asset turnover</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4863029A"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182 pence</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19679F9F"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173 pence</w:t>
            </w:r>
          </w:p>
        </w:tc>
      </w:tr>
      <w:tr w:rsidR="008E4795" w14:paraId="41A04928" w14:textId="77777777" w:rsidTr="008E4795">
        <w:trPr>
          <w:trHeight w:val="300"/>
        </w:trPr>
        <w:tc>
          <w:tcPr>
            <w:tcW w:w="464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7712989B"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Gross Profit Margin</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1F75646D"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26,8%</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759A75A6"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26,8%</w:t>
            </w:r>
          </w:p>
        </w:tc>
      </w:tr>
      <w:tr w:rsidR="008E4795" w14:paraId="79266D4F"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D235414"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Net Operating Profit Margin</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0F5D673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19,25</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0D4DB506"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8E4795" w14:paraId="1A0671ED"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7E9C339" w14:textId="77777777" w:rsidR="008E4795" w:rsidRPr="008E4795" w:rsidRDefault="008E4795">
            <w:pPr>
              <w:spacing w:after="0" w:line="240" w:lineRule="auto"/>
              <w:rPr>
                <w:rFonts w:ascii="Calibri" w:eastAsia="Times New Roman" w:hAnsi="Calibri" w:cs="Calibri"/>
                <w:color w:val="000000"/>
                <w:lang w:eastAsia="en-GB"/>
              </w:rPr>
            </w:pPr>
            <w:r w:rsidRPr="008E4795">
              <w:rPr>
                <w:rFonts w:ascii="Calibri" w:eastAsia="Times New Roman" w:hAnsi="Calibri" w:cs="Calibri"/>
                <w:color w:val="000000"/>
                <w:lang w:eastAsia="en-GB"/>
              </w:rPr>
              <w:t>Liquidity</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1DF340F1"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180F323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E4795" w14:paraId="5687A40A"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44D53F0"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Current Ratio</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2599D290"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 times</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192FB6E1"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 times</w:t>
            </w:r>
          </w:p>
        </w:tc>
      </w:tr>
      <w:tr w:rsidR="008E4795" w14:paraId="7C7DA3B3"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2CACE65B"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Acid Test/Quick Ratio</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000DF8EB"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times</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33130A4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 times</w:t>
            </w:r>
          </w:p>
        </w:tc>
      </w:tr>
      <w:tr w:rsidR="008E4795" w14:paraId="58E78C44"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7AFDFF10"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Creditor Days</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7D2EFE85"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86,7 days</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0EE7424F"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84,3 days</w:t>
            </w:r>
          </w:p>
        </w:tc>
      </w:tr>
      <w:tr w:rsidR="008E4795" w14:paraId="7B802E49"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45FCF60D"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Debtor Days</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14783967"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59,8 days</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633ECE60"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60,9 days</w:t>
            </w:r>
          </w:p>
        </w:tc>
      </w:tr>
      <w:tr w:rsidR="008E4795" w14:paraId="28A37855"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5759241" w14:textId="77777777" w:rsidR="008E4795" w:rsidRPr="008E4795" w:rsidRDefault="008E4795">
            <w:pPr>
              <w:spacing w:after="0" w:line="240" w:lineRule="auto"/>
              <w:rPr>
                <w:rFonts w:ascii="Calibri" w:eastAsia="Times New Roman" w:hAnsi="Calibri" w:cs="Calibri"/>
                <w:color w:val="000000"/>
                <w:lang w:eastAsia="en-GB"/>
              </w:rPr>
            </w:pPr>
            <w:r w:rsidRPr="008E4795">
              <w:rPr>
                <w:rFonts w:ascii="Calibri" w:eastAsia="Times New Roman" w:hAnsi="Calibri" w:cs="Calibri"/>
                <w:color w:val="000000"/>
                <w:lang w:eastAsia="en-GB"/>
              </w:rPr>
              <w:t>Efficiency</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6A78C42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360994EF"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E4795" w14:paraId="00949417"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224C10C0"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Inventory days</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5B2B4E3F"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73,8 days</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27659F1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75,6 days</w:t>
            </w:r>
          </w:p>
        </w:tc>
      </w:tr>
      <w:tr w:rsidR="008E4795" w14:paraId="39D46579"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5F01F751"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Non-Current Asset Turnover</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6979CAC5"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289 p</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0064E5E6"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250 p</w:t>
            </w:r>
          </w:p>
        </w:tc>
      </w:tr>
      <w:tr w:rsidR="008E4795" w14:paraId="5690521D"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81BFF97" w14:textId="77777777" w:rsidR="008E4795" w:rsidRPr="008E4795" w:rsidRDefault="008E4795">
            <w:pPr>
              <w:spacing w:after="0" w:line="240" w:lineRule="auto"/>
              <w:rPr>
                <w:rFonts w:ascii="Calibri" w:eastAsia="Times New Roman" w:hAnsi="Calibri" w:cs="Calibri"/>
                <w:color w:val="000000"/>
                <w:lang w:eastAsia="en-GB"/>
              </w:rPr>
            </w:pPr>
            <w:r w:rsidRPr="008E4795">
              <w:rPr>
                <w:rFonts w:ascii="Calibri" w:eastAsia="Times New Roman" w:hAnsi="Calibri" w:cs="Calibri"/>
                <w:color w:val="000000"/>
                <w:lang w:eastAsia="en-GB"/>
              </w:rPr>
              <w:t>Investment Ratios</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25291AA0"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34EF2CA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E4795" w14:paraId="44248809"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79AB07C3"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Earnings Per Share</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3155ACE4"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63 pence</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3ED673C8"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51 pence</w:t>
            </w:r>
          </w:p>
        </w:tc>
      </w:tr>
      <w:tr w:rsidR="008E4795" w14:paraId="4AF3B37B"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4883ACF1"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Price/Earnings Ratio</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7E8E7410"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5,5 years</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3A0773D6"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5,4 years</w:t>
            </w:r>
          </w:p>
        </w:tc>
      </w:tr>
      <w:tr w:rsidR="008E4795" w14:paraId="42CD3CD9"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2394E41"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Dividend per Share</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6B7BBB8C"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33 pence</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04D6E2F3"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30 pence</w:t>
            </w:r>
          </w:p>
        </w:tc>
      </w:tr>
      <w:tr w:rsidR="008E4795" w14:paraId="6EA6AF5A"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56A42FFD"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Dividend Pay-out Percentage</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73D1F0F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52,3%</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58166828"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58,8%</w:t>
            </w:r>
          </w:p>
        </w:tc>
      </w:tr>
      <w:tr w:rsidR="008E4795" w14:paraId="7CA140D2"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0217659" w14:textId="77777777" w:rsidR="008E4795" w:rsidRPr="008E4795" w:rsidRDefault="008E4795">
            <w:pPr>
              <w:spacing w:after="0" w:line="240" w:lineRule="auto"/>
              <w:rPr>
                <w:rFonts w:ascii="Calibri" w:eastAsia="Times New Roman" w:hAnsi="Calibri" w:cs="Calibri"/>
                <w:color w:val="000000"/>
                <w:lang w:eastAsia="en-GB"/>
              </w:rPr>
            </w:pPr>
            <w:r w:rsidRPr="008E4795">
              <w:rPr>
                <w:rFonts w:ascii="Calibri" w:eastAsia="Times New Roman" w:hAnsi="Calibri" w:cs="Calibri"/>
                <w:color w:val="000000"/>
                <w:lang w:eastAsia="en-GB"/>
              </w:rPr>
              <w:t>Capital Structure</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7EC6142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10007550"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E4795" w14:paraId="45D4B96B"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5140B26C"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Gearing Ratios</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3A09B612"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219AAC67"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E4795" w14:paraId="2061FB48"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CDA1B16" w14:textId="77777777" w:rsidR="008E4795" w:rsidRDefault="008E4795" w:rsidP="000920BB">
            <w:pPr>
              <w:pStyle w:val="ListParagraph"/>
              <w:numPr>
                <w:ilvl w:val="0"/>
                <w:numId w:val="1"/>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First Type</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264DCCF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41,4%</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11BD25DB"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61,3%</w:t>
            </w:r>
          </w:p>
        </w:tc>
      </w:tr>
      <w:tr w:rsidR="008E4795" w14:paraId="67E6AF06"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9F1BFE3"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b)    Second Type</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7A5B5349" w14:textId="77777777" w:rsidR="008E4795" w:rsidRDefault="008E4795" w:rsidP="000920BB">
            <w:pPr>
              <w:pStyle w:val="ListParagraph"/>
              <w:numPr>
                <w:ilvl w:val="0"/>
                <w:numId w:val="1"/>
              </w:num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29,3%</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1C96FFF9"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8E4795" w14:paraId="4A079CAC" w14:textId="77777777" w:rsidTr="008E4795">
        <w:trPr>
          <w:trHeight w:val="315"/>
        </w:trPr>
        <w:tc>
          <w:tcPr>
            <w:tcW w:w="464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17D56288" w14:textId="77777777" w:rsidR="008E4795" w:rsidRDefault="008E47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Interest Cover</w:t>
            </w:r>
          </w:p>
        </w:tc>
        <w:tc>
          <w:tcPr>
            <w:tcW w:w="1240" w:type="dxa"/>
            <w:tcBorders>
              <w:top w:val="nil"/>
              <w:left w:val="nil"/>
              <w:bottom w:val="single" w:sz="4" w:space="0" w:color="auto"/>
              <w:right w:val="single" w:sz="4" w:space="0" w:color="auto"/>
            </w:tcBorders>
            <w:shd w:val="clear" w:color="auto" w:fill="D9E2F3" w:themeFill="accent1" w:themeFillTint="33"/>
            <w:noWrap/>
            <w:vAlign w:val="bottom"/>
            <w:hideMark/>
          </w:tcPr>
          <w:p w14:paraId="7031BDB7"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times</w:t>
            </w:r>
          </w:p>
        </w:tc>
        <w:tc>
          <w:tcPr>
            <w:tcW w:w="1540" w:type="dxa"/>
            <w:tcBorders>
              <w:top w:val="nil"/>
              <w:left w:val="nil"/>
              <w:bottom w:val="single" w:sz="4" w:space="0" w:color="auto"/>
              <w:right w:val="single" w:sz="4" w:space="0" w:color="auto"/>
            </w:tcBorders>
            <w:shd w:val="clear" w:color="auto" w:fill="D9E2F3" w:themeFill="accent1" w:themeFillTint="33"/>
            <w:noWrap/>
            <w:vAlign w:val="bottom"/>
            <w:hideMark/>
          </w:tcPr>
          <w:p w14:paraId="3F480C2B" w14:textId="77777777" w:rsidR="008E4795" w:rsidRDefault="008E479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8,2 times</w:t>
            </w:r>
          </w:p>
        </w:tc>
      </w:tr>
    </w:tbl>
    <w:p w14:paraId="38F8C851" w14:textId="66D6C616" w:rsidR="008E4795" w:rsidRDefault="008E4795"/>
    <w:sectPr w:rsidR="008E4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1F30B2"/>
    <w:multiLevelType w:val="hybridMultilevel"/>
    <w:tmpl w:val="5A20D35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15"/>
    <w:rsid w:val="00771B7F"/>
    <w:rsid w:val="00884D15"/>
    <w:rsid w:val="008E4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2DA3A"/>
  <w15:chartTrackingRefBased/>
  <w15:docId w15:val="{45869784-40EA-488F-9DE1-7B14F37C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795"/>
    <w:pPr>
      <w:spacing w:line="254"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959060">
      <w:bodyDiv w:val="1"/>
      <w:marLeft w:val="0"/>
      <w:marRight w:val="0"/>
      <w:marTop w:val="0"/>
      <w:marBottom w:val="0"/>
      <w:divBdr>
        <w:top w:val="none" w:sz="0" w:space="0" w:color="auto"/>
        <w:left w:val="none" w:sz="0" w:space="0" w:color="auto"/>
        <w:bottom w:val="none" w:sz="0" w:space="0" w:color="auto"/>
        <w:right w:val="none" w:sz="0" w:space="0" w:color="auto"/>
      </w:divBdr>
    </w:div>
    <w:div w:id="901453259">
      <w:bodyDiv w:val="1"/>
      <w:marLeft w:val="0"/>
      <w:marRight w:val="0"/>
      <w:marTop w:val="0"/>
      <w:marBottom w:val="0"/>
      <w:divBdr>
        <w:top w:val="none" w:sz="0" w:space="0" w:color="auto"/>
        <w:left w:val="none" w:sz="0" w:space="0" w:color="auto"/>
        <w:bottom w:val="none" w:sz="0" w:space="0" w:color="auto"/>
        <w:right w:val="none" w:sz="0" w:space="0" w:color="auto"/>
      </w:divBdr>
    </w:div>
    <w:div w:id="1276061582">
      <w:bodyDiv w:val="1"/>
      <w:marLeft w:val="0"/>
      <w:marRight w:val="0"/>
      <w:marTop w:val="0"/>
      <w:marBottom w:val="0"/>
      <w:divBdr>
        <w:top w:val="none" w:sz="0" w:space="0" w:color="auto"/>
        <w:left w:val="none" w:sz="0" w:space="0" w:color="auto"/>
        <w:bottom w:val="none" w:sz="0" w:space="0" w:color="auto"/>
        <w:right w:val="none" w:sz="0" w:space="0" w:color="auto"/>
      </w:divBdr>
    </w:div>
    <w:div w:id="1470633562">
      <w:bodyDiv w:val="1"/>
      <w:marLeft w:val="0"/>
      <w:marRight w:val="0"/>
      <w:marTop w:val="0"/>
      <w:marBottom w:val="0"/>
      <w:divBdr>
        <w:top w:val="none" w:sz="0" w:space="0" w:color="auto"/>
        <w:left w:val="none" w:sz="0" w:space="0" w:color="auto"/>
        <w:bottom w:val="none" w:sz="0" w:space="0" w:color="auto"/>
        <w:right w:val="none" w:sz="0" w:space="0" w:color="auto"/>
      </w:divBdr>
    </w:div>
    <w:div w:id="1777943753">
      <w:bodyDiv w:val="1"/>
      <w:marLeft w:val="0"/>
      <w:marRight w:val="0"/>
      <w:marTop w:val="0"/>
      <w:marBottom w:val="0"/>
      <w:divBdr>
        <w:top w:val="none" w:sz="0" w:space="0" w:color="auto"/>
        <w:left w:val="none" w:sz="0" w:space="0" w:color="auto"/>
        <w:bottom w:val="none" w:sz="0" w:space="0" w:color="auto"/>
        <w:right w:val="none" w:sz="0" w:space="0" w:color="auto"/>
      </w:divBdr>
    </w:div>
    <w:div w:id="180095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2020-03-20T23:43:00Z</dcterms:created>
  <dcterms:modified xsi:type="dcterms:W3CDTF">2020-03-21T00:07:00Z</dcterms:modified>
</cp:coreProperties>
</file>