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089F8" w14:textId="77777777" w:rsidR="005B0F35" w:rsidRPr="00A85AE6" w:rsidRDefault="005B0F35" w:rsidP="005B0F35">
      <w:pPr>
        <w:spacing w:line="480" w:lineRule="auto"/>
        <w:rPr>
          <w:b/>
          <w:bCs w:val="0"/>
        </w:rPr>
      </w:pPr>
      <w:r w:rsidRPr="00A85AE6">
        <w:rPr>
          <w:b/>
          <w:bCs w:val="0"/>
        </w:rPr>
        <w:t>Essay one:</w:t>
      </w:r>
    </w:p>
    <w:p w14:paraId="4A49D572" w14:textId="77777777" w:rsidR="005B0F35" w:rsidRPr="00A85AE6" w:rsidRDefault="005B0F35" w:rsidP="005B0F35">
      <w:pPr>
        <w:spacing w:line="480" w:lineRule="auto"/>
        <w:rPr>
          <w:b/>
          <w:bCs w:val="0"/>
          <w:i/>
          <w:iCs/>
          <w:u w:val="none"/>
        </w:rPr>
      </w:pPr>
      <w:r w:rsidRPr="00A85AE6">
        <w:rPr>
          <w:b/>
          <w:bCs w:val="0"/>
          <w:i/>
          <w:iCs/>
          <w:u w:val="none"/>
        </w:rPr>
        <w:t xml:space="preserve">“Inclusion is increasingly recognised as essential to support and achieve diversity improvement” (Durham University, 2020). </w:t>
      </w:r>
      <w:r w:rsidRPr="00A85AE6">
        <w:rPr>
          <w:b/>
          <w:bCs w:val="0"/>
          <w:u w:val="none"/>
        </w:rPr>
        <w:t>Examine the role of organisational culture in creating an inclusive and diverse workforce within policing.</w:t>
      </w:r>
      <w:r w:rsidRPr="00A85AE6">
        <w:rPr>
          <w:b/>
          <w:bCs w:val="0"/>
          <w:i/>
          <w:iCs/>
          <w:u w:val="none"/>
        </w:rPr>
        <w:t xml:space="preserve"> </w:t>
      </w:r>
    </w:p>
    <w:p w14:paraId="0D8E54E7" w14:textId="77777777" w:rsidR="005B0F35" w:rsidRPr="00A85AE6" w:rsidRDefault="005B0F35" w:rsidP="005B0F35">
      <w:pPr>
        <w:spacing w:line="480" w:lineRule="auto"/>
        <w:jc w:val="both"/>
        <w:rPr>
          <w:u w:val="none"/>
        </w:rPr>
      </w:pPr>
      <w:r w:rsidRPr="00A85AE6">
        <w:rPr>
          <w:u w:val="none"/>
        </w:rPr>
        <w:t xml:space="preserve">The terms ‘diversity and inclusion’ are often used interchangeably within organisations; however, the literature highlights that diversity management programmes focus on bringing members of marginalised groups into the workforce. Whereas inclusion practices seek to create equal access to decision making, resources and upward mobility opportunities for those in marginalised groups (Shore et al, 2018). In order to make each practice effective the organisational culture has a significant impact on its success. This paper will examine the role of organisational culture in creating an inclusive and diverse workforce within policing and detail the benefits and potential barriers that organisational culture can have to support and achieve diversity improvements. </w:t>
      </w:r>
    </w:p>
    <w:p w14:paraId="285BD745" w14:textId="77777777" w:rsidR="005B0F35" w:rsidRPr="00A85AE6" w:rsidRDefault="005B0F35" w:rsidP="005B0F35">
      <w:pPr>
        <w:spacing w:line="480" w:lineRule="auto"/>
        <w:jc w:val="both"/>
        <w:rPr>
          <w:u w:val="none"/>
        </w:rPr>
      </w:pPr>
      <w:r w:rsidRPr="00A85AE6">
        <w:rPr>
          <w:u w:val="none"/>
        </w:rPr>
        <w:t xml:space="preserve">Senior leadership can help in creating an inclusive and diverse workforce within policing by fostering a culture of inclusion. Gallegos (2014, citied in Shore et al, 2018) suggests that leaders need to create an environment where differences can be understood and explored. Leaders can set the scene by explicitly describing the boundaries for suitable behaviour and the consequences for breaching them, this sets the tone for what is expected from all members in the organisation.  Inclusion benefits everyone within in a system, but research shows that it is most beneficial to those who have historically been excluded from opportunities, organisations and the decision-making process. By having an inclusive workplace, leaders can create an environment </w:t>
      </w:r>
      <w:r w:rsidRPr="00A85AE6">
        <w:rPr>
          <w:u w:val="none"/>
        </w:rPr>
        <w:lastRenderedPageBreak/>
        <w:t xml:space="preserve">that is respectful of all cultural perspectives that is representative of their employees. It allows for members from marginalised groups to have equal opportunities and the ability to participate and contribute whilst concurrently providing the same for members from non-marginalized groups (Shore et al., 2018). </w:t>
      </w:r>
    </w:p>
    <w:p w14:paraId="665E3221" w14:textId="77777777" w:rsidR="005B0F35" w:rsidRPr="00A85AE6" w:rsidRDefault="005B0F35" w:rsidP="005B0F35">
      <w:pPr>
        <w:spacing w:line="480" w:lineRule="auto"/>
        <w:jc w:val="both"/>
        <w:rPr>
          <w:u w:val="none"/>
        </w:rPr>
      </w:pPr>
      <w:r w:rsidRPr="00A85AE6">
        <w:rPr>
          <w:u w:val="none"/>
        </w:rPr>
        <w:t>Recruitment is another method that organisations can use to promote a more inclusive and diverse workforce.  A report by Durham University (2019) called Diversity, Equality and Inclusion in Policing found that when an organisation administered a fair selection and promotion process, individual wellbeing increased. When employees feel that the employment practices are more inclusive, staff have higher levels of emotional energy, job satisfaction, apply more work effort and professional commitment and have lower levels of intentions of quitting. However, these results were not shared across the board as police staff reported much higher scores than police officers and Black, Asian and mixed ethnicity staff reported much lower levels than their white counterparts (Durham University, 2019). These results show that attempts to be more diverse and inclusive has differing impacts for staff based not only on their ethnicity, gender and other protected characteristics, but also the position staff held within an organisation. Interestingly male officers who reported unfair treatment due to their gender was much higher than their female counterparts. Male officers felt that their career promotions and developments were negatively impacted because of their gender (Durham University, 2019). These results highlight that an organisation must find a balance when promoting an inclusive and diverse workforce and that in order to promote marginalised groups, they must not limit opportunities for non-marginalised groups.</w:t>
      </w:r>
    </w:p>
    <w:p w14:paraId="46B60171" w14:textId="77777777" w:rsidR="005B0F35" w:rsidRPr="00A85AE6" w:rsidRDefault="005B0F35" w:rsidP="005B0F35">
      <w:pPr>
        <w:spacing w:line="480" w:lineRule="auto"/>
        <w:jc w:val="both"/>
        <w:rPr>
          <w:u w:val="none"/>
        </w:rPr>
      </w:pPr>
      <w:r w:rsidRPr="00A85AE6">
        <w:rPr>
          <w:u w:val="none"/>
        </w:rPr>
        <w:t xml:space="preserve">Researcher Megan O’Neill (2014) highlights how the collaborative workforce with police officers, PCSO’s and neighbourhood policing has had a positive effect on the police occupational culture. She highlights that those who historically may have been </w:t>
      </w:r>
      <w:r w:rsidRPr="00A85AE6">
        <w:rPr>
          <w:u w:val="none"/>
        </w:rPr>
        <w:lastRenderedPageBreak/>
        <w:t xml:space="preserve">perceived as problems such as social workers and community activists, are now seen as having vital input on understanding cultural differences and understanding community needs. PCSO’s and neighbourhood policing teams have regular meetings with them and they provide vital information. This has led to a noticeable shift in organisational culture and moved the police force away from being an insular force to one that works collaboratively with other public sectors and integrates with the community needs. O’Neill (2014) notes that PCSO’s have a higher representation of black, minority ethnic groups and women than among police constables. Although they are bringing about a great diversification into the police force along with their staff involvement in policing, more research is needed as to how many of these minority groups go on to become police constables and if the diversity continues in the upper ranks of the organisation. </w:t>
      </w:r>
    </w:p>
    <w:p w14:paraId="4F6223A4" w14:textId="77777777" w:rsidR="005B0F35" w:rsidRPr="00A85AE6" w:rsidRDefault="005B0F35" w:rsidP="005B0F35">
      <w:pPr>
        <w:spacing w:line="480" w:lineRule="auto"/>
        <w:jc w:val="both"/>
        <w:rPr>
          <w:u w:val="none"/>
        </w:rPr>
      </w:pPr>
      <w:r w:rsidRPr="00A85AE6">
        <w:rPr>
          <w:u w:val="none"/>
        </w:rPr>
        <w:t xml:space="preserve">Another issue that the Durham University report (2019) highlights, is that where staff work in the organisation can impact the interpersonal mistreatment they face. For example, 19.1% of female police officers reported experiencing derogatory comments about their gender compared to a larger 86.7% of female staff.  These large differences show that diversity and inclusion vary across the organisation and that one area may be experiencing positive outcomes another can be experiencing the polar opposite. Therefore, organisations need to be mindful of how diversity and inclusion is being distributed across the organisation and attempt to have as much inclusion across workstreams and departments as possible. Although the report highlights the issues, it does not provide any recommendations on how these can be mitigated or where they believe the issues may be arising from. Having this information would help the organisational culture see where they are improving and work on the areas where improvements are needed. </w:t>
      </w:r>
    </w:p>
    <w:p w14:paraId="02FE3162" w14:textId="77777777" w:rsidR="005B0F35" w:rsidRPr="00A85AE6" w:rsidRDefault="005B0F35" w:rsidP="005B0F35">
      <w:pPr>
        <w:spacing w:line="480" w:lineRule="auto"/>
        <w:jc w:val="both"/>
        <w:rPr>
          <w:u w:val="none"/>
        </w:rPr>
      </w:pPr>
      <w:r w:rsidRPr="00A85AE6">
        <w:rPr>
          <w:u w:val="none"/>
        </w:rPr>
        <w:lastRenderedPageBreak/>
        <w:t xml:space="preserve">In conclusion, organisational culture has a heavy role in creating an inclusive and diverse workforce within policing. Having senior leaders understand the importance of including staff in decision making and creating an open and trusting environment can encourage diversity and inclusion. An organisations recruitment practices can help staff feel more motivated and decrease their desire to leave the force, however they must ensure that by trying to reach marginalised groups they do not limit the opportunities for those in non-marginalised groups or there is a danger of discriminating one group in order to meet the needs of another. Finally, in order to improve and continue to grow research needs to provide recommendations on how these issues can be mitigated and highlight ways to work in a way that opportunities can be shared across people and systems as currently there seems to be a slight pushback to every positive gained.  </w:t>
      </w:r>
    </w:p>
    <w:p w14:paraId="6CB9382B" w14:textId="77777777" w:rsidR="005B0F35" w:rsidRPr="00A85AE6" w:rsidRDefault="005B0F35" w:rsidP="005B0F35">
      <w:pPr>
        <w:spacing w:line="480" w:lineRule="auto"/>
        <w:rPr>
          <w:u w:val="none"/>
        </w:rPr>
      </w:pPr>
      <w:r w:rsidRPr="00A85AE6">
        <w:rPr>
          <w:u w:val="none"/>
        </w:rPr>
        <w:t xml:space="preserve">(Word Count 970) </w:t>
      </w:r>
    </w:p>
    <w:p w14:paraId="18ACB2FA" w14:textId="77777777" w:rsidR="005B0F35" w:rsidRPr="00A85AE6" w:rsidRDefault="005B0F35" w:rsidP="005B0F35">
      <w:pPr>
        <w:spacing w:line="480" w:lineRule="auto"/>
        <w:rPr>
          <w:u w:val="none"/>
        </w:rPr>
      </w:pPr>
    </w:p>
    <w:p w14:paraId="345AD3D9" w14:textId="77777777" w:rsidR="005B0F35" w:rsidRPr="00A85AE6" w:rsidRDefault="005B0F35" w:rsidP="005B0F35">
      <w:pPr>
        <w:spacing w:line="480" w:lineRule="auto"/>
        <w:rPr>
          <w:u w:val="none"/>
        </w:rPr>
      </w:pPr>
    </w:p>
    <w:p w14:paraId="1B7DFA0F" w14:textId="77777777" w:rsidR="005B0F35" w:rsidRPr="00A85AE6" w:rsidRDefault="005B0F35" w:rsidP="005B0F35">
      <w:pPr>
        <w:rPr>
          <w:u w:val="none"/>
        </w:rPr>
      </w:pPr>
    </w:p>
    <w:p w14:paraId="4AEEDD34" w14:textId="77777777" w:rsidR="005B0F35" w:rsidRPr="00A85AE6" w:rsidRDefault="005B0F35" w:rsidP="005B0F35">
      <w:pPr>
        <w:rPr>
          <w:u w:val="none"/>
        </w:rPr>
      </w:pPr>
    </w:p>
    <w:p w14:paraId="48A8DFDE" w14:textId="77777777" w:rsidR="005B0F35" w:rsidRPr="00A85AE6" w:rsidRDefault="005B0F35" w:rsidP="005B0F35">
      <w:pPr>
        <w:rPr>
          <w:u w:val="none"/>
        </w:rPr>
      </w:pPr>
    </w:p>
    <w:p w14:paraId="11A12889" w14:textId="77777777" w:rsidR="005B0F35" w:rsidRPr="00A85AE6" w:rsidRDefault="005B0F35" w:rsidP="005B0F35">
      <w:pPr>
        <w:rPr>
          <w:u w:val="none"/>
        </w:rPr>
      </w:pPr>
    </w:p>
    <w:p w14:paraId="6E9CBDEC" w14:textId="77777777" w:rsidR="005B0F35" w:rsidRPr="00A85AE6" w:rsidRDefault="005B0F35" w:rsidP="005B0F35">
      <w:pPr>
        <w:rPr>
          <w:u w:val="none"/>
        </w:rPr>
      </w:pPr>
    </w:p>
    <w:p w14:paraId="0E2F02BE" w14:textId="77777777" w:rsidR="005B0F35" w:rsidRDefault="005B0F35" w:rsidP="005B0F35">
      <w:pPr>
        <w:rPr>
          <w:u w:val="none"/>
        </w:rPr>
      </w:pPr>
    </w:p>
    <w:p w14:paraId="7E7896B7" w14:textId="77777777" w:rsidR="005B0F35" w:rsidRDefault="005B0F35" w:rsidP="005B0F35">
      <w:pPr>
        <w:rPr>
          <w:u w:val="none"/>
        </w:rPr>
      </w:pPr>
    </w:p>
    <w:p w14:paraId="3183111F" w14:textId="77777777" w:rsidR="005B0F35" w:rsidRDefault="005B0F35" w:rsidP="005B0F35">
      <w:pPr>
        <w:rPr>
          <w:u w:val="none"/>
        </w:rPr>
      </w:pPr>
    </w:p>
    <w:p w14:paraId="57D2E01F" w14:textId="77777777" w:rsidR="005B0F35" w:rsidRPr="00A85AE6" w:rsidRDefault="005B0F35" w:rsidP="005B0F35">
      <w:pPr>
        <w:rPr>
          <w:u w:val="none"/>
        </w:rPr>
      </w:pPr>
    </w:p>
    <w:p w14:paraId="3C88FE2D" w14:textId="77777777" w:rsidR="005B0F35" w:rsidRDefault="005B0F35" w:rsidP="005B0F35">
      <w:pPr>
        <w:jc w:val="center"/>
        <w:rPr>
          <w:b/>
          <w:bCs w:val="0"/>
        </w:rPr>
      </w:pPr>
      <w:r w:rsidRPr="00DB5706">
        <w:rPr>
          <w:b/>
          <w:bCs w:val="0"/>
        </w:rPr>
        <w:lastRenderedPageBreak/>
        <w:t xml:space="preserve">Bibliography </w:t>
      </w:r>
    </w:p>
    <w:p w14:paraId="731726FE" w14:textId="77777777" w:rsidR="005B0F35" w:rsidRPr="00DB5706" w:rsidRDefault="005B0F35" w:rsidP="005B0F35">
      <w:pPr>
        <w:rPr>
          <w:b/>
          <w:bCs w:val="0"/>
        </w:rPr>
      </w:pPr>
    </w:p>
    <w:p w14:paraId="6E8BE54D" w14:textId="77777777" w:rsidR="005B0F35" w:rsidRPr="00A85AE6" w:rsidRDefault="005B0F35" w:rsidP="005B0F35">
      <w:pPr>
        <w:rPr>
          <w:u w:val="none"/>
        </w:rPr>
      </w:pPr>
      <w:r w:rsidRPr="00A85AE6">
        <w:rPr>
          <w:u w:val="none"/>
        </w:rPr>
        <w:t xml:space="preserve">Lynn M. Shore, Jeanette N. Cleaveland and Diana Sanchez., </w:t>
      </w:r>
      <w:r>
        <w:rPr>
          <w:u w:val="none"/>
        </w:rPr>
        <w:t>(</w:t>
      </w:r>
      <w:r w:rsidRPr="00A85AE6">
        <w:rPr>
          <w:u w:val="none"/>
        </w:rPr>
        <w:t>2018</w:t>
      </w:r>
      <w:r w:rsidRPr="00A85AE6">
        <w:rPr>
          <w:i/>
          <w:iCs/>
          <w:u w:val="none"/>
        </w:rPr>
        <w:t>) Inclusive workplaces: A review and model, Human resource management review 28</w:t>
      </w:r>
      <w:r w:rsidRPr="00A85AE6">
        <w:rPr>
          <w:u w:val="none"/>
        </w:rPr>
        <w:t xml:space="preserve"> </w:t>
      </w:r>
      <w:r>
        <w:rPr>
          <w:u w:val="none"/>
        </w:rPr>
        <w:t>pp.</w:t>
      </w:r>
      <w:r w:rsidRPr="00A85AE6">
        <w:rPr>
          <w:u w:val="none"/>
        </w:rPr>
        <w:t>176-189</w:t>
      </w:r>
      <w:r>
        <w:rPr>
          <w:u w:val="none"/>
        </w:rPr>
        <w:t xml:space="preserve"> [Online]</w:t>
      </w:r>
      <w:r w:rsidRPr="00A85AE6">
        <w:rPr>
          <w:u w:val="none"/>
        </w:rPr>
        <w:t xml:space="preserve"> </w:t>
      </w:r>
      <w:r>
        <w:rPr>
          <w:u w:val="none"/>
        </w:rPr>
        <w:t>Available</w:t>
      </w:r>
      <w:r w:rsidRPr="00A85AE6">
        <w:rPr>
          <w:u w:val="none"/>
        </w:rPr>
        <w:t xml:space="preserve"> at</w:t>
      </w:r>
      <w:r>
        <w:rPr>
          <w:u w:val="none"/>
        </w:rPr>
        <w:t>:</w:t>
      </w:r>
      <w:r w:rsidRPr="00A85AE6">
        <w:rPr>
          <w:u w:val="none"/>
        </w:rPr>
        <w:t xml:space="preserve"> </w:t>
      </w:r>
      <w:hyperlink r:id="rId6" w:history="1">
        <w:r w:rsidRPr="00A85AE6">
          <w:rPr>
            <w:rStyle w:val="Hyperlink"/>
          </w:rPr>
          <w:t>https://core.ac.uk/download/pdf/288817598.pdf</w:t>
        </w:r>
      </w:hyperlink>
      <w:r w:rsidRPr="00A85AE6">
        <w:rPr>
          <w:u w:val="none"/>
        </w:rPr>
        <w:t xml:space="preserve"> </w:t>
      </w:r>
      <w:r>
        <w:rPr>
          <w:u w:val="none"/>
        </w:rPr>
        <w:t>(Accessed 10 October 2023)</w:t>
      </w:r>
    </w:p>
    <w:p w14:paraId="07E8BCD4" w14:textId="77777777" w:rsidR="005B0F35" w:rsidRPr="00A85AE6" w:rsidRDefault="005B0F35" w:rsidP="005B0F35">
      <w:pPr>
        <w:rPr>
          <w:u w:val="none"/>
        </w:rPr>
      </w:pPr>
      <w:r>
        <w:rPr>
          <w:u w:val="none"/>
        </w:rPr>
        <w:t xml:space="preserve">Durham University (2019) </w:t>
      </w:r>
      <w:r w:rsidRPr="00A85AE6">
        <w:rPr>
          <w:i/>
          <w:iCs/>
          <w:u w:val="none"/>
        </w:rPr>
        <w:t>Diversity, Equality and Inclusion in Policing 2019</w:t>
      </w:r>
      <w:r w:rsidRPr="00A85AE6">
        <w:rPr>
          <w:u w:val="none"/>
        </w:rPr>
        <w:t xml:space="preserve">, </w:t>
      </w:r>
      <w:r>
        <w:rPr>
          <w:u w:val="none"/>
        </w:rPr>
        <w:t>[Online] available</w:t>
      </w:r>
      <w:r w:rsidRPr="00A85AE6">
        <w:rPr>
          <w:u w:val="none"/>
        </w:rPr>
        <w:t xml:space="preserve"> at</w:t>
      </w:r>
      <w:r>
        <w:rPr>
          <w:u w:val="none"/>
        </w:rPr>
        <w:t>:</w:t>
      </w:r>
      <w:r w:rsidRPr="00A85AE6">
        <w:rPr>
          <w:u w:val="none"/>
        </w:rPr>
        <w:t xml:space="preserve"> </w:t>
      </w:r>
      <w:hyperlink r:id="rId7" w:history="1">
        <w:r w:rsidRPr="00A85AE6">
          <w:rPr>
            <w:rStyle w:val="Hyperlink"/>
          </w:rPr>
          <w:t>https://www.apccs.police.uk/media/5817/diversity-equality-and-inclusion-in-policing-2019-report.pdf</w:t>
        </w:r>
      </w:hyperlink>
      <w:r w:rsidRPr="00A85AE6">
        <w:rPr>
          <w:u w:val="none"/>
        </w:rPr>
        <w:t xml:space="preserve"> </w:t>
      </w:r>
      <w:r>
        <w:rPr>
          <w:u w:val="none"/>
        </w:rPr>
        <w:t>(Accessed 13 October 2023)</w:t>
      </w:r>
    </w:p>
    <w:p w14:paraId="06A0BC41" w14:textId="77777777" w:rsidR="005B0F35" w:rsidRPr="00A85AE6" w:rsidRDefault="005B0F35" w:rsidP="005B0F35">
      <w:pPr>
        <w:rPr>
          <w:u w:val="none"/>
        </w:rPr>
      </w:pPr>
      <w:r w:rsidRPr="00A85AE6">
        <w:rPr>
          <w:color w:val="2A2A2A"/>
          <w:u w:val="none"/>
          <w:shd w:val="clear" w:color="auto" w:fill="FFFFFF"/>
        </w:rPr>
        <w:t xml:space="preserve">Megan O’Neill, </w:t>
      </w:r>
      <w:r>
        <w:rPr>
          <w:color w:val="2A2A2A"/>
          <w:u w:val="none"/>
          <w:shd w:val="clear" w:color="auto" w:fill="FFFFFF"/>
        </w:rPr>
        <w:t xml:space="preserve">(2015) </w:t>
      </w:r>
      <w:r w:rsidRPr="00A85AE6">
        <w:rPr>
          <w:i/>
          <w:iCs/>
          <w:color w:val="2A2A2A"/>
          <w:u w:val="none"/>
          <w:shd w:val="clear" w:color="auto" w:fill="FFFFFF"/>
        </w:rPr>
        <w:t>The Case for the Acceptable ‘Other’: The Impact of Partnerships, PCSOs, and Neighbourhood Policing on Diversity in Policing</w:t>
      </w:r>
      <w:r w:rsidRPr="00A85AE6">
        <w:rPr>
          <w:color w:val="2A2A2A"/>
          <w:u w:val="none"/>
          <w:shd w:val="clear" w:color="auto" w:fill="FFFFFF"/>
        </w:rPr>
        <w:t>, </w:t>
      </w:r>
      <w:r w:rsidRPr="00A85AE6">
        <w:rPr>
          <w:rStyle w:val="Emphasis"/>
          <w:color w:val="2A2A2A"/>
          <w:u w:val="none"/>
          <w:bdr w:val="none" w:sz="0" w:space="0" w:color="auto" w:frame="1"/>
          <w:shd w:val="clear" w:color="auto" w:fill="FFFFFF"/>
        </w:rPr>
        <w:t>Policing: A Journal of Policy and Practice</w:t>
      </w:r>
      <w:r w:rsidRPr="00A85AE6">
        <w:rPr>
          <w:i/>
          <w:iCs/>
          <w:color w:val="2A2A2A"/>
          <w:u w:val="none"/>
          <w:shd w:val="clear" w:color="auto" w:fill="FFFFFF"/>
        </w:rPr>
        <w:t>,</w:t>
      </w:r>
      <w:r w:rsidRPr="00A85AE6">
        <w:rPr>
          <w:color w:val="2A2A2A"/>
          <w:u w:val="none"/>
          <w:shd w:val="clear" w:color="auto" w:fill="FFFFFF"/>
        </w:rPr>
        <w:t xml:space="preserve"> </w:t>
      </w:r>
      <w:r>
        <w:rPr>
          <w:color w:val="2A2A2A"/>
          <w:u w:val="none"/>
          <w:shd w:val="clear" w:color="auto" w:fill="FFFFFF"/>
        </w:rPr>
        <w:t>vol</w:t>
      </w:r>
      <w:r w:rsidRPr="00A85AE6">
        <w:rPr>
          <w:color w:val="2A2A2A"/>
          <w:u w:val="none"/>
          <w:shd w:val="clear" w:color="auto" w:fill="FFFFFF"/>
        </w:rPr>
        <w:t xml:space="preserve"> 9, Issue 1, </w:t>
      </w:r>
      <w:r>
        <w:rPr>
          <w:color w:val="2A2A2A"/>
          <w:u w:val="none"/>
          <w:shd w:val="clear" w:color="auto" w:fill="FFFFFF"/>
        </w:rPr>
        <w:t>pp</w:t>
      </w:r>
      <w:r w:rsidRPr="00A85AE6">
        <w:rPr>
          <w:color w:val="2A2A2A"/>
          <w:u w:val="none"/>
          <w:shd w:val="clear" w:color="auto" w:fill="FFFFFF"/>
        </w:rPr>
        <w:t>77</w:t>
      </w:r>
      <w:r>
        <w:rPr>
          <w:color w:val="2A2A2A"/>
          <w:u w:val="none"/>
          <w:shd w:val="clear" w:color="auto" w:fill="FFFFFF"/>
        </w:rPr>
        <w:t>-88</w:t>
      </w:r>
      <w:r w:rsidRPr="00A85AE6">
        <w:rPr>
          <w:color w:val="2A2A2A"/>
          <w:u w:val="none"/>
          <w:shd w:val="clear" w:color="auto" w:fill="FFFFFF"/>
        </w:rPr>
        <w:t>,</w:t>
      </w:r>
      <w:r>
        <w:rPr>
          <w:color w:val="2A2A2A"/>
          <w:u w:val="none"/>
          <w:shd w:val="clear" w:color="auto" w:fill="FFFFFF"/>
        </w:rPr>
        <w:t xml:space="preserve"> [Online] Available at:</w:t>
      </w:r>
      <w:r w:rsidRPr="00A85AE6">
        <w:rPr>
          <w:color w:val="2A2A2A"/>
          <w:u w:val="none"/>
          <w:shd w:val="clear" w:color="auto" w:fill="FFFFFF"/>
        </w:rPr>
        <w:t> </w:t>
      </w:r>
      <w:r>
        <w:rPr>
          <w:color w:val="2A2A2A"/>
          <w:u w:val="none"/>
          <w:shd w:val="clear" w:color="auto" w:fill="FFFFFF"/>
        </w:rPr>
        <w:t xml:space="preserve"> </w:t>
      </w:r>
      <w:hyperlink r:id="rId8" w:history="1">
        <w:r w:rsidRPr="00313D44">
          <w:rPr>
            <w:rStyle w:val="Hyperlink"/>
            <w:bdr w:val="none" w:sz="0" w:space="0" w:color="auto" w:frame="1"/>
            <w:shd w:val="clear" w:color="auto" w:fill="FFFFFF"/>
          </w:rPr>
          <w:t>https://doi.org/10.1093/police/pau026</w:t>
        </w:r>
      </w:hyperlink>
      <w:r>
        <w:rPr>
          <w:bdr w:val="none" w:sz="0" w:space="0" w:color="auto" w:frame="1"/>
          <w:shd w:val="clear" w:color="auto" w:fill="FFFFFF"/>
        </w:rPr>
        <w:t xml:space="preserve"> </w:t>
      </w:r>
      <w:r>
        <w:rPr>
          <w:color w:val="2A2A2A"/>
          <w:u w:val="none"/>
          <w:shd w:val="clear" w:color="auto" w:fill="FFFFFF"/>
        </w:rPr>
        <w:t>(Accessed 13 October 2023)</w:t>
      </w:r>
    </w:p>
    <w:p w14:paraId="5F62B5AB" w14:textId="77777777" w:rsidR="005B0F35" w:rsidRPr="00A85AE6" w:rsidRDefault="005B0F35" w:rsidP="005B0F35">
      <w:pPr>
        <w:rPr>
          <w:u w:val="none"/>
        </w:rPr>
      </w:pPr>
    </w:p>
    <w:p w14:paraId="68E059D4" w14:textId="77777777" w:rsidR="005B0F35" w:rsidRPr="00A85AE6" w:rsidRDefault="005B0F35" w:rsidP="005B0F35">
      <w:pPr>
        <w:rPr>
          <w:u w:val="none"/>
        </w:rPr>
      </w:pPr>
    </w:p>
    <w:p w14:paraId="01E30BC3" w14:textId="77777777" w:rsidR="005B0F35" w:rsidRPr="00A85AE6" w:rsidRDefault="005B0F35" w:rsidP="005B0F35">
      <w:pPr>
        <w:rPr>
          <w:u w:val="none"/>
        </w:rPr>
      </w:pPr>
    </w:p>
    <w:p w14:paraId="7E46E0F9" w14:textId="77777777" w:rsidR="005B0F35" w:rsidRPr="00A85AE6" w:rsidRDefault="005B0F35" w:rsidP="005B0F35">
      <w:pPr>
        <w:rPr>
          <w:u w:val="none"/>
        </w:rPr>
      </w:pPr>
    </w:p>
    <w:p w14:paraId="02A37F55" w14:textId="77777777" w:rsidR="00353EA0" w:rsidRDefault="00353EA0"/>
    <w:p w14:paraId="4F59E18B" w14:textId="77777777" w:rsidR="005B0F35" w:rsidRDefault="005B0F35"/>
    <w:p w14:paraId="012B6DA3" w14:textId="77777777" w:rsidR="005B0F35" w:rsidRDefault="005B0F35"/>
    <w:p w14:paraId="490F404D" w14:textId="77777777" w:rsidR="005B0F35" w:rsidRDefault="005B0F35"/>
    <w:p w14:paraId="6F948402" w14:textId="77777777" w:rsidR="005B0F35" w:rsidRDefault="005B0F35"/>
    <w:p w14:paraId="25E6B601" w14:textId="77777777" w:rsidR="005B0F35" w:rsidRDefault="005B0F35"/>
    <w:p w14:paraId="37A4E3DF" w14:textId="77777777" w:rsidR="005B0F35" w:rsidRDefault="005B0F35"/>
    <w:p w14:paraId="237D3C39" w14:textId="77777777" w:rsidR="005B0F35" w:rsidRDefault="005B0F35"/>
    <w:p w14:paraId="2F911F65" w14:textId="77777777" w:rsidR="005B0F35" w:rsidRDefault="005B0F35"/>
    <w:p w14:paraId="36A177DB" w14:textId="77777777" w:rsidR="005B0F35" w:rsidRDefault="005B0F35"/>
    <w:p w14:paraId="710043D1" w14:textId="77777777" w:rsidR="005B0F35" w:rsidRPr="00FE5EFC" w:rsidRDefault="005B0F35" w:rsidP="005B0F35">
      <w:pPr>
        <w:spacing w:line="480" w:lineRule="auto"/>
        <w:jc w:val="both"/>
        <w:rPr>
          <w:b/>
          <w:bCs w:val="0"/>
        </w:rPr>
      </w:pPr>
      <w:r w:rsidRPr="00FE5EFC">
        <w:rPr>
          <w:b/>
        </w:rPr>
        <w:lastRenderedPageBreak/>
        <w:t>Essay two:</w:t>
      </w:r>
    </w:p>
    <w:p w14:paraId="3236A502" w14:textId="77777777" w:rsidR="005B0F35" w:rsidRPr="005B0F35" w:rsidRDefault="005B0F35" w:rsidP="005B0F35">
      <w:pPr>
        <w:spacing w:line="480" w:lineRule="auto"/>
        <w:jc w:val="both"/>
        <w:rPr>
          <w:b/>
          <w:bCs w:val="0"/>
          <w:u w:val="none"/>
        </w:rPr>
      </w:pPr>
      <w:r w:rsidRPr="005B0F35">
        <w:rPr>
          <w:b/>
          <w:u w:val="none"/>
        </w:rPr>
        <w:t>Response policing</w:t>
      </w:r>
      <w:r w:rsidRPr="005B0F35">
        <w:rPr>
          <w:u w:val="none"/>
        </w:rPr>
        <w:t xml:space="preserve"> – </w:t>
      </w:r>
      <w:r w:rsidRPr="005B0F35">
        <w:rPr>
          <w:b/>
          <w:u w:val="none"/>
        </w:rPr>
        <w:t>critically evaluate the role of response officers in dealing with critical/major incidents.</w:t>
      </w:r>
    </w:p>
    <w:p w14:paraId="75650FC5" w14:textId="77777777" w:rsidR="005B0F35" w:rsidRPr="005B0F35" w:rsidRDefault="005B0F35" w:rsidP="005B0F35">
      <w:pPr>
        <w:spacing w:line="480" w:lineRule="auto"/>
        <w:jc w:val="both"/>
        <w:rPr>
          <w:u w:val="none"/>
        </w:rPr>
      </w:pPr>
      <w:r w:rsidRPr="005B0F35">
        <w:rPr>
          <w:u w:val="none"/>
        </w:rPr>
        <w:t xml:space="preserve">The modern police officer must comply with relevant policies and procedures when attending critical/major incidents whilst also juggling whether any actions they take are necessary and proportionate. This essay will look at current policies and procedures that response officers must comply with when attending incidents and the effectiveness of them. </w:t>
      </w:r>
    </w:p>
    <w:p w14:paraId="411AF4CC" w14:textId="77777777" w:rsidR="005B0F35" w:rsidRPr="005B0F35" w:rsidRDefault="005B0F35" w:rsidP="005B0F35">
      <w:pPr>
        <w:spacing w:line="480" w:lineRule="auto"/>
        <w:jc w:val="both"/>
        <w:rPr>
          <w:u w:val="none"/>
        </w:rPr>
      </w:pPr>
      <w:r w:rsidRPr="005B0F35">
        <w:rPr>
          <w:u w:val="none"/>
        </w:rPr>
        <w:t xml:space="preserve">The first attending officer’s actions are crucial to the outcome of an incident being properly managed. They must act calmly and rationally in order to assess the situation and understand what is going on, communicate effectively and prioritize necessary actions (Wood et al., 2022). Therefore, relying on instinct is not sufficient and if proportionate action is not taken, the officer may become a victim. For example, if an officer rushes into a house fire attempting to save lives without the proper equipment, communicating to others their intentions and understanding how fires develop they may inadvertently cause more harm to themselves and the incident.  Using The Joint Emergency Services Interoperability Programme (JESIP, 2021) can assist response officers to make decisions during the early stages of managing a critical/major incident. Using this programme can help to ascertain if a major incident has been declared, the exact location, what type of incident has occurred, are there any hazards presented or suspected, safe access routes, type of casualties the severity and numbers and finally what emergency services are/were present and those that are required (Wood et al., 2022).  By having this structure in place, it assists the officer with having a guided list of procedures they can follow, keeping them alert on the important information and </w:t>
      </w:r>
      <w:r w:rsidRPr="005B0F35">
        <w:rPr>
          <w:u w:val="none"/>
        </w:rPr>
        <w:lastRenderedPageBreak/>
        <w:t xml:space="preserve">having a joint up approach can alleviate the pressures on individual officers and provide necessary support. </w:t>
      </w:r>
    </w:p>
    <w:p w14:paraId="422E163E" w14:textId="77777777" w:rsidR="005B0F35" w:rsidRPr="005B0F35" w:rsidRDefault="005B0F35" w:rsidP="005B0F35">
      <w:pPr>
        <w:spacing w:line="480" w:lineRule="auto"/>
        <w:jc w:val="both"/>
        <w:rPr>
          <w:u w:val="none"/>
        </w:rPr>
      </w:pPr>
      <w:r w:rsidRPr="005B0F35">
        <w:rPr>
          <w:u w:val="none"/>
        </w:rPr>
        <w:t xml:space="preserve">However, House et al., 2014 argue that this framework is too demanding to be realistically achievable in a critical/major incident due to the complex and dynamic nature of the environment of the incident. Their research found that individual teams heavily focused on agency-specific outcomes as opposed to multi team and coordinated functioning to achieve an effective response. They recommend a non-hierarchical approach to inhibit effective decision making and encourage more simulation-based training to deepen the understanding of interoperability to prevent critical/major incidents.  Response officer can use this programme effectively but should not rely solely on this and understand the limitations of the programme. </w:t>
      </w:r>
    </w:p>
    <w:p w14:paraId="7D182415" w14:textId="77777777" w:rsidR="005B0F35" w:rsidRPr="005B0F35" w:rsidRDefault="005B0F35" w:rsidP="005B0F35">
      <w:pPr>
        <w:spacing w:line="480" w:lineRule="auto"/>
        <w:jc w:val="both"/>
        <w:rPr>
          <w:u w:val="none"/>
        </w:rPr>
      </w:pPr>
      <w:r w:rsidRPr="005B0F35">
        <w:rPr>
          <w:u w:val="none"/>
        </w:rPr>
        <w:t xml:space="preserve">Response officers have a large degree of autonomy on the decisions that they make and it is important to understand what decision-making tools are available in order to assess a critical/major incident, the best practice to resolve them and how to take control and responsibility of the situation. Wood et al., (2022) highlight a six-stage process, an officer will define the problem, analyse the potential causes, identify the possible solutions, select the best possible solutions, develop an action plan and implement the solutions and evaluate progress. It is very important that officers understand what their responsibilities are as opposed to using just their instincts. For example, if attending a road traffic collision their expectation would be to assess if there is anyone critically hurt, are there obstacles in the road that may cause further collisions and are bystanders in any harm. This is a lot of things to consider and every incident that is attended will be different, therefore the previous decision-making tool can be used to ensure that expectations are met to ensure the safety of anyone involved in the collision and that priority is taken to handle the situation. </w:t>
      </w:r>
    </w:p>
    <w:p w14:paraId="222D387C" w14:textId="77777777" w:rsidR="005B0F35" w:rsidRPr="005B0F35" w:rsidRDefault="005B0F35" w:rsidP="005B0F35">
      <w:pPr>
        <w:spacing w:line="480" w:lineRule="auto"/>
        <w:jc w:val="both"/>
        <w:rPr>
          <w:u w:val="none"/>
        </w:rPr>
      </w:pPr>
      <w:r w:rsidRPr="005B0F35">
        <w:rPr>
          <w:u w:val="none"/>
        </w:rPr>
        <w:lastRenderedPageBreak/>
        <w:t xml:space="preserve">However, instincts should not be totally dismissed and can actually be useful when managing information at incidents, for example a witness may comment on the way someone was driving or unexpected road markings. The officer will need to be alert and take into account what is present at the scene, along with information gathered in order to make effective decisions (Wood et al., 2022, pg168). The decisions made by response officers at the scene also have an impact on the scrutiny and evidence used in court. In the murder case of Becky Godden in Gloucestershire in 2011 (Cited in Roycroft and Roach, 2019) the senior detective took the decision to proceed with the suspect despite not cautioning him first and this was highly criticised in court as not giving adequate cautions under the Police and Criminal Evidence Act 1984 to the suspect. This shows that instincts along with the correct procedures must be followed in order to achieve effective response at scene and a successful conviction at court. </w:t>
      </w:r>
    </w:p>
    <w:p w14:paraId="3BDCB474" w14:textId="77777777" w:rsidR="005B0F35" w:rsidRPr="005B0F35" w:rsidRDefault="005B0F35" w:rsidP="005B0F35">
      <w:pPr>
        <w:spacing w:line="480" w:lineRule="auto"/>
        <w:jc w:val="both"/>
        <w:rPr>
          <w:u w:val="none"/>
        </w:rPr>
      </w:pPr>
      <w:r w:rsidRPr="005B0F35">
        <w:rPr>
          <w:u w:val="none"/>
        </w:rPr>
        <w:t xml:space="preserve">Some of the issues that response officers may encounter when dealing with critical/major incidents is personal bias, verification bias, oversimplifying facts and becoming overwhelmed with information and following non-optimal lines of enquiries (Roycroft and Roach, 2019) and following the College of Policing, Police Code of Ethics can assist in mitigating these issues. Response officers should regularly be asking themselves, what would the victim or community affected be expecting of me in this situation? What does the police service expect of me in this situation and is the action or decision I make likely to reflect positively on policing? By reflecting on these questions, they can ensure that they are upholding the integrity of the police and ensure a thorough investigation can be conducted with the safety and needs of the victim and communities in mind. </w:t>
      </w:r>
    </w:p>
    <w:p w14:paraId="1D03A3F4" w14:textId="77777777" w:rsidR="005B0F35" w:rsidRPr="005B0F35" w:rsidRDefault="005B0F35" w:rsidP="005B0F35">
      <w:pPr>
        <w:spacing w:line="480" w:lineRule="auto"/>
        <w:jc w:val="both"/>
        <w:rPr>
          <w:u w:val="none"/>
        </w:rPr>
      </w:pPr>
      <w:r w:rsidRPr="005B0F35">
        <w:rPr>
          <w:u w:val="none"/>
        </w:rPr>
        <w:t xml:space="preserve">However, no policy and procedure are infallible and the varying conditions of critical/major incidents hinders the judgment and reasoning that offices may have and </w:t>
      </w:r>
      <w:r w:rsidRPr="005B0F35">
        <w:rPr>
          <w:u w:val="none"/>
        </w:rPr>
        <w:lastRenderedPageBreak/>
        <w:t xml:space="preserve">is of particular importance but even practical, non-abstract circumstances have produced incorrect judgements being made (Roycroft and Roach, 2019). Therefore, response officers have a large duty to uphold public safety, police integrity and make proportionate decisions whilst dealing with critical/major incidents. Whilst there are policies and procedures in place to assist the decision making and risk assessments of incidents, they are met with multiple barriers that must be juggled by the response officers. By using a the JESIP, being alert and using their instincts coupled with examination of the incident, a response officer can effectively manage critical/major incidents.  </w:t>
      </w:r>
    </w:p>
    <w:p w14:paraId="2FB58B01" w14:textId="77777777" w:rsidR="005B0F35" w:rsidRPr="005B0F35" w:rsidRDefault="005B0F35" w:rsidP="005B0F35">
      <w:pPr>
        <w:spacing w:line="480" w:lineRule="auto"/>
        <w:jc w:val="both"/>
        <w:rPr>
          <w:u w:val="none"/>
        </w:rPr>
      </w:pPr>
    </w:p>
    <w:p w14:paraId="62A26427" w14:textId="77777777" w:rsidR="005B0F35" w:rsidRPr="005B0F35" w:rsidRDefault="005B0F35" w:rsidP="005B0F35">
      <w:pPr>
        <w:spacing w:line="480" w:lineRule="auto"/>
        <w:rPr>
          <w:u w:val="none"/>
        </w:rPr>
      </w:pPr>
      <w:r w:rsidRPr="005B0F35">
        <w:rPr>
          <w:u w:val="none"/>
        </w:rPr>
        <w:t>(Word count 997)</w:t>
      </w:r>
    </w:p>
    <w:p w14:paraId="0AE90E41" w14:textId="77777777" w:rsidR="005B0F35" w:rsidRPr="005B0F35" w:rsidRDefault="005B0F35" w:rsidP="005B0F35">
      <w:pPr>
        <w:spacing w:line="480" w:lineRule="auto"/>
        <w:rPr>
          <w:u w:val="none"/>
        </w:rPr>
      </w:pPr>
    </w:p>
    <w:p w14:paraId="29D47E2D" w14:textId="77777777" w:rsidR="005B0F35" w:rsidRPr="005B0F35" w:rsidRDefault="005B0F35" w:rsidP="005B0F35">
      <w:pPr>
        <w:spacing w:line="480" w:lineRule="auto"/>
        <w:rPr>
          <w:u w:val="none"/>
        </w:rPr>
      </w:pPr>
    </w:p>
    <w:p w14:paraId="4F0D0C89" w14:textId="77777777" w:rsidR="005B0F35" w:rsidRDefault="005B0F35" w:rsidP="005B0F35">
      <w:pPr>
        <w:jc w:val="center"/>
        <w:rPr>
          <w:b/>
        </w:rPr>
      </w:pPr>
    </w:p>
    <w:p w14:paraId="13D5C38D" w14:textId="77777777" w:rsidR="005B0F35" w:rsidRDefault="005B0F35" w:rsidP="005B0F35">
      <w:pPr>
        <w:jc w:val="center"/>
        <w:rPr>
          <w:b/>
        </w:rPr>
      </w:pPr>
    </w:p>
    <w:p w14:paraId="5DFE74F4" w14:textId="77777777" w:rsidR="005B0F35" w:rsidRDefault="005B0F35" w:rsidP="005B0F35">
      <w:pPr>
        <w:jc w:val="center"/>
        <w:rPr>
          <w:b/>
        </w:rPr>
      </w:pPr>
    </w:p>
    <w:p w14:paraId="0A802537" w14:textId="77777777" w:rsidR="005B0F35" w:rsidRDefault="005B0F35" w:rsidP="005B0F35">
      <w:pPr>
        <w:jc w:val="center"/>
        <w:rPr>
          <w:b/>
        </w:rPr>
      </w:pPr>
    </w:p>
    <w:p w14:paraId="0365290F" w14:textId="77777777" w:rsidR="005B0F35" w:rsidRDefault="005B0F35" w:rsidP="005B0F35">
      <w:pPr>
        <w:jc w:val="center"/>
        <w:rPr>
          <w:b/>
        </w:rPr>
      </w:pPr>
    </w:p>
    <w:p w14:paraId="16CC8153" w14:textId="77777777" w:rsidR="005B0F35" w:rsidRDefault="005B0F35" w:rsidP="005B0F35">
      <w:pPr>
        <w:jc w:val="center"/>
        <w:rPr>
          <w:b/>
        </w:rPr>
      </w:pPr>
    </w:p>
    <w:p w14:paraId="53858146" w14:textId="77777777" w:rsidR="005B0F35" w:rsidRDefault="005B0F35" w:rsidP="005B0F35">
      <w:pPr>
        <w:jc w:val="center"/>
        <w:rPr>
          <w:b/>
        </w:rPr>
      </w:pPr>
    </w:p>
    <w:p w14:paraId="4EBE7364" w14:textId="77777777" w:rsidR="005B0F35" w:rsidRDefault="005B0F35" w:rsidP="005B0F35">
      <w:pPr>
        <w:jc w:val="center"/>
        <w:rPr>
          <w:b/>
        </w:rPr>
      </w:pPr>
    </w:p>
    <w:p w14:paraId="510190B0" w14:textId="77777777" w:rsidR="005B0F35" w:rsidRDefault="005B0F35" w:rsidP="005B0F35">
      <w:pPr>
        <w:jc w:val="center"/>
        <w:rPr>
          <w:b/>
        </w:rPr>
      </w:pPr>
    </w:p>
    <w:p w14:paraId="00193E8D" w14:textId="77777777" w:rsidR="005B0F35" w:rsidRDefault="005B0F35" w:rsidP="005B0F35">
      <w:pPr>
        <w:jc w:val="center"/>
        <w:rPr>
          <w:b/>
        </w:rPr>
      </w:pPr>
    </w:p>
    <w:p w14:paraId="57F93E6A" w14:textId="4418A25A" w:rsidR="005B0F35" w:rsidRPr="00FE5EFC" w:rsidRDefault="005B0F35" w:rsidP="005B0F35">
      <w:pPr>
        <w:jc w:val="center"/>
        <w:rPr>
          <w:b/>
          <w:bCs w:val="0"/>
        </w:rPr>
      </w:pPr>
      <w:r>
        <w:rPr>
          <w:b/>
        </w:rPr>
        <w:lastRenderedPageBreak/>
        <w:t>Bibliography</w:t>
      </w:r>
    </w:p>
    <w:p w14:paraId="0FDC5FF2" w14:textId="77777777" w:rsidR="005B0F35" w:rsidRPr="00FE5EFC" w:rsidRDefault="005B0F35" w:rsidP="005B0F35">
      <w:pPr>
        <w:jc w:val="center"/>
        <w:rPr>
          <w:b/>
          <w:bCs w:val="0"/>
        </w:rPr>
      </w:pPr>
    </w:p>
    <w:p w14:paraId="14598EEC" w14:textId="77777777" w:rsidR="005B0F35" w:rsidRPr="005B0F35" w:rsidRDefault="005B0F35" w:rsidP="005B0F35">
      <w:pPr>
        <w:ind w:right="107"/>
        <w:rPr>
          <w:bCs w:val="0"/>
          <w:u w:val="none"/>
        </w:rPr>
      </w:pPr>
      <w:r w:rsidRPr="005B0F35">
        <w:rPr>
          <w:u w:val="none"/>
        </w:rPr>
        <w:t>Wood, D., Bradshaw, S., Dickens, T., Parker-</w:t>
      </w:r>
      <w:proofErr w:type="spellStart"/>
      <w:r w:rsidRPr="005B0F35">
        <w:rPr>
          <w:u w:val="none"/>
        </w:rPr>
        <w:t>Mcleod</w:t>
      </w:r>
      <w:proofErr w:type="spellEnd"/>
      <w:r w:rsidRPr="005B0F35">
        <w:rPr>
          <w:u w:val="none"/>
        </w:rPr>
        <w:t xml:space="preserve">, J., Simpson, F. and Weaver, G. (2022) </w:t>
      </w:r>
      <w:r w:rsidRPr="005B0F35">
        <w:rPr>
          <w:i/>
          <w:iCs/>
          <w:u w:val="none"/>
        </w:rPr>
        <w:t>Blackstone’s Handbook for Policing Students 2022</w:t>
      </w:r>
      <w:r w:rsidRPr="005B0F35">
        <w:rPr>
          <w:u w:val="none"/>
        </w:rPr>
        <w:t>. S.L.: Oxford University Press.</w:t>
      </w:r>
    </w:p>
    <w:p w14:paraId="4ACCBC90" w14:textId="77777777" w:rsidR="005B0F35" w:rsidRPr="005B0F35" w:rsidRDefault="005B0F35" w:rsidP="005B0F35">
      <w:pPr>
        <w:rPr>
          <w:u w:val="none"/>
        </w:rPr>
      </w:pPr>
      <w:r w:rsidRPr="005B0F35">
        <w:rPr>
          <w:u w:val="none"/>
        </w:rPr>
        <w:t xml:space="preserve">Jesip Working Together – Saving Lives (2021) </w:t>
      </w:r>
      <w:r w:rsidRPr="005B0F35">
        <w:rPr>
          <w:i/>
          <w:iCs/>
          <w:u w:val="none"/>
        </w:rPr>
        <w:t>Joint Doctrine Guide Edition 3 Jesip</w:t>
      </w:r>
      <w:r w:rsidRPr="005B0F35">
        <w:rPr>
          <w:u w:val="none"/>
        </w:rPr>
        <w:t xml:space="preserve"> [Online] Available at: </w:t>
      </w:r>
      <w:hyperlink r:id="rId9" w:history="1">
        <w:r w:rsidRPr="005B0F35">
          <w:rPr>
            <w:rStyle w:val="Hyperlink"/>
            <w:u w:val="none"/>
          </w:rPr>
          <w:t>https://www.jesip.org.uk/downloads/joint-doctrine-guide/</w:t>
        </w:r>
      </w:hyperlink>
      <w:r w:rsidRPr="005B0F35">
        <w:rPr>
          <w:u w:val="none"/>
        </w:rPr>
        <w:t xml:space="preserve"> (Accessed 25 October 2023)</w:t>
      </w:r>
    </w:p>
    <w:p w14:paraId="2B6ACF6F" w14:textId="77777777" w:rsidR="005B0F35" w:rsidRPr="005B0F35" w:rsidRDefault="005B0F35" w:rsidP="005B0F35">
      <w:pPr>
        <w:rPr>
          <w:color w:val="333333"/>
          <w:u w:val="none"/>
          <w:shd w:val="clear" w:color="auto" w:fill="FCFCFC"/>
        </w:rPr>
      </w:pPr>
      <w:r w:rsidRPr="005B0F35">
        <w:rPr>
          <w:color w:val="333333"/>
          <w:u w:val="none"/>
          <w:shd w:val="clear" w:color="auto" w:fill="FCFCFC"/>
        </w:rPr>
        <w:t xml:space="preserve">House, A., Power, N. &amp; Alison, L. (2014) </w:t>
      </w:r>
      <w:r w:rsidRPr="005B0F35">
        <w:rPr>
          <w:i/>
          <w:iCs/>
          <w:color w:val="333333"/>
          <w:u w:val="none"/>
          <w:shd w:val="clear" w:color="auto" w:fill="FCFCFC"/>
        </w:rPr>
        <w:t>A systematic review of the potential hurdles of interoperability to the emergency services in major incidents: recommendations for solutions and alternatives</w:t>
      </w:r>
      <w:r w:rsidRPr="005B0F35">
        <w:rPr>
          <w:color w:val="333333"/>
          <w:u w:val="none"/>
          <w:shd w:val="clear" w:color="auto" w:fill="FCFCFC"/>
        </w:rPr>
        <w:t>. </w:t>
      </w:r>
      <w:proofErr w:type="spellStart"/>
      <w:r w:rsidRPr="005B0F35">
        <w:rPr>
          <w:color w:val="333333"/>
          <w:u w:val="none"/>
          <w:shd w:val="clear" w:color="auto" w:fill="FCFCFC"/>
        </w:rPr>
        <w:t>Cogn</w:t>
      </w:r>
      <w:proofErr w:type="spellEnd"/>
      <w:r w:rsidRPr="005B0F35">
        <w:rPr>
          <w:color w:val="333333"/>
          <w:u w:val="none"/>
          <w:shd w:val="clear" w:color="auto" w:fill="FCFCFC"/>
        </w:rPr>
        <w:t xml:space="preserve"> Tech Work vol16, pp319–335. [Online] Available at: </w:t>
      </w:r>
      <w:hyperlink r:id="rId10" w:history="1">
        <w:r w:rsidRPr="005B0F35">
          <w:rPr>
            <w:rStyle w:val="Hyperlink"/>
            <w:u w:val="none"/>
            <w:shd w:val="clear" w:color="auto" w:fill="FCFCFC"/>
          </w:rPr>
          <w:t>https://doi.org/10.1007/s10111-013-0259-6</w:t>
        </w:r>
      </w:hyperlink>
      <w:r w:rsidRPr="005B0F35">
        <w:rPr>
          <w:rStyle w:val="Hyperlink"/>
          <w:u w:val="none"/>
          <w:shd w:val="clear" w:color="auto" w:fill="FCFCFC"/>
        </w:rPr>
        <w:t xml:space="preserve"> </w:t>
      </w:r>
      <w:r w:rsidRPr="005B0F35">
        <w:rPr>
          <w:rStyle w:val="Hyperlink"/>
          <w:color w:val="auto"/>
          <w:u w:val="none"/>
          <w:shd w:val="clear" w:color="auto" w:fill="FCFCFC"/>
        </w:rPr>
        <w:t>(Accessed 25 October 2023)</w:t>
      </w:r>
    </w:p>
    <w:p w14:paraId="3BA4971D" w14:textId="77777777" w:rsidR="005B0F35" w:rsidRPr="005B0F35" w:rsidRDefault="005B0F35" w:rsidP="005B0F35">
      <w:pPr>
        <w:rPr>
          <w:u w:val="none"/>
        </w:rPr>
      </w:pPr>
      <w:r w:rsidRPr="005B0F35">
        <w:rPr>
          <w:color w:val="333333"/>
          <w:u w:val="none"/>
          <w:shd w:val="clear" w:color="auto" w:fill="FCFCFC"/>
        </w:rPr>
        <w:t xml:space="preserve">Roycroft, M., and Roach, J. (2019), </w:t>
      </w:r>
      <w:r w:rsidRPr="005B0F35">
        <w:rPr>
          <w:i/>
          <w:iCs/>
          <w:color w:val="333333"/>
          <w:u w:val="none"/>
          <w:shd w:val="clear" w:color="auto" w:fill="FCFCFC"/>
        </w:rPr>
        <w:t xml:space="preserve">Decision making in Police enquiries and critical incidents what really works? </w:t>
      </w:r>
      <w:r w:rsidRPr="005B0F35">
        <w:rPr>
          <w:color w:val="333333"/>
          <w:u w:val="none"/>
          <w:shd w:val="clear" w:color="auto" w:fill="FCFCFC"/>
        </w:rPr>
        <w:t xml:space="preserve">[Online] Available </w:t>
      </w:r>
      <w:proofErr w:type="gramStart"/>
      <w:r w:rsidRPr="005B0F35">
        <w:rPr>
          <w:color w:val="333333"/>
          <w:u w:val="none"/>
          <w:shd w:val="clear" w:color="auto" w:fill="FCFCFC"/>
        </w:rPr>
        <w:t>at :</w:t>
      </w:r>
      <w:proofErr w:type="gramEnd"/>
      <w:r w:rsidRPr="005B0F35">
        <w:rPr>
          <w:i/>
          <w:iCs/>
          <w:color w:val="333333"/>
          <w:u w:val="none"/>
          <w:shd w:val="clear" w:color="auto" w:fill="FCFCFC"/>
        </w:rPr>
        <w:t xml:space="preserve"> </w:t>
      </w:r>
      <w:hyperlink r:id="rId11" w:history="1">
        <w:r w:rsidRPr="005B0F35">
          <w:rPr>
            <w:rStyle w:val="Hyperlink"/>
            <w:u w:val="none"/>
            <w:shd w:val="clear" w:color="auto" w:fill="FCFCFC"/>
          </w:rPr>
          <w:t>https://ebookcentral.proquest.com/lib/trinity/reader.action?docID=5646010</w:t>
        </w:r>
      </w:hyperlink>
      <w:r w:rsidRPr="005B0F35">
        <w:rPr>
          <w:color w:val="333333"/>
          <w:u w:val="none"/>
          <w:shd w:val="clear" w:color="auto" w:fill="FCFCFC"/>
        </w:rPr>
        <w:t xml:space="preserve"> (Accessed 27 October 2023)</w:t>
      </w:r>
    </w:p>
    <w:p w14:paraId="23BF73DA" w14:textId="77777777" w:rsidR="005B0F35" w:rsidRDefault="005B0F35" w:rsidP="005B0F35">
      <w:pPr>
        <w:rPr>
          <w:u w:val="none"/>
        </w:rPr>
      </w:pPr>
    </w:p>
    <w:p w14:paraId="5E948815" w14:textId="77777777" w:rsidR="005B0F35" w:rsidRDefault="005B0F35" w:rsidP="005B0F35">
      <w:pPr>
        <w:rPr>
          <w:u w:val="none"/>
        </w:rPr>
      </w:pPr>
    </w:p>
    <w:p w14:paraId="3794E14E" w14:textId="77777777" w:rsidR="005B0F35" w:rsidRDefault="005B0F35" w:rsidP="005B0F35">
      <w:pPr>
        <w:rPr>
          <w:u w:val="none"/>
        </w:rPr>
      </w:pPr>
    </w:p>
    <w:p w14:paraId="00A73E20" w14:textId="77777777" w:rsidR="005B0F35" w:rsidRDefault="005B0F35">
      <w:pPr>
        <w:rPr>
          <w:u w:val="none"/>
        </w:rPr>
      </w:pPr>
    </w:p>
    <w:p w14:paraId="498EEEC5" w14:textId="77777777" w:rsidR="005B0F35" w:rsidRDefault="005B0F35">
      <w:pPr>
        <w:rPr>
          <w:u w:val="none"/>
        </w:rPr>
      </w:pPr>
    </w:p>
    <w:p w14:paraId="1DE1490A" w14:textId="77777777" w:rsidR="005B0F35" w:rsidRDefault="005B0F35">
      <w:pPr>
        <w:rPr>
          <w:u w:val="none"/>
        </w:rPr>
      </w:pPr>
    </w:p>
    <w:p w14:paraId="4BF74BCF" w14:textId="77777777" w:rsidR="005B0F35" w:rsidRDefault="005B0F35">
      <w:pPr>
        <w:rPr>
          <w:u w:val="none"/>
        </w:rPr>
      </w:pPr>
    </w:p>
    <w:p w14:paraId="27B88D4B" w14:textId="77777777" w:rsidR="005B0F35" w:rsidRDefault="005B0F35">
      <w:pPr>
        <w:rPr>
          <w:u w:val="none"/>
        </w:rPr>
      </w:pPr>
    </w:p>
    <w:p w14:paraId="24EA5F54" w14:textId="77777777" w:rsidR="005B0F35" w:rsidRDefault="005B0F35">
      <w:pPr>
        <w:rPr>
          <w:u w:val="none"/>
        </w:rPr>
      </w:pPr>
    </w:p>
    <w:p w14:paraId="1AC46DE9" w14:textId="77777777" w:rsidR="005B0F35" w:rsidRDefault="005B0F35">
      <w:pPr>
        <w:rPr>
          <w:u w:val="none"/>
        </w:rPr>
      </w:pPr>
    </w:p>
    <w:p w14:paraId="6C5B85B4" w14:textId="77777777" w:rsidR="005B0F35" w:rsidRDefault="005B0F35">
      <w:pPr>
        <w:rPr>
          <w:u w:val="none"/>
        </w:rPr>
      </w:pPr>
    </w:p>
    <w:p w14:paraId="25DFE598" w14:textId="77777777" w:rsidR="005B0F35" w:rsidRPr="008D241B" w:rsidRDefault="005B0F35" w:rsidP="005B0F35">
      <w:pPr>
        <w:jc w:val="both"/>
        <w:rPr>
          <w:b/>
          <w:bCs w:val="0"/>
        </w:rPr>
      </w:pPr>
      <w:r w:rsidRPr="008D241B">
        <w:rPr>
          <w:b/>
        </w:rPr>
        <w:lastRenderedPageBreak/>
        <w:t xml:space="preserve">Essay three: </w:t>
      </w:r>
    </w:p>
    <w:p w14:paraId="1977C6D2" w14:textId="77777777" w:rsidR="005B0F35" w:rsidRPr="005B0F35" w:rsidRDefault="005B0F35" w:rsidP="005B0F35">
      <w:pPr>
        <w:spacing w:line="480" w:lineRule="auto"/>
        <w:jc w:val="both"/>
        <w:rPr>
          <w:b/>
          <w:bCs w:val="0"/>
          <w:u w:val="none"/>
        </w:rPr>
      </w:pPr>
      <w:r w:rsidRPr="005B0F35">
        <w:rPr>
          <w:b/>
          <w:u w:val="none"/>
        </w:rPr>
        <w:t xml:space="preserve">“Covert Human Intelligence Sources (CHIS) are crucial in preventing and safeguarding victims from many serious crimes” (Home Office, 2021). Critically evaluate the use of CHIS in the investigation of serious and organised crime. </w:t>
      </w:r>
    </w:p>
    <w:p w14:paraId="23132E86" w14:textId="77777777" w:rsidR="005B0F35" w:rsidRPr="005B0F35" w:rsidRDefault="005B0F35" w:rsidP="005B0F35">
      <w:pPr>
        <w:spacing w:line="480" w:lineRule="auto"/>
        <w:jc w:val="both"/>
        <w:rPr>
          <w:u w:val="none"/>
        </w:rPr>
      </w:pPr>
      <w:r w:rsidRPr="005B0F35">
        <w:rPr>
          <w:u w:val="none"/>
        </w:rPr>
        <w:t>The work of policing is led by intelligence obtained from a range of sources such as, everyday interaction of officers from the public, anonymous reports from schemes such as Crimestoppers and the use of Covert Human Intelligence Sources (CHIS). This essay will argue that the use of CHIS is crucial in preventing and safeguarding victims from many serious crimes. It will highlight how they can be used effectively and the barriers that may arise when dealing with juvenile and vulnerable victims.  First it is important to understand who can become a CHIS, what their role is and how they are used in the investigation of serious and organised crimes.</w:t>
      </w:r>
    </w:p>
    <w:p w14:paraId="31EC820E" w14:textId="77777777" w:rsidR="005B0F35" w:rsidRPr="005B0F35" w:rsidRDefault="005B0F35" w:rsidP="005B0F35">
      <w:pPr>
        <w:spacing w:line="480" w:lineRule="auto"/>
        <w:jc w:val="both"/>
        <w:rPr>
          <w:u w:val="none"/>
        </w:rPr>
      </w:pPr>
      <w:r w:rsidRPr="005B0F35">
        <w:rPr>
          <w:u w:val="none"/>
        </w:rPr>
        <w:t xml:space="preserve">CHIS can be defined as a member of the public who establishes or maintains a personal or other type of relationship with a person, for the covert purpose of disclosing information that they have obtained to the police, or providing access to a person and information to the police (Wood et al., 2022). The individual may come from a criminal background as non-criminals are unlikely to have such connections and habits. Using a CHIS that is familiar with criminal activity and can judge who may be susceptible to fall into criminal behaviour will help police to prevent and safeguard victims from many serious crimes. They provide an insight into the criminal activity that officers are not privy to, however as there is no monetary reward for the CHIS the handler should identify the source’s primary motive so that any investigative work is credible and evidence can be used in court. One of the ways to manage CHIS is to provide clear boundaries to what their role requires of them and that their identity will be protected (Wood et al., 2022), this will be difficult to enforce as they do not have the same </w:t>
      </w:r>
      <w:r w:rsidRPr="005B0F35">
        <w:rPr>
          <w:u w:val="none"/>
        </w:rPr>
        <w:lastRenderedPageBreak/>
        <w:t xml:space="preserve">obligations or commitments as police officers.  Nuan et al., (2020) found that police source handlers from several counter terrorism units across England and Wales were successful at extracting detailed and reliable information through rapport building in their interviewing techniques. This shows that CHIS are needed when investigating serious crimes such as terrorism. </w:t>
      </w:r>
    </w:p>
    <w:p w14:paraId="59460F7A" w14:textId="77777777" w:rsidR="005B0F35" w:rsidRPr="005B0F35" w:rsidRDefault="005B0F35" w:rsidP="005B0F35">
      <w:pPr>
        <w:spacing w:line="480" w:lineRule="auto"/>
        <w:jc w:val="both"/>
        <w:rPr>
          <w:u w:val="none"/>
        </w:rPr>
      </w:pPr>
      <w:r w:rsidRPr="005B0F35">
        <w:rPr>
          <w:u w:val="none"/>
        </w:rPr>
        <w:t>Billingsley (2013), notes that woman appear to be more forthcoming to provide information and give evidence against partners who are involved in serious crimes in order to protect themselves and children from physical abuse. He also details how information doesn’t have to come from those with criminal backgrounds or be male. Sometimes the most credible information came from regular members of the community, male and female, that are worried about criminal activities affecting their communities. Crimestoppers is another example of a community informer system that appeals to those who want to provide information to police and remain anonymous. Data shows that the information from Crimestoppers has led to the arrest of serious offenders of murder, attempted murder, rape, firearms offences, robbery and burglary and drug deals (Billingsley, 2013). These convictions would not have been successful without this information and shows just how beneficial the system is. Crimestoppers also has large public support, it is used regularly and the public are aware of the functions it provides. The strength of this system lies in the anonymity it provides the informer as it is a predominantly telephone-based service. However, not all information will be relevant and police will have to spend a lot of time investigating information that is unreliable, unrelated to anything specific and information that is completely wrong and useless (Billingsley, 2013).</w:t>
      </w:r>
    </w:p>
    <w:p w14:paraId="6FCCA498" w14:textId="77777777" w:rsidR="005B0F35" w:rsidRPr="005B0F35" w:rsidRDefault="005B0F35" w:rsidP="005B0F35">
      <w:pPr>
        <w:spacing w:line="480" w:lineRule="auto"/>
        <w:jc w:val="both"/>
        <w:rPr>
          <w:u w:val="none"/>
        </w:rPr>
      </w:pPr>
      <w:r w:rsidRPr="005B0F35">
        <w:rPr>
          <w:u w:val="none"/>
        </w:rPr>
        <w:t xml:space="preserve">There is also some controversy when using CHIS, especially when they may involve juveniles or vulnerable adults. As a large portion of crime is committed by young </w:t>
      </w:r>
      <w:r w:rsidRPr="005B0F35">
        <w:rPr>
          <w:u w:val="none"/>
        </w:rPr>
        <w:lastRenderedPageBreak/>
        <w:t>people, it is understandable that CHIS of the same age group are more likely to gain intelligence on their criminal activity (Billingsley, 2009). Juveniles are citizens too and should have comparable rights as adults, however there needs to be a recognition when using them as CHIS that they are still at an impressionable and vulnerable age.  Arthur and Kirk (2023) note that the practice of using a juvenile as CHIS is rare but is also recognised as an efficient and cost-effective means of gathering evidence on criminal activities when they are used. They argue that a juvenile being used as a CHIS will always run counter to the juveniles’ best interest as it increases their likelihood of becoming involved in crime as both a victim and a perpetrator. The emphasis should be on helping them escape a criminal lifestyle and encouraging them to become a CHIS may entrench them further into a life of criminality. The Covert Human Intelligence Sources (Criminal Conduct) Act 2021 (Cited in Arthur and Kirk 2023) permits juveniles aged 16-17 to gather and report information regarding their parents and guardians. This may cause the juvenile immense stress, hinder their growth and their ability to develop to their full potential (Arthur and Kirk, 2023). Therefore, there needs to be a risk assessment conducted to assess the proportionality and necessity to use juveniles as CHIS and develop an intervention strategy for them that will protect the public and the Juvenile (Billingsley, 2009).</w:t>
      </w:r>
    </w:p>
    <w:p w14:paraId="18D33CEE" w14:textId="77777777" w:rsidR="005B0F35" w:rsidRPr="005B0F35" w:rsidRDefault="005B0F35" w:rsidP="005B0F35">
      <w:pPr>
        <w:spacing w:line="480" w:lineRule="auto"/>
        <w:jc w:val="both"/>
        <w:rPr>
          <w:u w:val="none"/>
        </w:rPr>
      </w:pPr>
      <w:r w:rsidRPr="005B0F35">
        <w:rPr>
          <w:u w:val="none"/>
        </w:rPr>
        <w:t xml:space="preserve">In conclusion, the use of CHIS can prove very beneficial in the investigation of serious and organised crime as police are made aware of information that would normally be hidden from them. Police are given an insight into criminal activity that they would not be able to access, but this does not come without its limitations and dilemmas. CHIS must have the same intentions of wanting to prevent crime and help investigations. Police can encourage participation by using effective rapport with CHIS. Due care must be used when dealing with juvenile enforcers and the benefits must outweigh the </w:t>
      </w:r>
      <w:r w:rsidRPr="005B0F35">
        <w:rPr>
          <w:u w:val="none"/>
        </w:rPr>
        <w:lastRenderedPageBreak/>
        <w:t xml:space="preserve">harm. Although CHIS is crucial in preventing and safeguarding victims from serious crimes, there is still much to learn about how to navigate the relationship between informer and handler. </w:t>
      </w:r>
    </w:p>
    <w:p w14:paraId="7AD5248A" w14:textId="77777777" w:rsidR="005B0F35" w:rsidRPr="005B0F35" w:rsidRDefault="005B0F35" w:rsidP="005B0F35">
      <w:pPr>
        <w:spacing w:line="480" w:lineRule="auto"/>
        <w:rPr>
          <w:u w:val="none"/>
        </w:rPr>
      </w:pPr>
      <w:r w:rsidRPr="005B0F35">
        <w:rPr>
          <w:u w:val="none"/>
        </w:rPr>
        <w:t>(Word Count 974)</w:t>
      </w:r>
    </w:p>
    <w:p w14:paraId="5DE7B72B" w14:textId="77777777" w:rsidR="005B0F35" w:rsidRPr="005B0F35" w:rsidRDefault="005B0F35" w:rsidP="005B0F35">
      <w:pPr>
        <w:spacing w:line="480" w:lineRule="auto"/>
        <w:rPr>
          <w:u w:val="none"/>
        </w:rPr>
      </w:pPr>
    </w:p>
    <w:p w14:paraId="1D6AE256" w14:textId="77777777" w:rsidR="005B0F35" w:rsidRPr="005B0F35" w:rsidRDefault="005B0F35" w:rsidP="005B0F35">
      <w:pPr>
        <w:spacing w:line="480" w:lineRule="auto"/>
        <w:rPr>
          <w:u w:val="none"/>
        </w:rPr>
      </w:pPr>
    </w:p>
    <w:p w14:paraId="2879BE6E" w14:textId="77777777" w:rsidR="005B0F35" w:rsidRPr="005B0F35" w:rsidRDefault="005B0F35" w:rsidP="005B0F35">
      <w:pPr>
        <w:spacing w:line="480" w:lineRule="auto"/>
        <w:rPr>
          <w:u w:val="none"/>
        </w:rPr>
      </w:pPr>
    </w:p>
    <w:p w14:paraId="618B5CD9" w14:textId="77777777" w:rsidR="005B0F35" w:rsidRPr="005B0F35" w:rsidRDefault="005B0F35" w:rsidP="005B0F35">
      <w:pPr>
        <w:spacing w:line="480" w:lineRule="auto"/>
        <w:rPr>
          <w:u w:val="none"/>
        </w:rPr>
      </w:pPr>
    </w:p>
    <w:p w14:paraId="3A75D756" w14:textId="77777777" w:rsidR="005B0F35" w:rsidRPr="005B0F35" w:rsidRDefault="005B0F35" w:rsidP="005B0F35">
      <w:pPr>
        <w:spacing w:line="480" w:lineRule="auto"/>
        <w:rPr>
          <w:u w:val="none"/>
        </w:rPr>
      </w:pPr>
    </w:p>
    <w:p w14:paraId="55D2C44D" w14:textId="77777777" w:rsidR="005B0F35" w:rsidRPr="004D017E" w:rsidRDefault="005B0F35" w:rsidP="005B0F35"/>
    <w:p w14:paraId="0D3ECDD5" w14:textId="77777777" w:rsidR="005B0F35" w:rsidRDefault="005B0F35" w:rsidP="005B0F35">
      <w:pPr>
        <w:jc w:val="center"/>
        <w:rPr>
          <w:b/>
        </w:rPr>
      </w:pPr>
    </w:p>
    <w:p w14:paraId="4E57170F" w14:textId="77777777" w:rsidR="005B0F35" w:rsidRDefault="005B0F35" w:rsidP="005B0F35">
      <w:pPr>
        <w:jc w:val="center"/>
        <w:rPr>
          <w:b/>
        </w:rPr>
      </w:pPr>
    </w:p>
    <w:p w14:paraId="282CA3F3" w14:textId="77777777" w:rsidR="005B0F35" w:rsidRDefault="005B0F35" w:rsidP="005B0F35">
      <w:pPr>
        <w:jc w:val="center"/>
        <w:rPr>
          <w:b/>
        </w:rPr>
      </w:pPr>
    </w:p>
    <w:p w14:paraId="642DB0B6" w14:textId="77777777" w:rsidR="005B0F35" w:rsidRDefault="005B0F35" w:rsidP="005B0F35">
      <w:pPr>
        <w:jc w:val="center"/>
        <w:rPr>
          <w:b/>
        </w:rPr>
      </w:pPr>
    </w:p>
    <w:p w14:paraId="24D40623" w14:textId="77777777" w:rsidR="005B0F35" w:rsidRDefault="005B0F35" w:rsidP="005B0F35">
      <w:pPr>
        <w:jc w:val="center"/>
        <w:rPr>
          <w:b/>
        </w:rPr>
      </w:pPr>
    </w:p>
    <w:p w14:paraId="0A62A756" w14:textId="77777777" w:rsidR="005B0F35" w:rsidRDefault="005B0F35" w:rsidP="005B0F35">
      <w:pPr>
        <w:jc w:val="center"/>
        <w:rPr>
          <w:b/>
        </w:rPr>
      </w:pPr>
    </w:p>
    <w:p w14:paraId="535B99D4" w14:textId="77777777" w:rsidR="005B0F35" w:rsidRDefault="005B0F35" w:rsidP="005B0F35">
      <w:pPr>
        <w:jc w:val="center"/>
        <w:rPr>
          <w:b/>
        </w:rPr>
      </w:pPr>
    </w:p>
    <w:p w14:paraId="54C55E13" w14:textId="77777777" w:rsidR="005B0F35" w:rsidRDefault="005B0F35" w:rsidP="005B0F35">
      <w:pPr>
        <w:jc w:val="center"/>
        <w:rPr>
          <w:b/>
        </w:rPr>
      </w:pPr>
    </w:p>
    <w:p w14:paraId="2B04C9F0" w14:textId="77777777" w:rsidR="005B0F35" w:rsidRDefault="005B0F35" w:rsidP="005B0F35">
      <w:pPr>
        <w:jc w:val="center"/>
        <w:rPr>
          <w:b/>
        </w:rPr>
      </w:pPr>
    </w:p>
    <w:p w14:paraId="00FC5BF6" w14:textId="77777777" w:rsidR="005B0F35" w:rsidRDefault="005B0F35" w:rsidP="005B0F35">
      <w:pPr>
        <w:jc w:val="center"/>
        <w:rPr>
          <w:b/>
        </w:rPr>
      </w:pPr>
    </w:p>
    <w:p w14:paraId="50938225" w14:textId="77777777" w:rsidR="005B0F35" w:rsidRDefault="005B0F35" w:rsidP="005B0F35">
      <w:pPr>
        <w:jc w:val="center"/>
        <w:rPr>
          <w:b/>
        </w:rPr>
      </w:pPr>
    </w:p>
    <w:p w14:paraId="531F6F62" w14:textId="77777777" w:rsidR="005B0F35" w:rsidRDefault="005B0F35" w:rsidP="005B0F35">
      <w:pPr>
        <w:jc w:val="center"/>
        <w:rPr>
          <w:b/>
        </w:rPr>
      </w:pPr>
    </w:p>
    <w:p w14:paraId="38520028" w14:textId="77777777" w:rsidR="005B0F35" w:rsidRDefault="005B0F35" w:rsidP="005B0F35">
      <w:pPr>
        <w:jc w:val="center"/>
        <w:rPr>
          <w:b/>
        </w:rPr>
      </w:pPr>
    </w:p>
    <w:p w14:paraId="11C19172" w14:textId="58290281" w:rsidR="005B0F35" w:rsidRPr="004D017E" w:rsidRDefault="005B0F35" w:rsidP="005B0F35">
      <w:pPr>
        <w:jc w:val="center"/>
        <w:rPr>
          <w:b/>
          <w:bCs w:val="0"/>
        </w:rPr>
      </w:pPr>
      <w:proofErr w:type="spellStart"/>
      <w:r w:rsidRPr="004D017E">
        <w:rPr>
          <w:b/>
        </w:rPr>
        <w:lastRenderedPageBreak/>
        <w:t>Bibliogrpahy</w:t>
      </w:r>
      <w:proofErr w:type="spellEnd"/>
    </w:p>
    <w:p w14:paraId="49F5833A" w14:textId="77777777" w:rsidR="005B0F35" w:rsidRPr="004D017E" w:rsidRDefault="005B0F35" w:rsidP="005B0F35">
      <w:pPr>
        <w:rPr>
          <w:b/>
          <w:bCs w:val="0"/>
        </w:rPr>
      </w:pPr>
    </w:p>
    <w:p w14:paraId="6AB8267A" w14:textId="77777777" w:rsidR="005B0F35" w:rsidRPr="005B0F35" w:rsidRDefault="005B0F35" w:rsidP="005B0F35">
      <w:pPr>
        <w:ind w:right="107"/>
        <w:rPr>
          <w:bCs w:val="0"/>
          <w:u w:val="none"/>
        </w:rPr>
      </w:pPr>
      <w:r w:rsidRPr="005B0F35">
        <w:rPr>
          <w:u w:val="none"/>
        </w:rPr>
        <w:t>Wood, D., Bradshaw, S., Dickens, T., Parker-</w:t>
      </w:r>
      <w:proofErr w:type="spellStart"/>
      <w:r w:rsidRPr="005B0F35">
        <w:rPr>
          <w:u w:val="none"/>
        </w:rPr>
        <w:t>Mcleod</w:t>
      </w:r>
      <w:proofErr w:type="spellEnd"/>
      <w:r w:rsidRPr="005B0F35">
        <w:rPr>
          <w:u w:val="none"/>
        </w:rPr>
        <w:t xml:space="preserve">, J., Simpson, F. and Weaver, G. (2022). </w:t>
      </w:r>
      <w:r w:rsidRPr="005B0F35">
        <w:rPr>
          <w:i/>
          <w:iCs/>
          <w:u w:val="none"/>
        </w:rPr>
        <w:t>Blackstone’s Handbook for Policing Students 2022</w:t>
      </w:r>
      <w:r w:rsidRPr="005B0F35">
        <w:rPr>
          <w:u w:val="none"/>
        </w:rPr>
        <w:t>. S.L.: Oxford University Press.</w:t>
      </w:r>
    </w:p>
    <w:p w14:paraId="35A9116E" w14:textId="77777777" w:rsidR="005B0F35" w:rsidRPr="005B0F35" w:rsidRDefault="005B0F35" w:rsidP="005B0F35">
      <w:pPr>
        <w:shd w:val="clear" w:color="auto" w:fill="FFFFFF"/>
        <w:spacing w:after="0" w:afterAutospacing="1"/>
        <w:rPr>
          <w:rFonts w:eastAsia="Times New Roman"/>
          <w:color w:val="333333"/>
          <w:kern w:val="0"/>
          <w:u w:val="none"/>
          <w:lang w:eastAsia="en-GB"/>
          <w14:ligatures w14:val="none"/>
        </w:rPr>
      </w:pPr>
      <w:r w:rsidRPr="005B0F35">
        <w:rPr>
          <w:rFonts w:eastAsia="Times New Roman"/>
          <w:color w:val="333333"/>
          <w:kern w:val="0"/>
          <w:u w:val="none"/>
          <w:lang w:eastAsia="en-GB"/>
          <w14:ligatures w14:val="none"/>
        </w:rPr>
        <w:t>Jordan Nunan, Ian Stanier, Rebecca Milne, Andrea Shawyer &amp; Dave Walsh (2020) </w:t>
      </w:r>
      <w:r w:rsidRPr="005B0F35">
        <w:rPr>
          <w:rFonts w:eastAsia="Times New Roman"/>
          <w:i/>
          <w:iCs/>
          <w:color w:val="333333"/>
          <w:kern w:val="0"/>
          <w:u w:val="none"/>
          <w:lang w:eastAsia="en-GB"/>
          <w14:ligatures w14:val="none"/>
        </w:rPr>
        <w:t>Eliciting human intelligence: police source handlers’ perceptions and experiences of rapport during covert human intelligence sources (CHIS) interactions,</w:t>
      </w:r>
      <w:r w:rsidRPr="005B0F35">
        <w:rPr>
          <w:rFonts w:eastAsia="Times New Roman"/>
          <w:color w:val="333333"/>
          <w:kern w:val="0"/>
          <w:u w:val="none"/>
          <w:lang w:eastAsia="en-GB"/>
          <w14:ligatures w14:val="none"/>
        </w:rPr>
        <w:t> Psychiatry, Psychology and Law, vol27 issue4, pp511-537, [Online] Available at: DOI: </w:t>
      </w:r>
      <w:hyperlink r:id="rId12" w:history="1">
        <w:r w:rsidRPr="005B0F35">
          <w:rPr>
            <w:rFonts w:eastAsia="Times New Roman"/>
            <w:color w:val="333333"/>
            <w:kern w:val="0"/>
            <w:u w:val="none"/>
            <w:lang w:eastAsia="en-GB"/>
            <w14:ligatures w14:val="none"/>
          </w:rPr>
          <w:t>10.1080/13218719.2020.1734978</w:t>
        </w:r>
      </w:hyperlink>
      <w:r w:rsidRPr="005B0F35">
        <w:rPr>
          <w:rFonts w:eastAsia="Times New Roman"/>
          <w:color w:val="333333"/>
          <w:kern w:val="0"/>
          <w:u w:val="none"/>
          <w:lang w:eastAsia="en-GB"/>
          <w14:ligatures w14:val="none"/>
        </w:rPr>
        <w:t xml:space="preserve"> (Accessed 01 November 2023)</w:t>
      </w:r>
    </w:p>
    <w:p w14:paraId="320E6D26" w14:textId="77777777" w:rsidR="005B0F35" w:rsidRPr="005B0F35" w:rsidRDefault="005B0F35" w:rsidP="005B0F35">
      <w:pPr>
        <w:rPr>
          <w:color w:val="222222"/>
          <w:u w:val="none"/>
          <w:shd w:val="clear" w:color="auto" w:fill="FFFFFF"/>
        </w:rPr>
      </w:pPr>
      <w:r w:rsidRPr="005B0F35">
        <w:rPr>
          <w:color w:val="222222"/>
          <w:u w:val="none"/>
          <w:shd w:val="clear" w:color="auto" w:fill="FFFFFF"/>
        </w:rPr>
        <w:t>Billingsley, R., Nemitz, T. and Bean, P. eds., 2013. </w:t>
      </w:r>
      <w:r w:rsidRPr="005B0F35">
        <w:rPr>
          <w:i/>
          <w:iCs/>
          <w:color w:val="222222"/>
          <w:u w:val="none"/>
          <w:shd w:val="clear" w:color="auto" w:fill="FFFFFF"/>
        </w:rPr>
        <w:t>Informers: Policing, policy, practice</w:t>
      </w:r>
      <w:r w:rsidRPr="005B0F35">
        <w:rPr>
          <w:color w:val="222222"/>
          <w:u w:val="none"/>
          <w:shd w:val="clear" w:color="auto" w:fill="FFFFFF"/>
        </w:rPr>
        <w:t xml:space="preserve">. Routledge. [Online] Available at:  </w:t>
      </w:r>
      <w:hyperlink r:id="rId13" w:history="1">
        <w:r w:rsidRPr="005B0F35">
          <w:rPr>
            <w:rStyle w:val="Hyperlink"/>
            <w:u w:val="none"/>
            <w:shd w:val="clear" w:color="auto" w:fill="FFFFFF"/>
          </w:rPr>
          <w:t>file:///C:/Users/mpoca/Downloads/10.4324_9781843924579_previewpdf.pdf</w:t>
        </w:r>
      </w:hyperlink>
      <w:r w:rsidRPr="005B0F35">
        <w:rPr>
          <w:color w:val="222222"/>
          <w:u w:val="none"/>
          <w:shd w:val="clear" w:color="auto" w:fill="FFFFFF"/>
        </w:rPr>
        <w:t xml:space="preserve"> (Accessed 01 November 2023)</w:t>
      </w:r>
    </w:p>
    <w:p w14:paraId="6E7E0984" w14:textId="77777777" w:rsidR="005B0F35" w:rsidRPr="005B0F35" w:rsidRDefault="005B0F35" w:rsidP="005B0F35">
      <w:pPr>
        <w:rPr>
          <w:color w:val="222222"/>
          <w:u w:val="none"/>
          <w:shd w:val="clear" w:color="auto" w:fill="FFFFFF"/>
        </w:rPr>
      </w:pPr>
      <w:r w:rsidRPr="005B0F35">
        <w:rPr>
          <w:color w:val="222222"/>
          <w:u w:val="none"/>
          <w:shd w:val="clear" w:color="auto" w:fill="FFFFFF"/>
        </w:rPr>
        <w:t>Billingsley, R. ed., 2009. </w:t>
      </w:r>
      <w:r w:rsidRPr="005B0F35">
        <w:rPr>
          <w:i/>
          <w:iCs/>
          <w:color w:val="222222"/>
          <w:u w:val="none"/>
          <w:shd w:val="clear" w:color="auto" w:fill="FFFFFF"/>
        </w:rPr>
        <w:t xml:space="preserve">Covert Human Intelligence Sources: </w:t>
      </w:r>
      <w:proofErr w:type="spellStart"/>
      <w:r w:rsidRPr="005B0F35">
        <w:rPr>
          <w:i/>
          <w:iCs/>
          <w:color w:val="222222"/>
          <w:u w:val="none"/>
          <w:shd w:val="clear" w:color="auto" w:fill="FFFFFF"/>
        </w:rPr>
        <w:t>The'unlovely'Face</w:t>
      </w:r>
      <w:proofErr w:type="spellEnd"/>
      <w:r w:rsidRPr="005B0F35">
        <w:rPr>
          <w:i/>
          <w:iCs/>
          <w:color w:val="222222"/>
          <w:u w:val="none"/>
          <w:shd w:val="clear" w:color="auto" w:fill="FFFFFF"/>
        </w:rPr>
        <w:t xml:space="preserve"> of Police Work</w:t>
      </w:r>
      <w:r w:rsidRPr="005B0F35">
        <w:rPr>
          <w:color w:val="222222"/>
          <w:u w:val="none"/>
          <w:shd w:val="clear" w:color="auto" w:fill="FFFFFF"/>
        </w:rPr>
        <w:t>. Waterside Press.</w:t>
      </w:r>
    </w:p>
    <w:p w14:paraId="74400E6D" w14:textId="77777777" w:rsidR="005B0F35" w:rsidRPr="005B0F35" w:rsidRDefault="005B0F35" w:rsidP="005B0F35">
      <w:pPr>
        <w:rPr>
          <w:u w:val="none"/>
        </w:rPr>
      </w:pPr>
      <w:r w:rsidRPr="005B0F35">
        <w:rPr>
          <w:color w:val="333333"/>
          <w:u w:val="none"/>
          <w:shd w:val="clear" w:color="auto" w:fill="FFFFFF"/>
        </w:rPr>
        <w:t xml:space="preserve">Arthur, R., &amp; Kirk, T. (2023). </w:t>
      </w:r>
      <w:r w:rsidRPr="005B0F35">
        <w:rPr>
          <w:i/>
          <w:iCs/>
          <w:color w:val="333333"/>
          <w:u w:val="none"/>
          <w:shd w:val="clear" w:color="auto" w:fill="FFFFFF"/>
        </w:rPr>
        <w:t>Children as Covert Human Intelligence Sources: Spies First, Children Second</w:t>
      </w:r>
      <w:r w:rsidRPr="005B0F35">
        <w:rPr>
          <w:color w:val="333333"/>
          <w:u w:val="none"/>
          <w:shd w:val="clear" w:color="auto" w:fill="FFFFFF"/>
        </w:rPr>
        <w:t>. Youth Justice, vol23, issue3, pp372-387. [Online] Available at: </w:t>
      </w:r>
      <w:hyperlink r:id="rId14" w:history="1">
        <w:r w:rsidRPr="005B0F35">
          <w:rPr>
            <w:rStyle w:val="Hyperlink"/>
            <w:color w:val="006ACC"/>
            <w:u w:val="none"/>
            <w:shd w:val="clear" w:color="auto" w:fill="FFFFFF"/>
          </w:rPr>
          <w:t>https://doi.org/10.1177/14732254231154160</w:t>
        </w:r>
      </w:hyperlink>
      <w:r w:rsidRPr="005B0F35">
        <w:rPr>
          <w:u w:val="none"/>
        </w:rPr>
        <w:t xml:space="preserve"> (Accessed 03 November 2023)</w:t>
      </w:r>
    </w:p>
    <w:p w14:paraId="435BACA0" w14:textId="77777777" w:rsidR="005B0F35" w:rsidRDefault="005B0F35">
      <w:pPr>
        <w:rPr>
          <w:u w:val="none"/>
        </w:rPr>
      </w:pPr>
    </w:p>
    <w:p w14:paraId="1D6D42ED" w14:textId="77777777" w:rsidR="005B0F35" w:rsidRDefault="005B0F35">
      <w:pPr>
        <w:rPr>
          <w:u w:val="none"/>
        </w:rPr>
      </w:pPr>
    </w:p>
    <w:p w14:paraId="2A923531" w14:textId="77777777" w:rsidR="005B0F35" w:rsidRDefault="005B0F35">
      <w:pPr>
        <w:rPr>
          <w:u w:val="none"/>
        </w:rPr>
      </w:pPr>
    </w:p>
    <w:p w14:paraId="5621781E" w14:textId="77777777" w:rsidR="005B0F35" w:rsidRDefault="005B0F35">
      <w:pPr>
        <w:rPr>
          <w:u w:val="none"/>
        </w:rPr>
      </w:pPr>
    </w:p>
    <w:p w14:paraId="610398BA" w14:textId="77777777" w:rsidR="005B0F35" w:rsidRDefault="005B0F35">
      <w:pPr>
        <w:rPr>
          <w:u w:val="none"/>
        </w:rPr>
      </w:pPr>
    </w:p>
    <w:p w14:paraId="4316F066" w14:textId="77777777" w:rsidR="005B0F35" w:rsidRDefault="005B0F35">
      <w:pPr>
        <w:rPr>
          <w:u w:val="none"/>
        </w:rPr>
      </w:pPr>
    </w:p>
    <w:p w14:paraId="4C3BBD28" w14:textId="77777777" w:rsidR="005B0F35" w:rsidRDefault="005B0F35">
      <w:pPr>
        <w:rPr>
          <w:u w:val="none"/>
        </w:rPr>
      </w:pPr>
    </w:p>
    <w:p w14:paraId="38764886" w14:textId="77777777" w:rsidR="005B0F35" w:rsidRDefault="005B0F35">
      <w:pPr>
        <w:rPr>
          <w:u w:val="none"/>
        </w:rPr>
      </w:pPr>
    </w:p>
    <w:p w14:paraId="328CA9AD" w14:textId="77777777" w:rsidR="005B0F35" w:rsidRPr="005B0F35" w:rsidRDefault="005B0F35" w:rsidP="005B0F35">
      <w:pPr>
        <w:spacing w:line="480" w:lineRule="auto"/>
        <w:rPr>
          <w:b/>
          <w:bCs w:val="0"/>
        </w:rPr>
      </w:pPr>
      <w:r w:rsidRPr="005B0F35">
        <w:rPr>
          <w:b/>
        </w:rPr>
        <w:lastRenderedPageBreak/>
        <w:t>Essay five:</w:t>
      </w:r>
    </w:p>
    <w:p w14:paraId="59561774" w14:textId="77777777" w:rsidR="005B0F35" w:rsidRPr="005B0F35" w:rsidRDefault="005B0F35" w:rsidP="005B0F35">
      <w:pPr>
        <w:spacing w:line="480" w:lineRule="auto"/>
        <w:rPr>
          <w:b/>
          <w:bCs w:val="0"/>
          <w:u w:val="none"/>
        </w:rPr>
      </w:pPr>
      <w:r w:rsidRPr="005B0F35">
        <w:rPr>
          <w:b/>
          <w:u w:val="none"/>
        </w:rPr>
        <w:t xml:space="preserve">Evaluate the effectiveness of crime prevention theories and strategies as a means of combating anti-social behaviour. </w:t>
      </w:r>
    </w:p>
    <w:p w14:paraId="56CEB387" w14:textId="77777777" w:rsidR="005B0F35" w:rsidRPr="005B0F35" w:rsidRDefault="005B0F35" w:rsidP="005B0F35">
      <w:pPr>
        <w:spacing w:line="480" w:lineRule="auto"/>
        <w:jc w:val="both"/>
        <w:rPr>
          <w:u w:val="none"/>
        </w:rPr>
      </w:pPr>
      <w:r w:rsidRPr="005B0F35">
        <w:rPr>
          <w:u w:val="none"/>
        </w:rPr>
        <w:t xml:space="preserve">Anti-social behaviour is described as behaviour which has caused or is likely to cause harassment, alarm or distress to any person’ (s 2(1)(a) of the Anti-social Behaviour Crime and Policing Act (2014). Anti-social behaviour (ASB) includes vandalism, street drinking, nuisance, rowdy or inconsiderate neighbours and inconsiderate or inappropriate use of vehicles. The act covers a wide range of disruptive activities that can be done by an individual or a group and not all behaviour can be considered a ‘crime’ as such (Wood et al., 2022). There are a number of powers police officers can use to combat anti-social behaviour both in private and public spaces, this essay will look at the theories and strategies used and how effective they are. </w:t>
      </w:r>
    </w:p>
    <w:p w14:paraId="52CA1B95" w14:textId="77777777" w:rsidR="005B0F35" w:rsidRPr="005B0F35" w:rsidRDefault="005B0F35" w:rsidP="005B0F35">
      <w:pPr>
        <w:spacing w:line="480" w:lineRule="auto"/>
        <w:jc w:val="both"/>
        <w:rPr>
          <w:u w:val="none"/>
        </w:rPr>
      </w:pPr>
      <w:r w:rsidRPr="005B0F35">
        <w:rPr>
          <w:u w:val="none"/>
        </w:rPr>
        <w:t xml:space="preserve">Firstly, the responsibility of dealing with ASB is shared by police, local authority and other partner organisations such as social housing landlords and the fire and rescue service. Therefore, although civil disputes such as a tenant not paying their landlord does not fall into the remit of the police, they will usually be called and first on the scene to keep the peace. In cases like this, an officer can tackle ASB at the individual level. They can request any person who has or is acting in an ‘anti-social’ manner to provide their name and address. This can deter the individual from escalating their behaviour and also make them think twice before causing any damage to the landlord’s property as there is a record of their details on file (Wood et al., 2022). Although this does not guarantee that an individual will not go on to escalate their ASB or go on to commit a criminal offence, it does enable police officers to have an </w:t>
      </w:r>
      <w:r w:rsidRPr="005B0F35">
        <w:rPr>
          <w:u w:val="none"/>
        </w:rPr>
        <w:lastRenderedPageBreak/>
        <w:t xml:space="preserve">individual’s details on file and this information can help in future investigations if anything were to escalate. </w:t>
      </w:r>
    </w:p>
    <w:p w14:paraId="2E90FF4B" w14:textId="77777777" w:rsidR="005B0F35" w:rsidRPr="005B0F35" w:rsidRDefault="005B0F35" w:rsidP="005B0F35">
      <w:pPr>
        <w:spacing w:line="480" w:lineRule="auto"/>
        <w:jc w:val="both"/>
        <w:rPr>
          <w:u w:val="none"/>
        </w:rPr>
      </w:pPr>
      <w:r w:rsidRPr="005B0F35">
        <w:rPr>
          <w:u w:val="none"/>
        </w:rPr>
        <w:t xml:space="preserve">Another strategy that police can use is dispersal powers, this power allows officers to disperse people (ten or more) who have committed or likely to commit ASB to leave a specified area and not return for up to 48 hours (s 34 (2). This can be beneficial when a group of individuals are causing disruption at open-air gatherings, when alcohol is involved and if there are a group of youths causing issues outside of shops. Kingston and Thomas (2017) argue that ASB strategies are used to ‘tackle demand’ and are used inconsistently especially when dealing with sex workers and their clients. They state that police using certain ASB powers are counter-productive, stigmatising and only serves to entrench existing vulnerabilities for individuals and suggest that ASB powers used on sex workers should be applied uniformly to their clients. This is a barrier that police officers face, as the ASB act covers such a wide range of behaviours, certain groups may feel that they are being targeted and fall into further vulnerabilities as a consequence.  As sex workers are moved from an area that they are familiar with, they may be pushed into unknown territories that create a greater harm for them (Kingston and Thomas, 2017). Therefore, dispersal powers are effective and useful to use when dealing with present ASB behaviour but it can inadvertently displace the problem to another area causing the issue to dispel and potentially cause further harm to individuals. </w:t>
      </w:r>
    </w:p>
    <w:p w14:paraId="0B9EA3C3" w14:textId="77777777" w:rsidR="005B0F35" w:rsidRPr="005B0F35" w:rsidRDefault="005B0F35" w:rsidP="005B0F35">
      <w:pPr>
        <w:spacing w:line="480" w:lineRule="auto"/>
        <w:jc w:val="both"/>
        <w:rPr>
          <w:u w:val="none"/>
        </w:rPr>
      </w:pPr>
      <w:r w:rsidRPr="005B0F35">
        <w:rPr>
          <w:u w:val="none"/>
        </w:rPr>
        <w:t xml:space="preserve">As young people commit a large portion of ASB an effective strategy that police officers can use is the out-of-court disposals for young people (Wood et al., 2022). These powers are favoured by governments as they are to be used on young people in the first instance when they have committed ASB, so that they may be deterred from escalating their behaviour to criminal acts and reduce any future negative impacts. </w:t>
      </w:r>
      <w:r w:rsidRPr="005B0F35">
        <w:rPr>
          <w:u w:val="none"/>
        </w:rPr>
        <w:lastRenderedPageBreak/>
        <w:t>These are administered in a number of ways and with the help from external agencies. For example, an Acceptable Behaviour Contract is a written agreement between the perpetrator of ASB and the local agency that outlines the perpetrator will desist from unacceptable behaviour (Wood et al., 2022). However, these are difficult to administer and one way to encourage compliance, is to discuss the terms between the perpetrator and the local agency and ensure they are achievable before any contract is drafted and finalised. Another effective power is community resolutions, this is aimed at first time perpetrators who show genuine remorse towards their victim and can be used on juveniles as well as adults (Wood et al., 2022). Again, the informal agreement will have successful compliance if it is drafted with achievable terms. Although there is controversy when using these powers on juveniles who have mental and cognitive disabilities.</w:t>
      </w:r>
    </w:p>
    <w:p w14:paraId="5FFD1634" w14:textId="77777777" w:rsidR="005B0F35" w:rsidRPr="005B0F35" w:rsidRDefault="005B0F35" w:rsidP="005B0F35">
      <w:pPr>
        <w:spacing w:line="480" w:lineRule="auto"/>
        <w:jc w:val="both"/>
        <w:rPr>
          <w:u w:val="none"/>
        </w:rPr>
      </w:pPr>
      <w:r w:rsidRPr="005B0F35">
        <w:rPr>
          <w:u w:val="none"/>
        </w:rPr>
        <w:t xml:space="preserve">Baldry et al., (2018) argue that juveniles suffering from mental and cognitive disabilities, are from disadvantaged socio-economic backgrounds and have complex support needs are being criminalised by these powers as they do not take into account the reasons for their behaviour. They state that a juvenile could be facing one or more of the above issues that develops into a complex need that ASB powers to do not take into account when administered. The researchers acknowledge that police officers are required to identify disabilities and complex needs but do not receive adequate training nor do they possess the required knowledge, skills and specialist expertise to undertake such a task and suggest that juveniles displaying ASB should have early screenings and better support (Baldry et al., 2018). However out-of-court disposals for young people takes into account that deeper interventions maybe required for certain individuals. Therefore, support and counselling </w:t>
      </w:r>
      <w:proofErr w:type="gramStart"/>
      <w:r w:rsidRPr="005B0F35">
        <w:rPr>
          <w:u w:val="none"/>
        </w:rPr>
        <w:t>is</w:t>
      </w:r>
      <w:proofErr w:type="gramEnd"/>
      <w:r w:rsidRPr="005B0F35">
        <w:rPr>
          <w:u w:val="none"/>
        </w:rPr>
        <w:t xml:space="preserve"> to be explored to provide early </w:t>
      </w:r>
      <w:r w:rsidRPr="005B0F35">
        <w:rPr>
          <w:u w:val="none"/>
        </w:rPr>
        <w:lastRenderedPageBreak/>
        <w:t xml:space="preserve">supportive interventions to ensure problems can be dealt with at the root and deescalate any further ASB or criminal behaviour. </w:t>
      </w:r>
    </w:p>
    <w:p w14:paraId="0B49A2BC" w14:textId="77777777" w:rsidR="005B0F35" w:rsidRPr="005B0F35" w:rsidRDefault="005B0F35" w:rsidP="005B0F35">
      <w:pPr>
        <w:spacing w:line="480" w:lineRule="auto"/>
        <w:jc w:val="both"/>
        <w:rPr>
          <w:u w:val="none"/>
        </w:rPr>
      </w:pPr>
      <w:r w:rsidRPr="005B0F35">
        <w:rPr>
          <w:u w:val="none"/>
        </w:rPr>
        <w:t xml:space="preserve">In conclusion, ASB powers are effective in dealing with unwanted behaviour that can be displayed from individuals, juveniles and groups. However, how these powers are administered can receive backlash and inadvertently cause harm to vulnerable and marginalised groups. The success of using these powers will come from an officer understanding the situation they are in and using the correct strategy whilst also being alert for any other interventions that can be used to support the individual.  </w:t>
      </w:r>
    </w:p>
    <w:p w14:paraId="22F4B19C" w14:textId="77777777" w:rsidR="005B0F35" w:rsidRPr="005B0F35" w:rsidRDefault="005B0F35" w:rsidP="005B0F35">
      <w:pPr>
        <w:spacing w:line="480" w:lineRule="auto"/>
        <w:rPr>
          <w:u w:val="none"/>
        </w:rPr>
      </w:pPr>
      <w:r w:rsidRPr="005B0F35">
        <w:rPr>
          <w:u w:val="none"/>
        </w:rPr>
        <w:t>(Word count 1012)</w:t>
      </w:r>
    </w:p>
    <w:p w14:paraId="204E60B3" w14:textId="77777777" w:rsidR="005B0F35" w:rsidRPr="005B0F35" w:rsidRDefault="005B0F35" w:rsidP="005B0F35">
      <w:pPr>
        <w:spacing w:line="480" w:lineRule="auto"/>
        <w:rPr>
          <w:u w:val="none"/>
        </w:rPr>
      </w:pPr>
    </w:p>
    <w:p w14:paraId="79E08140" w14:textId="77777777" w:rsidR="005B0F35" w:rsidRPr="005B0F35" w:rsidRDefault="005B0F35" w:rsidP="005B0F35">
      <w:pPr>
        <w:spacing w:line="480" w:lineRule="auto"/>
        <w:rPr>
          <w:u w:val="none"/>
        </w:rPr>
      </w:pPr>
    </w:p>
    <w:p w14:paraId="34CB665E" w14:textId="77777777" w:rsidR="005B0F35" w:rsidRPr="005B0F35" w:rsidRDefault="005B0F35" w:rsidP="005B0F35">
      <w:pPr>
        <w:spacing w:line="480" w:lineRule="auto"/>
        <w:rPr>
          <w:u w:val="none"/>
        </w:rPr>
      </w:pPr>
    </w:p>
    <w:p w14:paraId="7A22F033" w14:textId="77777777" w:rsidR="005B0F35" w:rsidRDefault="005B0F35" w:rsidP="005B0F35">
      <w:pPr>
        <w:rPr>
          <w:u w:val="none"/>
        </w:rPr>
      </w:pPr>
    </w:p>
    <w:p w14:paraId="25AD1090" w14:textId="77777777" w:rsidR="005B0F35" w:rsidRDefault="005B0F35" w:rsidP="005B0F35">
      <w:pPr>
        <w:rPr>
          <w:u w:val="none"/>
        </w:rPr>
      </w:pPr>
    </w:p>
    <w:p w14:paraId="5983B367" w14:textId="77777777" w:rsidR="005B0F35" w:rsidRDefault="005B0F35" w:rsidP="005B0F35">
      <w:pPr>
        <w:rPr>
          <w:u w:val="none"/>
        </w:rPr>
      </w:pPr>
    </w:p>
    <w:p w14:paraId="3ACFA279" w14:textId="77777777" w:rsidR="005B0F35" w:rsidRDefault="005B0F35" w:rsidP="005B0F35">
      <w:pPr>
        <w:rPr>
          <w:u w:val="none"/>
        </w:rPr>
      </w:pPr>
    </w:p>
    <w:p w14:paraId="62FB940A" w14:textId="77777777" w:rsidR="005B0F35" w:rsidRDefault="005B0F35" w:rsidP="005B0F35">
      <w:pPr>
        <w:rPr>
          <w:u w:val="none"/>
        </w:rPr>
      </w:pPr>
    </w:p>
    <w:p w14:paraId="7427D0A8" w14:textId="77777777" w:rsidR="005B0F35" w:rsidRDefault="005B0F35" w:rsidP="005B0F35">
      <w:pPr>
        <w:rPr>
          <w:u w:val="none"/>
        </w:rPr>
      </w:pPr>
    </w:p>
    <w:p w14:paraId="6760DBFA" w14:textId="77777777" w:rsidR="005B0F35" w:rsidRDefault="005B0F35" w:rsidP="005B0F35">
      <w:pPr>
        <w:rPr>
          <w:u w:val="none"/>
        </w:rPr>
      </w:pPr>
    </w:p>
    <w:p w14:paraId="0980601C" w14:textId="77777777" w:rsidR="005B0F35" w:rsidRDefault="005B0F35" w:rsidP="005B0F35">
      <w:pPr>
        <w:rPr>
          <w:u w:val="none"/>
        </w:rPr>
      </w:pPr>
    </w:p>
    <w:p w14:paraId="4DC4708E" w14:textId="77777777" w:rsidR="005B0F35" w:rsidRDefault="005B0F35" w:rsidP="005B0F35">
      <w:pPr>
        <w:rPr>
          <w:u w:val="none"/>
        </w:rPr>
      </w:pPr>
    </w:p>
    <w:p w14:paraId="2EDEE28E" w14:textId="77777777" w:rsidR="005B0F35" w:rsidRDefault="005B0F35" w:rsidP="005B0F35">
      <w:pPr>
        <w:rPr>
          <w:u w:val="none"/>
        </w:rPr>
      </w:pPr>
    </w:p>
    <w:p w14:paraId="7B126681" w14:textId="77777777" w:rsidR="005B0F35" w:rsidRPr="005B0F35" w:rsidRDefault="005B0F35" w:rsidP="005B0F35">
      <w:pPr>
        <w:rPr>
          <w:u w:val="none"/>
        </w:rPr>
      </w:pPr>
    </w:p>
    <w:p w14:paraId="2965BC61" w14:textId="77777777" w:rsidR="005B0F35" w:rsidRPr="005B0F35" w:rsidRDefault="005B0F35" w:rsidP="005B0F35">
      <w:pPr>
        <w:jc w:val="center"/>
        <w:rPr>
          <w:b/>
          <w:bCs w:val="0"/>
        </w:rPr>
      </w:pPr>
      <w:r w:rsidRPr="005B0F35">
        <w:rPr>
          <w:b/>
        </w:rPr>
        <w:lastRenderedPageBreak/>
        <w:t xml:space="preserve">Bibliography </w:t>
      </w:r>
    </w:p>
    <w:p w14:paraId="3EF8A5C9" w14:textId="77777777" w:rsidR="005B0F35" w:rsidRPr="005B0F35" w:rsidRDefault="005B0F35" w:rsidP="005B0F35">
      <w:pPr>
        <w:rPr>
          <w:b/>
          <w:bCs w:val="0"/>
          <w:u w:val="none"/>
        </w:rPr>
      </w:pPr>
    </w:p>
    <w:p w14:paraId="63FCF3F9" w14:textId="77777777" w:rsidR="005B0F35" w:rsidRPr="005B0F35" w:rsidRDefault="005B0F35" w:rsidP="005B0F35">
      <w:pPr>
        <w:rPr>
          <w:u w:val="none"/>
        </w:rPr>
      </w:pPr>
      <w:r w:rsidRPr="005B0F35">
        <w:rPr>
          <w:u w:val="none"/>
        </w:rPr>
        <w:t xml:space="preserve">Anti-Social Behaviour, Crime and Policing Act 2014 s2 (1) (a), [Online] Available at: </w:t>
      </w:r>
      <w:hyperlink r:id="rId15" w:history="1">
        <w:r w:rsidRPr="005B0F35">
          <w:rPr>
            <w:rStyle w:val="Hyperlink"/>
            <w:u w:val="none"/>
          </w:rPr>
          <w:t>https://www.legislation.gov.uk/ukpga/2014/12/contents/enacted</w:t>
        </w:r>
      </w:hyperlink>
      <w:r w:rsidRPr="005B0F35">
        <w:rPr>
          <w:u w:val="none"/>
        </w:rPr>
        <w:t xml:space="preserve"> (Accessed 15 November 2023)</w:t>
      </w:r>
    </w:p>
    <w:p w14:paraId="7A287D22" w14:textId="77777777" w:rsidR="005B0F35" w:rsidRPr="005B0F35" w:rsidRDefault="005B0F35" w:rsidP="005B0F35">
      <w:pPr>
        <w:rPr>
          <w:u w:val="none"/>
        </w:rPr>
      </w:pPr>
      <w:r w:rsidRPr="005B0F35">
        <w:rPr>
          <w:u w:val="none"/>
        </w:rPr>
        <w:t>Anti-Social Behaviour, Crime and Policing Act 2014 s34 (2), [</w:t>
      </w:r>
      <w:proofErr w:type="spellStart"/>
      <w:r w:rsidRPr="005B0F35">
        <w:rPr>
          <w:u w:val="none"/>
        </w:rPr>
        <w:t>Onine</w:t>
      </w:r>
      <w:proofErr w:type="spellEnd"/>
      <w:r w:rsidRPr="005B0F35">
        <w:rPr>
          <w:u w:val="none"/>
        </w:rPr>
        <w:t xml:space="preserve">] Available at: </w:t>
      </w:r>
      <w:hyperlink r:id="rId16" w:history="1">
        <w:r w:rsidRPr="005B0F35">
          <w:rPr>
            <w:rStyle w:val="Hyperlink"/>
            <w:u w:val="none"/>
          </w:rPr>
          <w:t>https://www.legislation.gov.uk/ukpga/2014/12/contents/enacted</w:t>
        </w:r>
      </w:hyperlink>
      <w:r w:rsidRPr="005B0F35">
        <w:rPr>
          <w:u w:val="none"/>
        </w:rPr>
        <w:t xml:space="preserve"> (Accessed 15 November 2023)</w:t>
      </w:r>
    </w:p>
    <w:p w14:paraId="7E556DD8" w14:textId="77777777" w:rsidR="005B0F35" w:rsidRPr="005B0F35" w:rsidRDefault="005B0F35" w:rsidP="005B0F35">
      <w:pPr>
        <w:ind w:right="107"/>
        <w:rPr>
          <w:bCs w:val="0"/>
          <w:u w:val="none"/>
        </w:rPr>
      </w:pPr>
      <w:r w:rsidRPr="005B0F35">
        <w:rPr>
          <w:u w:val="none"/>
        </w:rPr>
        <w:t>Wood, D., Bradshaw, S., Dickens, T., Parker-</w:t>
      </w:r>
      <w:proofErr w:type="spellStart"/>
      <w:r w:rsidRPr="005B0F35">
        <w:rPr>
          <w:u w:val="none"/>
        </w:rPr>
        <w:t>Mcleod</w:t>
      </w:r>
      <w:proofErr w:type="spellEnd"/>
      <w:r w:rsidRPr="005B0F35">
        <w:rPr>
          <w:u w:val="none"/>
        </w:rPr>
        <w:t xml:space="preserve">, J., Simpson, F. and Weaver, G. (2022). </w:t>
      </w:r>
      <w:r w:rsidRPr="005B0F35">
        <w:rPr>
          <w:i/>
          <w:iCs/>
          <w:u w:val="none"/>
        </w:rPr>
        <w:t>Blackstone’s Handbook for Policing Students 2022</w:t>
      </w:r>
      <w:r w:rsidRPr="005B0F35">
        <w:rPr>
          <w:u w:val="none"/>
        </w:rPr>
        <w:t>. S.L.: Oxford University Press.</w:t>
      </w:r>
    </w:p>
    <w:p w14:paraId="2E63F846" w14:textId="77777777" w:rsidR="005B0F35" w:rsidRPr="005B0F35" w:rsidRDefault="005B0F35" w:rsidP="005B0F35">
      <w:pPr>
        <w:shd w:val="clear" w:color="auto" w:fill="FFFFFF"/>
        <w:spacing w:after="0" w:afterAutospacing="1"/>
        <w:rPr>
          <w:u w:val="none"/>
        </w:rPr>
      </w:pPr>
      <w:r w:rsidRPr="005B0F35">
        <w:rPr>
          <w:rStyle w:val="authorname"/>
          <w:u w:val="none"/>
        </w:rPr>
        <w:t>Sarah</w:t>
      </w:r>
      <w:r w:rsidRPr="005B0F35">
        <w:rPr>
          <w:rStyle w:val="separator"/>
          <w:u w:val="none"/>
        </w:rPr>
        <w:t> </w:t>
      </w:r>
      <w:r w:rsidRPr="005B0F35">
        <w:rPr>
          <w:rStyle w:val="authorname"/>
          <w:u w:val="none"/>
        </w:rPr>
        <w:t>Kingston</w:t>
      </w:r>
      <w:r w:rsidRPr="005B0F35">
        <w:rPr>
          <w:rStyle w:val="separator"/>
          <w:u w:val="none"/>
        </w:rPr>
        <w:t> &amp; </w:t>
      </w:r>
      <w:r w:rsidRPr="005B0F35">
        <w:rPr>
          <w:rStyle w:val="authorname"/>
          <w:u w:val="none"/>
        </w:rPr>
        <w:t>Terry</w:t>
      </w:r>
      <w:r w:rsidRPr="005B0F35">
        <w:rPr>
          <w:rStyle w:val="separator"/>
          <w:u w:val="none"/>
        </w:rPr>
        <w:t> </w:t>
      </w:r>
      <w:r w:rsidRPr="005B0F35">
        <w:rPr>
          <w:rStyle w:val="authorname"/>
          <w:u w:val="none"/>
        </w:rPr>
        <w:t>Thomas</w:t>
      </w:r>
      <w:r w:rsidRPr="005B0F35">
        <w:rPr>
          <w:u w:val="none"/>
        </w:rPr>
        <w:t> </w:t>
      </w:r>
      <w:r w:rsidRPr="005B0F35">
        <w:rPr>
          <w:rStyle w:val="Date1"/>
          <w:u w:val="none"/>
        </w:rPr>
        <w:t>(2017)</w:t>
      </w:r>
      <w:r w:rsidRPr="005B0F35">
        <w:rPr>
          <w:u w:val="none"/>
        </w:rPr>
        <w:t> </w:t>
      </w:r>
      <w:r w:rsidRPr="005B0F35">
        <w:rPr>
          <w:rStyle w:val="arttitle"/>
          <w:i/>
          <w:iCs/>
          <w:u w:val="none"/>
        </w:rPr>
        <w:t>The Anti-social Behaviour, Crime and Policing Act 2014: implications for sex workers and their clients</w:t>
      </w:r>
      <w:r w:rsidRPr="005B0F35">
        <w:rPr>
          <w:rStyle w:val="arttitle"/>
          <w:u w:val="none"/>
        </w:rPr>
        <w:t>,</w:t>
      </w:r>
      <w:r w:rsidRPr="005B0F35">
        <w:rPr>
          <w:u w:val="none"/>
        </w:rPr>
        <w:t> </w:t>
      </w:r>
      <w:r w:rsidRPr="005B0F35">
        <w:rPr>
          <w:rStyle w:val="serialtitle"/>
          <w:u w:val="none"/>
        </w:rPr>
        <w:t>Policing and Society,</w:t>
      </w:r>
      <w:r w:rsidRPr="005B0F35">
        <w:rPr>
          <w:u w:val="none"/>
        </w:rPr>
        <w:t> vol</w:t>
      </w:r>
      <w:r w:rsidRPr="005B0F35">
        <w:rPr>
          <w:rStyle w:val="volumeissue"/>
          <w:u w:val="none"/>
        </w:rPr>
        <w:t>27 issue5,</w:t>
      </w:r>
      <w:r w:rsidRPr="005B0F35">
        <w:rPr>
          <w:u w:val="none"/>
        </w:rPr>
        <w:t> pp</w:t>
      </w:r>
      <w:r w:rsidRPr="005B0F35">
        <w:rPr>
          <w:rStyle w:val="pagerange"/>
          <w:u w:val="none"/>
        </w:rPr>
        <w:t xml:space="preserve">465-479, [Online] Available at: </w:t>
      </w:r>
      <w:r w:rsidRPr="005B0F35">
        <w:rPr>
          <w:u w:val="none"/>
        </w:rPr>
        <w:t> </w:t>
      </w:r>
      <w:r w:rsidRPr="005B0F35">
        <w:rPr>
          <w:rStyle w:val="doilink"/>
          <w:u w:val="none"/>
        </w:rPr>
        <w:t xml:space="preserve">DOI:  </w:t>
      </w:r>
      <w:hyperlink r:id="rId17" w:history="1">
        <w:r w:rsidRPr="005B0F35">
          <w:rPr>
            <w:rStyle w:val="Hyperlink"/>
            <w:u w:val="none"/>
          </w:rPr>
          <w:t>https://www.tandfonline.com/doi/abs/10.1080/10439463.2015.1072181</w:t>
        </w:r>
      </w:hyperlink>
      <w:r w:rsidRPr="005B0F35">
        <w:rPr>
          <w:rStyle w:val="doilink"/>
          <w:u w:val="none"/>
        </w:rPr>
        <w:t xml:space="preserve"> (Accessed 20 November 2023)</w:t>
      </w:r>
    </w:p>
    <w:p w14:paraId="4C385232" w14:textId="77777777" w:rsidR="005B0F35" w:rsidRPr="005B0F35" w:rsidRDefault="005B0F35" w:rsidP="005B0F35">
      <w:pPr>
        <w:rPr>
          <w:u w:val="none"/>
        </w:rPr>
      </w:pPr>
      <w:r w:rsidRPr="005B0F35">
        <w:rPr>
          <w:color w:val="222222"/>
          <w:u w:val="none"/>
          <w:shd w:val="clear" w:color="auto" w:fill="FFFFFF"/>
        </w:rPr>
        <w:t>Baldry, E., Briggs, D.B., Goldson, B. and Russell, S., (2018). ‘</w:t>
      </w:r>
      <w:r w:rsidRPr="005B0F35">
        <w:rPr>
          <w:i/>
          <w:iCs/>
          <w:color w:val="222222"/>
          <w:u w:val="none"/>
          <w:shd w:val="clear" w:color="auto" w:fill="FFFFFF"/>
        </w:rPr>
        <w:t>Cruel and unusual punishment’: an inter-jurisdictional study of the criminalisation of young people with complex support needs</w:t>
      </w:r>
      <w:r w:rsidRPr="005B0F35">
        <w:rPr>
          <w:color w:val="222222"/>
          <w:u w:val="none"/>
          <w:shd w:val="clear" w:color="auto" w:fill="FFFFFF"/>
        </w:rPr>
        <w:t>. Journal of Youth Studies, vol</w:t>
      </w:r>
      <w:r w:rsidRPr="005B0F35">
        <w:rPr>
          <w:i/>
          <w:iCs/>
          <w:color w:val="222222"/>
          <w:u w:val="none"/>
          <w:shd w:val="clear" w:color="auto" w:fill="FFFFFF"/>
        </w:rPr>
        <w:t>21</w:t>
      </w:r>
      <w:r w:rsidRPr="005B0F35">
        <w:rPr>
          <w:color w:val="222222"/>
          <w:u w:val="none"/>
          <w:shd w:val="clear" w:color="auto" w:fill="FFFFFF"/>
        </w:rPr>
        <w:t xml:space="preserve"> issue 5, pp.636-652. [Online] Available at: </w:t>
      </w:r>
      <w:hyperlink r:id="rId18" w:history="1">
        <w:r w:rsidRPr="005B0F35">
          <w:rPr>
            <w:rStyle w:val="Hyperlink"/>
            <w:u w:val="none"/>
            <w:shd w:val="clear" w:color="auto" w:fill="FFFFFF"/>
          </w:rPr>
          <w:t>https://livrepository.liverpool.ac.uk/3013499/1/FINAL.pdf</w:t>
        </w:r>
      </w:hyperlink>
      <w:r w:rsidRPr="005B0F35">
        <w:rPr>
          <w:color w:val="222222"/>
          <w:u w:val="none"/>
          <w:shd w:val="clear" w:color="auto" w:fill="FFFFFF"/>
        </w:rPr>
        <w:t xml:space="preserve"> (Accessed 25 November 2023)</w:t>
      </w:r>
    </w:p>
    <w:p w14:paraId="3A96F0CC" w14:textId="77777777" w:rsidR="005B0F35" w:rsidRPr="005B0F35" w:rsidRDefault="005B0F35">
      <w:pPr>
        <w:rPr>
          <w:u w:val="none"/>
        </w:rPr>
      </w:pPr>
    </w:p>
    <w:sectPr w:rsidR="005B0F35" w:rsidRPr="005B0F35">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924FD" w14:textId="77777777" w:rsidR="00BC0492" w:rsidRDefault="00BC0492" w:rsidP="005B0F35">
      <w:pPr>
        <w:spacing w:after="0" w:line="240" w:lineRule="auto"/>
      </w:pPr>
      <w:r>
        <w:separator/>
      </w:r>
    </w:p>
  </w:endnote>
  <w:endnote w:type="continuationSeparator" w:id="0">
    <w:p w14:paraId="263DC2FA" w14:textId="77777777" w:rsidR="00BC0492" w:rsidRDefault="00BC0492" w:rsidP="005B0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901798"/>
      <w:docPartObj>
        <w:docPartGallery w:val="Page Numbers (Bottom of Page)"/>
        <w:docPartUnique/>
      </w:docPartObj>
    </w:sdtPr>
    <w:sdtEndPr>
      <w:rPr>
        <w:noProof/>
      </w:rPr>
    </w:sdtEndPr>
    <w:sdtContent>
      <w:p w14:paraId="317C385F" w14:textId="77777777" w:rsidR="0000000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8B5E9C"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44963" w14:textId="77777777" w:rsidR="00BC0492" w:rsidRDefault="00BC0492" w:rsidP="005B0F35">
      <w:pPr>
        <w:spacing w:after="0" w:line="240" w:lineRule="auto"/>
      </w:pPr>
      <w:r>
        <w:separator/>
      </w:r>
    </w:p>
  </w:footnote>
  <w:footnote w:type="continuationSeparator" w:id="0">
    <w:p w14:paraId="10217242" w14:textId="77777777" w:rsidR="00BC0492" w:rsidRDefault="00BC0492" w:rsidP="005B0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1A5F3" w14:textId="77777777" w:rsidR="00000000" w:rsidRPr="00C70DAE" w:rsidRDefault="00000000">
    <w:pPr>
      <w:pStyle w:val="Header"/>
      <w:rPr>
        <w:b/>
        <w:bCs w:val="0"/>
        <w:u w:val="none"/>
      </w:rPr>
    </w:pPr>
    <w:r w:rsidRPr="00C70DAE">
      <w:rPr>
        <w:b/>
        <w:bCs w:val="0"/>
        <w:u w:val="none"/>
      </w:rPr>
      <w:t>2131907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155"/>
    <w:rsid w:val="00353EA0"/>
    <w:rsid w:val="00574155"/>
    <w:rsid w:val="005B0F35"/>
    <w:rsid w:val="00BC0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19A9"/>
  <w15:chartTrackingRefBased/>
  <w15:docId w15:val="{E41B88B1-250B-4A4F-B01A-6C88DC608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F35"/>
    <w:pPr>
      <w:spacing w:line="360" w:lineRule="auto"/>
    </w:pPr>
    <w:rPr>
      <w:rFonts w:ascii="Arial" w:hAnsi="Arial" w:cs="Arial"/>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0F35"/>
    <w:rPr>
      <w:color w:val="0563C1" w:themeColor="hyperlink"/>
      <w:u w:val="single"/>
    </w:rPr>
  </w:style>
  <w:style w:type="character" w:styleId="Emphasis">
    <w:name w:val="Emphasis"/>
    <w:basedOn w:val="DefaultParagraphFont"/>
    <w:uiPriority w:val="20"/>
    <w:qFormat/>
    <w:rsid w:val="005B0F35"/>
    <w:rPr>
      <w:i/>
      <w:iCs/>
    </w:rPr>
  </w:style>
  <w:style w:type="paragraph" w:styleId="Header">
    <w:name w:val="header"/>
    <w:basedOn w:val="Normal"/>
    <w:link w:val="HeaderChar"/>
    <w:uiPriority w:val="99"/>
    <w:unhideWhenUsed/>
    <w:rsid w:val="005B0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F35"/>
    <w:rPr>
      <w:rFonts w:ascii="Arial" w:hAnsi="Arial" w:cs="Arial"/>
      <w:bCs/>
      <w:sz w:val="24"/>
      <w:szCs w:val="24"/>
      <w:u w:val="single"/>
    </w:rPr>
  </w:style>
  <w:style w:type="paragraph" w:styleId="Footer">
    <w:name w:val="footer"/>
    <w:basedOn w:val="Normal"/>
    <w:link w:val="FooterChar"/>
    <w:uiPriority w:val="99"/>
    <w:unhideWhenUsed/>
    <w:rsid w:val="005B0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F35"/>
    <w:rPr>
      <w:rFonts w:ascii="Arial" w:hAnsi="Arial" w:cs="Arial"/>
      <w:bCs/>
      <w:sz w:val="24"/>
      <w:szCs w:val="24"/>
      <w:u w:val="single"/>
    </w:rPr>
  </w:style>
  <w:style w:type="character" w:customStyle="1" w:styleId="authorname">
    <w:name w:val="authorname"/>
    <w:basedOn w:val="DefaultParagraphFont"/>
    <w:rsid w:val="005B0F35"/>
  </w:style>
  <w:style w:type="character" w:customStyle="1" w:styleId="separator">
    <w:name w:val="separator"/>
    <w:basedOn w:val="DefaultParagraphFont"/>
    <w:rsid w:val="005B0F35"/>
  </w:style>
  <w:style w:type="character" w:customStyle="1" w:styleId="Date1">
    <w:name w:val="Date1"/>
    <w:basedOn w:val="DefaultParagraphFont"/>
    <w:rsid w:val="005B0F35"/>
  </w:style>
  <w:style w:type="character" w:customStyle="1" w:styleId="arttitle">
    <w:name w:val="art_title"/>
    <w:basedOn w:val="DefaultParagraphFont"/>
    <w:rsid w:val="005B0F35"/>
  </w:style>
  <w:style w:type="character" w:customStyle="1" w:styleId="serialtitle">
    <w:name w:val="serial_title"/>
    <w:basedOn w:val="DefaultParagraphFont"/>
    <w:rsid w:val="005B0F35"/>
  </w:style>
  <w:style w:type="character" w:customStyle="1" w:styleId="volumeissue">
    <w:name w:val="volume_issue"/>
    <w:basedOn w:val="DefaultParagraphFont"/>
    <w:rsid w:val="005B0F35"/>
  </w:style>
  <w:style w:type="character" w:customStyle="1" w:styleId="pagerange">
    <w:name w:val="page_range"/>
    <w:basedOn w:val="DefaultParagraphFont"/>
    <w:rsid w:val="005B0F35"/>
  </w:style>
  <w:style w:type="character" w:customStyle="1" w:styleId="doilink">
    <w:name w:val="doi_link"/>
    <w:basedOn w:val="DefaultParagraphFont"/>
    <w:rsid w:val="005B0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olice/pau026" TargetMode="External"/><Relationship Id="rId13" Type="http://schemas.openxmlformats.org/officeDocument/2006/relationships/hyperlink" Target="file:///C:/Users/mpoca/Downloads/10.4324_9781843924579_previewpdf.pdf" TargetMode="External"/><Relationship Id="rId18" Type="http://schemas.openxmlformats.org/officeDocument/2006/relationships/hyperlink" Target="https://livrepository.liverpool.ac.uk/3013499/1/FINAL.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apccs.police.uk/media/5817/diversity-equality-and-inclusion-in-policing-2019-report.pdf" TargetMode="External"/><Relationship Id="rId12" Type="http://schemas.openxmlformats.org/officeDocument/2006/relationships/hyperlink" Target="https://doi.org/10.1080/13218719.2020.1734978" TargetMode="External"/><Relationship Id="rId17" Type="http://schemas.openxmlformats.org/officeDocument/2006/relationships/hyperlink" Target="https://www.tandfonline.com/doi/abs/10.1080/10439463.2015.1072181" TargetMode="External"/><Relationship Id="rId2" Type="http://schemas.openxmlformats.org/officeDocument/2006/relationships/settings" Target="settings.xml"/><Relationship Id="rId16" Type="http://schemas.openxmlformats.org/officeDocument/2006/relationships/hyperlink" Target="https://www.legislation.gov.uk/ukpga/2014/12/contents/enacted"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core.ac.uk/download/pdf/288817598.pdf" TargetMode="External"/><Relationship Id="rId11" Type="http://schemas.openxmlformats.org/officeDocument/2006/relationships/hyperlink" Target="https://ebookcentral.proquest.com/lib/trinity/reader.action?docID=5646010" TargetMode="External"/><Relationship Id="rId5" Type="http://schemas.openxmlformats.org/officeDocument/2006/relationships/endnotes" Target="endnotes.xml"/><Relationship Id="rId15" Type="http://schemas.openxmlformats.org/officeDocument/2006/relationships/hyperlink" Target="https://www.legislation.gov.uk/ukpga/2014/12/contents/enacted" TargetMode="External"/><Relationship Id="rId10" Type="http://schemas.openxmlformats.org/officeDocument/2006/relationships/hyperlink" Target="https://doi.org/10.1007/s10111-013-0259-6"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jesip.org.uk/downloads/joint-doctrine-guide/" TargetMode="External"/><Relationship Id="rId14" Type="http://schemas.openxmlformats.org/officeDocument/2006/relationships/hyperlink" Target="https://doi.org/10.1177/1473225423115416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4664</Words>
  <Characters>26586</Characters>
  <Application>Microsoft Office Word</Application>
  <DocSecurity>0</DocSecurity>
  <Lines>221</Lines>
  <Paragraphs>62</Paragraphs>
  <ScaleCrop>false</ScaleCrop>
  <Company/>
  <LinksUpToDate>false</LinksUpToDate>
  <CharactersWithSpaces>31188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Počarovský</dc:creator>
  <cp:keywords/>
  <dc:description/>
  <cp:lastModifiedBy>Martin Počarovský</cp:lastModifiedBy>
  <cp:revision>2</cp:revision>
  <dcterms:created xsi:type="dcterms:W3CDTF">2023-11-27T19:16:00Z</dcterms:created>
  <dcterms:modified xsi:type="dcterms:W3CDTF">2023-11-27T19:25:00Z</dcterms:modified>
</cp:coreProperties>
</file>