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907E8" w14:textId="77777777" w:rsidR="000D414C" w:rsidRDefault="000D414C" w:rsidP="000D414C">
      <w:pPr>
        <w:spacing w:line="360" w:lineRule="auto"/>
        <w:jc w:val="center"/>
        <w:rPr>
          <w:rFonts w:ascii="Times New Roman" w:eastAsia="Times New Roman" w:hAnsi="Times New Roman" w:cs="Times New Roman"/>
          <w:b/>
          <w:sz w:val="32"/>
          <w:szCs w:val="32"/>
        </w:rPr>
      </w:pPr>
    </w:p>
    <w:p w14:paraId="68612718" w14:textId="77777777" w:rsidR="000D414C" w:rsidRDefault="000D414C" w:rsidP="000D414C">
      <w:pPr>
        <w:spacing w:line="360" w:lineRule="auto"/>
        <w:jc w:val="center"/>
        <w:rPr>
          <w:rFonts w:ascii="Times New Roman" w:eastAsia="Times New Roman" w:hAnsi="Times New Roman" w:cs="Times New Roman"/>
          <w:b/>
          <w:sz w:val="32"/>
          <w:szCs w:val="32"/>
        </w:rPr>
      </w:pPr>
    </w:p>
    <w:p w14:paraId="57A162C9" w14:textId="320AA95C" w:rsidR="000D414C" w:rsidRDefault="00964208" w:rsidP="000D414C">
      <w:pPr>
        <w:spacing w:line="360" w:lineRule="auto"/>
        <w:jc w:val="center"/>
        <w:rPr>
          <w:rFonts w:ascii="Times New Roman" w:eastAsia="Times New Roman" w:hAnsi="Times New Roman" w:cs="Times New Roman"/>
          <w:b/>
          <w:sz w:val="32"/>
          <w:szCs w:val="32"/>
        </w:rPr>
      </w:pPr>
      <w:r>
        <w:rPr>
          <w:noProof/>
        </w:rPr>
        <w:drawing>
          <wp:inline distT="0" distB="0" distL="0" distR="0" wp14:anchorId="5E0FFEF8" wp14:editId="26B5540D">
            <wp:extent cx="3638550" cy="1819275"/>
            <wp:effectExtent l="0" t="0" r="0" b="9525"/>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65579002" w14:textId="77777777" w:rsidR="000D414C" w:rsidRDefault="000D414C" w:rsidP="000D414C">
      <w:pPr>
        <w:spacing w:line="360" w:lineRule="auto"/>
        <w:jc w:val="center"/>
        <w:rPr>
          <w:rFonts w:ascii="Times New Roman" w:eastAsia="Times New Roman" w:hAnsi="Times New Roman" w:cs="Times New Roman"/>
          <w:b/>
          <w:sz w:val="32"/>
          <w:szCs w:val="32"/>
        </w:rPr>
      </w:pPr>
    </w:p>
    <w:p w14:paraId="6B3C9881" w14:textId="77777777" w:rsidR="000D414C" w:rsidRDefault="000D414C" w:rsidP="000D414C">
      <w:pPr>
        <w:spacing w:line="360" w:lineRule="auto"/>
        <w:jc w:val="center"/>
        <w:rPr>
          <w:rFonts w:ascii="Times New Roman" w:eastAsia="Times New Roman" w:hAnsi="Times New Roman" w:cs="Times New Roman"/>
          <w:b/>
          <w:sz w:val="32"/>
          <w:szCs w:val="32"/>
        </w:rPr>
      </w:pPr>
    </w:p>
    <w:p w14:paraId="0EB38FC4" w14:textId="77777777" w:rsidR="000D414C" w:rsidRDefault="000D414C" w:rsidP="000D414C">
      <w:pPr>
        <w:spacing w:line="360" w:lineRule="auto"/>
        <w:jc w:val="center"/>
        <w:rPr>
          <w:rFonts w:ascii="Times New Roman" w:eastAsia="Times New Roman" w:hAnsi="Times New Roman" w:cs="Times New Roman"/>
          <w:b/>
          <w:sz w:val="32"/>
          <w:szCs w:val="32"/>
        </w:rPr>
      </w:pPr>
    </w:p>
    <w:p w14:paraId="199F1245" w14:textId="77777777" w:rsidR="000D414C" w:rsidRPr="003B268F" w:rsidRDefault="00000000" w:rsidP="000D414C">
      <w:pPr>
        <w:spacing w:line="360" w:lineRule="auto"/>
        <w:jc w:val="center"/>
        <w:rPr>
          <w:rFonts w:ascii="Times New Roman" w:eastAsia="Times New Roman" w:hAnsi="Times New Roman" w:cs="Times New Roman"/>
          <w:b/>
          <w:sz w:val="32"/>
          <w:szCs w:val="32"/>
        </w:rPr>
      </w:pPr>
      <w:r w:rsidRPr="003B268F">
        <w:rPr>
          <w:rFonts w:ascii="Times New Roman" w:eastAsia="Times New Roman" w:hAnsi="Times New Roman" w:cs="Times New Roman"/>
          <w:b/>
          <w:sz w:val="32"/>
          <w:szCs w:val="32"/>
        </w:rPr>
        <w:t>ASSESSMENT 2:</w:t>
      </w:r>
    </w:p>
    <w:p w14:paraId="632E4254" w14:textId="77777777" w:rsidR="00817765" w:rsidRDefault="00000000" w:rsidP="000D414C">
      <w:pPr>
        <w:spacing w:line="360" w:lineRule="auto"/>
        <w:jc w:val="center"/>
        <w:rPr>
          <w:rFonts w:ascii="Times New Roman" w:eastAsia="Times New Roman" w:hAnsi="Times New Roman" w:cs="Times New Roman"/>
          <w:b/>
          <w:sz w:val="32"/>
          <w:szCs w:val="32"/>
        </w:rPr>
      </w:pPr>
      <w:r w:rsidRPr="003B268F">
        <w:rPr>
          <w:rFonts w:ascii="Times New Roman" w:eastAsia="Times New Roman" w:hAnsi="Times New Roman" w:cs="Times New Roman"/>
          <w:b/>
          <w:sz w:val="32"/>
          <w:szCs w:val="32"/>
        </w:rPr>
        <w:t>TASK 2: REFLECTIVE EVALUATION</w:t>
      </w:r>
    </w:p>
    <w:p w14:paraId="3559C527" w14:textId="77777777" w:rsidR="004069A5" w:rsidRDefault="004069A5" w:rsidP="000D414C">
      <w:pPr>
        <w:spacing w:line="360" w:lineRule="auto"/>
        <w:jc w:val="center"/>
        <w:rPr>
          <w:rFonts w:ascii="Times New Roman" w:eastAsia="Times New Roman" w:hAnsi="Times New Roman" w:cs="Times New Roman"/>
          <w:b/>
          <w:sz w:val="32"/>
          <w:szCs w:val="32"/>
        </w:rPr>
      </w:pPr>
    </w:p>
    <w:p w14:paraId="568C7B01" w14:textId="77777777" w:rsidR="004069A5" w:rsidRDefault="004069A5" w:rsidP="00964208">
      <w:pPr>
        <w:spacing w:line="360" w:lineRule="auto"/>
        <w:rPr>
          <w:rFonts w:ascii="Times New Roman" w:eastAsia="Times New Roman" w:hAnsi="Times New Roman" w:cs="Times New Roman"/>
          <w:b/>
          <w:sz w:val="32"/>
          <w:szCs w:val="32"/>
        </w:rPr>
      </w:pPr>
    </w:p>
    <w:p w14:paraId="50924567" w14:textId="77777777" w:rsidR="004069A5" w:rsidRDefault="004069A5" w:rsidP="000D414C">
      <w:pPr>
        <w:spacing w:line="360" w:lineRule="auto"/>
        <w:jc w:val="center"/>
        <w:rPr>
          <w:rFonts w:ascii="Times New Roman" w:eastAsia="Times New Roman" w:hAnsi="Times New Roman" w:cs="Times New Roman"/>
          <w:b/>
          <w:sz w:val="32"/>
          <w:szCs w:val="32"/>
        </w:rPr>
      </w:pPr>
    </w:p>
    <w:p w14:paraId="515E8DF1" w14:textId="77777777" w:rsidR="004069A5" w:rsidRDefault="004069A5" w:rsidP="00964208">
      <w:pPr>
        <w:spacing w:line="360" w:lineRule="auto"/>
        <w:rPr>
          <w:rFonts w:ascii="Times New Roman" w:eastAsia="Times New Roman" w:hAnsi="Times New Roman" w:cs="Times New Roman"/>
          <w:b/>
          <w:sz w:val="32"/>
          <w:szCs w:val="32"/>
        </w:rPr>
      </w:pPr>
    </w:p>
    <w:p w14:paraId="2424BDAB" w14:textId="704C31A2" w:rsidR="004069A5" w:rsidRDefault="004069A5" w:rsidP="000D414C">
      <w:pPr>
        <w:spacing w:line="360" w:lineRule="auto"/>
        <w:jc w:val="center"/>
        <w:rPr>
          <w:rFonts w:ascii="Times New Roman" w:eastAsia="Times New Roman" w:hAnsi="Times New Roman" w:cs="Times New Roman"/>
          <w:b/>
          <w:sz w:val="32"/>
          <w:szCs w:val="32"/>
        </w:rPr>
      </w:pPr>
    </w:p>
    <w:p w14:paraId="57B40B67" w14:textId="77777777" w:rsidR="00964208" w:rsidRDefault="00964208" w:rsidP="000D414C">
      <w:pPr>
        <w:spacing w:line="360" w:lineRule="auto"/>
        <w:jc w:val="center"/>
        <w:rPr>
          <w:rFonts w:ascii="Times New Roman" w:eastAsia="Times New Roman" w:hAnsi="Times New Roman" w:cs="Times New Roman"/>
          <w:b/>
          <w:sz w:val="32"/>
          <w:szCs w:val="32"/>
        </w:rPr>
      </w:pPr>
    </w:p>
    <w:p w14:paraId="31384C67" w14:textId="77777777" w:rsidR="004069A5" w:rsidRDefault="004069A5" w:rsidP="000D414C">
      <w:pPr>
        <w:spacing w:line="360" w:lineRule="auto"/>
        <w:jc w:val="center"/>
        <w:rPr>
          <w:rFonts w:ascii="Times New Roman" w:eastAsia="Times New Roman" w:hAnsi="Times New Roman" w:cs="Times New Roman"/>
          <w:b/>
          <w:sz w:val="32"/>
          <w:szCs w:val="32"/>
        </w:rPr>
      </w:pPr>
    </w:p>
    <w:p w14:paraId="7CC48BA4" w14:textId="77777777" w:rsidR="004069A5" w:rsidRDefault="004069A5" w:rsidP="000D414C">
      <w:pPr>
        <w:spacing w:line="360" w:lineRule="auto"/>
        <w:jc w:val="center"/>
        <w:rPr>
          <w:rFonts w:ascii="Times New Roman" w:eastAsia="Times New Roman" w:hAnsi="Times New Roman" w:cs="Times New Roman"/>
          <w:b/>
          <w:sz w:val="32"/>
          <w:szCs w:val="32"/>
        </w:rPr>
      </w:pPr>
    </w:p>
    <w:p w14:paraId="76A8965B" w14:textId="77777777" w:rsidR="004069A5" w:rsidRPr="004069A5" w:rsidRDefault="004069A5" w:rsidP="004069A5">
      <w:pPr>
        <w:shd w:val="clear" w:color="auto" w:fill="FFFFFF"/>
        <w:spacing w:line="240" w:lineRule="auto"/>
        <w:rPr>
          <w:rFonts w:eastAsia="Times New Roman"/>
          <w:color w:val="222222"/>
          <w:sz w:val="24"/>
          <w:szCs w:val="24"/>
          <w:lang w:eastAsia="en-GB"/>
        </w:rPr>
      </w:pPr>
      <w:r w:rsidRPr="004069A5">
        <w:rPr>
          <w:rFonts w:eastAsia="Times New Roman"/>
          <w:color w:val="222222"/>
          <w:sz w:val="24"/>
          <w:szCs w:val="24"/>
          <w:lang w:eastAsia="en-GB"/>
        </w:rPr>
        <w:t>Name: Alina Don </w:t>
      </w:r>
    </w:p>
    <w:p w14:paraId="3C9D0730" w14:textId="5228CDAD" w:rsidR="004069A5" w:rsidRPr="004069A5" w:rsidRDefault="004069A5" w:rsidP="004069A5">
      <w:pPr>
        <w:shd w:val="clear" w:color="auto" w:fill="FFFFFF"/>
        <w:spacing w:line="240" w:lineRule="auto"/>
        <w:rPr>
          <w:rFonts w:eastAsia="Times New Roman"/>
          <w:color w:val="222222"/>
          <w:sz w:val="24"/>
          <w:szCs w:val="24"/>
          <w:lang w:eastAsia="en-GB"/>
        </w:rPr>
      </w:pPr>
      <w:r w:rsidRPr="004069A5">
        <w:rPr>
          <w:rFonts w:eastAsia="Times New Roman"/>
          <w:color w:val="222222"/>
          <w:sz w:val="24"/>
          <w:szCs w:val="24"/>
          <w:lang w:eastAsia="en-GB"/>
        </w:rPr>
        <w:t>Student ID: 2209818</w:t>
      </w:r>
    </w:p>
    <w:p w14:paraId="6F298617" w14:textId="77777777" w:rsidR="004069A5" w:rsidRPr="004069A5" w:rsidRDefault="004069A5" w:rsidP="004069A5">
      <w:pPr>
        <w:shd w:val="clear" w:color="auto" w:fill="FFFFFF"/>
        <w:spacing w:line="240" w:lineRule="auto"/>
        <w:rPr>
          <w:rFonts w:eastAsia="Times New Roman"/>
          <w:color w:val="222222"/>
          <w:sz w:val="24"/>
          <w:szCs w:val="24"/>
          <w:lang w:eastAsia="en-GB"/>
        </w:rPr>
      </w:pPr>
      <w:r w:rsidRPr="004069A5">
        <w:rPr>
          <w:rFonts w:eastAsia="Times New Roman"/>
          <w:color w:val="222222"/>
          <w:sz w:val="24"/>
          <w:szCs w:val="24"/>
          <w:lang w:eastAsia="en-GB"/>
        </w:rPr>
        <w:t>Module name: Community Engagement (LCBB4002)</w:t>
      </w:r>
    </w:p>
    <w:p w14:paraId="270A0F67" w14:textId="77777777" w:rsidR="004069A5" w:rsidRPr="004069A5" w:rsidRDefault="004069A5" w:rsidP="004069A5">
      <w:pPr>
        <w:shd w:val="clear" w:color="auto" w:fill="FFFFFF"/>
        <w:spacing w:line="240" w:lineRule="auto"/>
        <w:rPr>
          <w:rFonts w:eastAsia="Times New Roman"/>
          <w:color w:val="222222"/>
          <w:sz w:val="24"/>
          <w:szCs w:val="24"/>
          <w:lang w:eastAsia="en-GB"/>
        </w:rPr>
      </w:pPr>
      <w:r w:rsidRPr="004069A5">
        <w:rPr>
          <w:rFonts w:eastAsia="Times New Roman"/>
          <w:color w:val="222222"/>
          <w:sz w:val="24"/>
          <w:szCs w:val="24"/>
          <w:lang w:eastAsia="en-GB"/>
        </w:rPr>
        <w:t>Lecturer: Nadeem Mirza</w:t>
      </w:r>
    </w:p>
    <w:p w14:paraId="588A3F6E" w14:textId="77777777" w:rsidR="004069A5" w:rsidRDefault="004069A5" w:rsidP="000D414C">
      <w:pPr>
        <w:spacing w:line="360" w:lineRule="auto"/>
        <w:jc w:val="center"/>
        <w:rPr>
          <w:rFonts w:ascii="Times New Roman" w:eastAsia="Times New Roman" w:hAnsi="Times New Roman" w:cs="Times New Roman"/>
          <w:b/>
          <w:sz w:val="32"/>
          <w:szCs w:val="32"/>
        </w:rPr>
      </w:pPr>
    </w:p>
    <w:p w14:paraId="6BF41BDD" w14:textId="1F3E9659" w:rsidR="00817765" w:rsidRDefault="00000000" w:rsidP="00817765">
      <w:pPr>
        <w:spacing w:after="160" w:line="259"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1259176967"/>
        <w:docPartObj>
          <w:docPartGallery w:val="Table of Contents"/>
          <w:docPartUnique/>
        </w:docPartObj>
      </w:sdtPr>
      <w:sdtEndPr>
        <w:rPr>
          <w:b/>
          <w:bCs/>
          <w:noProof/>
        </w:rPr>
      </w:sdtEndPr>
      <w:sdtContent>
        <w:p w14:paraId="56649AF9" w14:textId="2916D68D" w:rsidR="00817765" w:rsidRPr="00817765" w:rsidRDefault="00000000" w:rsidP="00817765">
          <w:pPr>
            <w:pStyle w:val="TOCHeading"/>
            <w:spacing w:line="360" w:lineRule="auto"/>
            <w:jc w:val="center"/>
            <w:rPr>
              <w:rFonts w:ascii="Times New Roman" w:hAnsi="Times New Roman" w:cs="Times New Roman"/>
              <w:sz w:val="24"/>
              <w:szCs w:val="24"/>
            </w:rPr>
          </w:pPr>
          <w:r w:rsidRPr="00817765">
            <w:rPr>
              <w:rFonts w:ascii="Times New Roman" w:hAnsi="Times New Roman" w:cs="Times New Roman"/>
              <w:b/>
              <w:bCs/>
              <w:color w:val="auto"/>
              <w:sz w:val="28"/>
              <w:szCs w:val="28"/>
            </w:rPr>
            <w:t>Table of Contents</w:t>
          </w:r>
        </w:p>
        <w:p w14:paraId="297814DD" w14:textId="31D3A31E" w:rsidR="00786052" w:rsidRPr="00786052" w:rsidRDefault="00000000" w:rsidP="00786052">
          <w:pPr>
            <w:pStyle w:val="TOC1"/>
            <w:tabs>
              <w:tab w:val="right" w:leader="dot" w:pos="9016"/>
            </w:tabs>
            <w:spacing w:line="360" w:lineRule="auto"/>
            <w:jc w:val="both"/>
            <w:rPr>
              <w:rFonts w:ascii="Times New Roman" w:eastAsiaTheme="minorEastAsia" w:hAnsi="Times New Roman" w:cs="Times New Roman"/>
              <w:noProof/>
              <w:sz w:val="24"/>
              <w:szCs w:val="24"/>
              <w:lang w:val="en-IN"/>
            </w:rPr>
          </w:pPr>
          <w:r w:rsidRPr="00817765">
            <w:rPr>
              <w:rFonts w:ascii="Times New Roman" w:hAnsi="Times New Roman" w:cs="Times New Roman"/>
              <w:sz w:val="24"/>
              <w:szCs w:val="24"/>
            </w:rPr>
            <w:fldChar w:fldCharType="begin"/>
          </w:r>
          <w:r w:rsidRPr="00817765">
            <w:rPr>
              <w:rFonts w:ascii="Times New Roman" w:hAnsi="Times New Roman" w:cs="Times New Roman"/>
              <w:sz w:val="24"/>
              <w:szCs w:val="24"/>
            </w:rPr>
            <w:instrText xml:space="preserve"> TOC \o "1-3" \h \z \u </w:instrText>
          </w:r>
          <w:r w:rsidRPr="00817765">
            <w:rPr>
              <w:rFonts w:ascii="Times New Roman" w:hAnsi="Times New Roman" w:cs="Times New Roman"/>
              <w:sz w:val="24"/>
              <w:szCs w:val="24"/>
            </w:rPr>
            <w:fldChar w:fldCharType="separate"/>
          </w:r>
          <w:hyperlink w:anchor="_Toc129627395" w:history="1">
            <w:r w:rsidR="00786052" w:rsidRPr="00786052">
              <w:rPr>
                <w:rStyle w:val="Hyperlink"/>
                <w:rFonts w:ascii="Times New Roman" w:hAnsi="Times New Roman" w:cs="Times New Roman"/>
                <w:noProof/>
                <w:sz w:val="24"/>
                <w:szCs w:val="24"/>
              </w:rPr>
              <w:t>Introduction</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_Toc129627395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3</w:t>
            </w:r>
            <w:r w:rsidR="00786052" w:rsidRPr="00786052">
              <w:rPr>
                <w:rFonts w:ascii="Times New Roman" w:hAnsi="Times New Roman" w:cs="Times New Roman"/>
                <w:noProof/>
                <w:webHidden/>
                <w:sz w:val="24"/>
                <w:szCs w:val="24"/>
              </w:rPr>
              <w:fldChar w:fldCharType="end"/>
            </w:r>
          </w:hyperlink>
        </w:p>
        <w:p w14:paraId="7EC518FB" w14:textId="4DE1B6E2" w:rsidR="00786052" w:rsidRPr="00786052" w:rsidRDefault="00000000" w:rsidP="00786052">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129627396" w:history="1">
            <w:r w:rsidR="00786052" w:rsidRPr="00786052">
              <w:rPr>
                <w:rStyle w:val="Hyperlink"/>
                <w:rFonts w:ascii="Times New Roman" w:hAnsi="Times New Roman" w:cs="Times New Roman"/>
                <w:noProof/>
                <w:sz w:val="24"/>
                <w:szCs w:val="24"/>
              </w:rPr>
              <w:t>Main body</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_Toc129627396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3</w:t>
            </w:r>
            <w:r w:rsidR="00786052" w:rsidRPr="00786052">
              <w:rPr>
                <w:rFonts w:ascii="Times New Roman" w:hAnsi="Times New Roman" w:cs="Times New Roman"/>
                <w:noProof/>
                <w:webHidden/>
                <w:sz w:val="24"/>
                <w:szCs w:val="24"/>
              </w:rPr>
              <w:fldChar w:fldCharType="end"/>
            </w:r>
          </w:hyperlink>
        </w:p>
        <w:p w14:paraId="6A5C45F3" w14:textId="58E8FD46" w:rsidR="00786052" w:rsidRPr="00786052" w:rsidRDefault="00000000" w:rsidP="00786052">
          <w:pPr>
            <w:pStyle w:val="TOC2"/>
            <w:tabs>
              <w:tab w:val="right" w:leader="dot" w:pos="9016"/>
            </w:tabs>
            <w:spacing w:line="360" w:lineRule="auto"/>
            <w:jc w:val="both"/>
            <w:rPr>
              <w:rFonts w:ascii="Times New Roman" w:eastAsiaTheme="minorEastAsia" w:hAnsi="Times New Roman" w:cs="Times New Roman"/>
              <w:noProof/>
              <w:sz w:val="24"/>
              <w:szCs w:val="24"/>
              <w:lang w:val="en-IN"/>
            </w:rPr>
          </w:pPr>
          <w:hyperlink w:anchor="_Toc129627397" w:history="1">
            <w:r w:rsidR="00786052" w:rsidRPr="00786052">
              <w:rPr>
                <w:rStyle w:val="Hyperlink"/>
                <w:rFonts w:ascii="Times New Roman" w:hAnsi="Times New Roman" w:cs="Times New Roman"/>
                <w:i/>
                <w:noProof/>
                <w:sz w:val="24"/>
                <w:szCs w:val="24"/>
              </w:rPr>
              <w:t>"</w:t>
            </w:r>
            <w:r w:rsidR="00786052" w:rsidRPr="00786052">
              <w:rPr>
                <w:rStyle w:val="Hyperlink"/>
                <w:rFonts w:ascii="Times New Roman" w:hAnsi="Times New Roman" w:cs="Times New Roman"/>
                <w:bCs/>
                <w:noProof/>
                <w:sz w:val="24"/>
                <w:szCs w:val="24"/>
              </w:rPr>
              <w:t>Principles of community engagement</w:t>
            </w:r>
            <w:r w:rsidR="00786052" w:rsidRPr="00786052">
              <w:rPr>
                <w:rStyle w:val="Hyperlink"/>
                <w:rFonts w:ascii="Times New Roman" w:hAnsi="Times New Roman" w:cs="Times New Roman"/>
                <w:i/>
                <w:noProof/>
                <w:sz w:val="24"/>
                <w:szCs w:val="24"/>
              </w:rPr>
              <w:t>"</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_Toc129627397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3</w:t>
            </w:r>
            <w:r w:rsidR="00786052" w:rsidRPr="00786052">
              <w:rPr>
                <w:rFonts w:ascii="Times New Roman" w:hAnsi="Times New Roman" w:cs="Times New Roman"/>
                <w:noProof/>
                <w:webHidden/>
                <w:sz w:val="24"/>
                <w:szCs w:val="24"/>
              </w:rPr>
              <w:fldChar w:fldCharType="end"/>
            </w:r>
          </w:hyperlink>
        </w:p>
        <w:p w14:paraId="70F4635A" w14:textId="322AA868" w:rsidR="00786052" w:rsidRPr="00786052" w:rsidRDefault="00000000" w:rsidP="00786052">
          <w:pPr>
            <w:pStyle w:val="TOC2"/>
            <w:tabs>
              <w:tab w:val="right" w:leader="dot" w:pos="9016"/>
            </w:tabs>
            <w:spacing w:line="360" w:lineRule="auto"/>
            <w:jc w:val="both"/>
            <w:rPr>
              <w:rFonts w:ascii="Times New Roman" w:eastAsiaTheme="minorEastAsia" w:hAnsi="Times New Roman" w:cs="Times New Roman"/>
              <w:noProof/>
              <w:sz w:val="24"/>
              <w:szCs w:val="24"/>
              <w:lang w:val="en-IN"/>
            </w:rPr>
          </w:pPr>
          <w:hyperlink w:anchor="_Toc129627398" w:history="1">
            <w:r w:rsidR="00786052" w:rsidRPr="00786052">
              <w:rPr>
                <w:rStyle w:val="Hyperlink"/>
                <w:rFonts w:ascii="Times New Roman" w:hAnsi="Times New Roman" w:cs="Times New Roman"/>
                <w:noProof/>
                <w:sz w:val="24"/>
                <w:szCs w:val="24"/>
              </w:rPr>
              <w:t>"Standards of community engagement"</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_Toc129627398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5</w:t>
            </w:r>
            <w:r w:rsidR="00786052" w:rsidRPr="00786052">
              <w:rPr>
                <w:rFonts w:ascii="Times New Roman" w:hAnsi="Times New Roman" w:cs="Times New Roman"/>
                <w:noProof/>
                <w:webHidden/>
                <w:sz w:val="24"/>
                <w:szCs w:val="24"/>
              </w:rPr>
              <w:fldChar w:fldCharType="end"/>
            </w:r>
          </w:hyperlink>
        </w:p>
        <w:p w14:paraId="6A9458FF" w14:textId="71D4141A" w:rsidR="00786052" w:rsidRPr="00786052" w:rsidRDefault="00000000" w:rsidP="00786052">
          <w:pPr>
            <w:pStyle w:val="TOC2"/>
            <w:tabs>
              <w:tab w:val="right" w:leader="dot" w:pos="9016"/>
            </w:tabs>
            <w:spacing w:line="360" w:lineRule="auto"/>
            <w:jc w:val="both"/>
            <w:rPr>
              <w:rFonts w:ascii="Times New Roman" w:eastAsiaTheme="minorEastAsia" w:hAnsi="Times New Roman" w:cs="Times New Roman"/>
              <w:noProof/>
              <w:sz w:val="24"/>
              <w:szCs w:val="24"/>
              <w:lang w:val="en-IN"/>
            </w:rPr>
          </w:pPr>
          <w:hyperlink w:anchor="_Toc129627399" w:history="1">
            <w:r w:rsidR="00786052" w:rsidRPr="00786052">
              <w:rPr>
                <w:rStyle w:val="Hyperlink"/>
                <w:rFonts w:ascii="Times New Roman" w:hAnsi="Times New Roman" w:cs="Times New Roman"/>
                <w:noProof/>
                <w:sz w:val="24"/>
                <w:szCs w:val="24"/>
              </w:rPr>
              <w:t>"Strategies currently being adopted in the council"</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_Toc129627399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6</w:t>
            </w:r>
            <w:r w:rsidR="00786052" w:rsidRPr="00786052">
              <w:rPr>
                <w:rFonts w:ascii="Times New Roman" w:hAnsi="Times New Roman" w:cs="Times New Roman"/>
                <w:noProof/>
                <w:webHidden/>
                <w:sz w:val="24"/>
                <w:szCs w:val="24"/>
              </w:rPr>
              <w:fldChar w:fldCharType="end"/>
            </w:r>
          </w:hyperlink>
        </w:p>
        <w:p w14:paraId="58271EA7" w14:textId="7D81DE52" w:rsidR="00786052" w:rsidRPr="00786052" w:rsidRDefault="00000000" w:rsidP="00786052">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129627400" w:history="1">
            <w:r w:rsidR="00786052" w:rsidRPr="00786052">
              <w:rPr>
                <w:rStyle w:val="Hyperlink"/>
                <w:rFonts w:ascii="Times New Roman" w:hAnsi="Times New Roman" w:cs="Times New Roman"/>
                <w:noProof/>
                <w:sz w:val="24"/>
                <w:szCs w:val="24"/>
              </w:rPr>
              <w:t>Conclusion and recommendations</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_Toc129627400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7</w:t>
            </w:r>
            <w:r w:rsidR="00786052" w:rsidRPr="00786052">
              <w:rPr>
                <w:rFonts w:ascii="Times New Roman" w:hAnsi="Times New Roman" w:cs="Times New Roman"/>
                <w:noProof/>
                <w:webHidden/>
                <w:sz w:val="24"/>
                <w:szCs w:val="24"/>
              </w:rPr>
              <w:fldChar w:fldCharType="end"/>
            </w:r>
          </w:hyperlink>
        </w:p>
        <w:p w14:paraId="6FCFDBB6" w14:textId="03A0AD69" w:rsidR="00786052" w:rsidRPr="00786052" w:rsidRDefault="00000000" w:rsidP="00786052">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129627401" w:history="1">
            <w:r w:rsidR="00786052" w:rsidRPr="00786052">
              <w:rPr>
                <w:rStyle w:val="Hyperlink"/>
                <w:rFonts w:ascii="Times New Roman" w:hAnsi="Times New Roman" w:cs="Times New Roman"/>
                <w:noProof/>
                <w:sz w:val="24"/>
                <w:szCs w:val="24"/>
              </w:rPr>
              <w:t>References</w:t>
            </w:r>
            <w:r w:rsidR="00786052" w:rsidRPr="00786052">
              <w:rPr>
                <w:rFonts w:ascii="Times New Roman" w:hAnsi="Times New Roman" w:cs="Times New Roman"/>
                <w:noProof/>
                <w:webHidden/>
                <w:sz w:val="24"/>
                <w:szCs w:val="24"/>
              </w:rPr>
              <w:tab/>
            </w:r>
            <w:r w:rsidR="00786052" w:rsidRPr="00786052">
              <w:rPr>
                <w:rFonts w:ascii="Times New Roman" w:hAnsi="Times New Roman" w:cs="Times New Roman"/>
                <w:noProof/>
                <w:webHidden/>
                <w:sz w:val="24"/>
                <w:szCs w:val="24"/>
              </w:rPr>
              <w:fldChar w:fldCharType="begin"/>
            </w:r>
            <w:r w:rsidR="00786052" w:rsidRPr="00786052">
              <w:rPr>
                <w:rFonts w:ascii="Times New Roman" w:hAnsi="Times New Roman" w:cs="Times New Roman"/>
                <w:noProof/>
                <w:webHidden/>
                <w:sz w:val="24"/>
                <w:szCs w:val="24"/>
              </w:rPr>
              <w:instrText xml:space="preserve"> PAGEREF _Toc129627401 \h </w:instrText>
            </w:r>
            <w:r w:rsidR="00786052" w:rsidRPr="00786052">
              <w:rPr>
                <w:rFonts w:ascii="Times New Roman" w:hAnsi="Times New Roman" w:cs="Times New Roman"/>
                <w:noProof/>
                <w:webHidden/>
                <w:sz w:val="24"/>
                <w:szCs w:val="24"/>
              </w:rPr>
            </w:r>
            <w:r w:rsidR="00786052" w:rsidRPr="00786052">
              <w:rPr>
                <w:rFonts w:ascii="Times New Roman" w:hAnsi="Times New Roman" w:cs="Times New Roman"/>
                <w:noProof/>
                <w:webHidden/>
                <w:sz w:val="24"/>
                <w:szCs w:val="24"/>
              </w:rPr>
              <w:fldChar w:fldCharType="separate"/>
            </w:r>
            <w:r w:rsidR="00786052" w:rsidRPr="00786052">
              <w:rPr>
                <w:rFonts w:ascii="Times New Roman" w:hAnsi="Times New Roman" w:cs="Times New Roman"/>
                <w:noProof/>
                <w:webHidden/>
                <w:sz w:val="24"/>
                <w:szCs w:val="24"/>
              </w:rPr>
              <w:t>9</w:t>
            </w:r>
            <w:r w:rsidR="00786052" w:rsidRPr="00786052">
              <w:rPr>
                <w:rFonts w:ascii="Times New Roman" w:hAnsi="Times New Roman" w:cs="Times New Roman"/>
                <w:noProof/>
                <w:webHidden/>
                <w:sz w:val="24"/>
                <w:szCs w:val="24"/>
              </w:rPr>
              <w:fldChar w:fldCharType="end"/>
            </w:r>
          </w:hyperlink>
        </w:p>
        <w:p w14:paraId="6C9A2A9B" w14:textId="142CB64D" w:rsidR="00817765" w:rsidRDefault="00000000" w:rsidP="00817765">
          <w:pPr>
            <w:spacing w:line="360" w:lineRule="auto"/>
            <w:jc w:val="both"/>
          </w:pPr>
          <w:r w:rsidRPr="00817765">
            <w:rPr>
              <w:rFonts w:ascii="Times New Roman" w:hAnsi="Times New Roman" w:cs="Times New Roman"/>
              <w:b/>
              <w:bCs/>
              <w:noProof/>
              <w:sz w:val="24"/>
              <w:szCs w:val="24"/>
            </w:rPr>
            <w:fldChar w:fldCharType="end"/>
          </w:r>
        </w:p>
      </w:sdtContent>
    </w:sdt>
    <w:p w14:paraId="068CA029" w14:textId="00B38675" w:rsidR="000D414C" w:rsidRDefault="00000000" w:rsidP="000D414C">
      <w:pPr>
        <w:spacing w:line="360" w:lineRule="auto"/>
        <w:jc w:val="center"/>
        <w:rPr>
          <w:rFonts w:ascii="Times New Roman" w:eastAsia="Times New Roman" w:hAnsi="Times New Roman" w:cs="Times New Roman"/>
          <w:b/>
          <w:sz w:val="28"/>
          <w:szCs w:val="28"/>
        </w:rPr>
      </w:pPr>
      <w:r>
        <w:br w:type="page"/>
      </w:r>
    </w:p>
    <w:p w14:paraId="5BE8F61F" w14:textId="77777777" w:rsidR="000D414C" w:rsidRDefault="00000000" w:rsidP="00817765">
      <w:pPr>
        <w:pStyle w:val="Heading1"/>
      </w:pPr>
      <w:bookmarkStart w:id="0" w:name="_Toc129627395"/>
      <w:r>
        <w:lastRenderedPageBreak/>
        <w:t>Introduction</w:t>
      </w:r>
      <w:bookmarkEnd w:id="0"/>
    </w:p>
    <w:p w14:paraId="1336EA11"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involves taking many forms by having partners that include not just the agencies or individuals but the organised groups and institutions too. In simple words, community engagement is best described as the continuum for community involvement where people of diverse cultures come and participate, which in turn tends to illustrate their mode of thinking on any continuum. It is deemed to be a very important process that underscores developing a safe community that not just possesses a "high quality of life" but ensures that it provides a blueprint for the people's welfare. It is through the initiation of community engagement that the citizens can create a sustained and successful cohesive community that leads to improved outcomes. This in turn proves to be the driving force towards social transformation. Community engagement is a kind of "public relations exercise" that is directly correlated with bringing positive outcomes by significantly solving problems by undertaking effective decisions by obtaining consensus. Under this premise, this reflective evaluation will provide in-depth information on the varied standards, principles or strategies of the Sutton Council. Furthermore, a "forward-looking plan" will also be recommended that would help this council to progress differently towards working seamlessly towards engaging in higher and better practices of community engagement.</w:t>
      </w:r>
    </w:p>
    <w:p w14:paraId="3CBE49BF" w14:textId="77777777" w:rsidR="000D414C" w:rsidRDefault="00000000" w:rsidP="000D414C">
      <w:pPr>
        <w:pStyle w:val="Heading1"/>
      </w:pPr>
      <w:bookmarkStart w:id="1" w:name="_8n5qficqfpy9" w:colFirst="0" w:colLast="0"/>
      <w:bookmarkStart w:id="2" w:name="_Toc129627396"/>
      <w:bookmarkEnd w:id="1"/>
      <w:r>
        <w:t>Main body</w:t>
      </w:r>
      <w:bookmarkEnd w:id="2"/>
    </w:p>
    <w:p w14:paraId="6B1FE75F" w14:textId="77777777" w:rsidR="000D414C" w:rsidRDefault="00000000" w:rsidP="007409F0">
      <w:pPr>
        <w:pStyle w:val="Heading2"/>
        <w:rPr>
          <w:i/>
        </w:rPr>
      </w:pPr>
      <w:bookmarkStart w:id="3" w:name="_Toc129627397"/>
      <w:r>
        <w:rPr>
          <w:i/>
        </w:rPr>
        <w:t>"</w:t>
      </w:r>
      <w:r w:rsidRPr="007409F0">
        <w:rPr>
          <w:rStyle w:val="Heading2Char"/>
          <w:b/>
          <w:bCs/>
        </w:rPr>
        <w:t>Principles of community engagement</w:t>
      </w:r>
      <w:r>
        <w:rPr>
          <w:i/>
        </w:rPr>
        <w:t>"</w:t>
      </w:r>
      <w:bookmarkEnd w:id="3"/>
    </w:p>
    <w:p w14:paraId="41FC1030"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government must include community involvement. Local councils are able to collaborate with the communities they serve to solve issues and provide better services because they have a better understanding of their needs and desires. The Sutton Council can adhere to the following important guidelines to guarantee successful community engagement.</w:t>
      </w:r>
    </w:p>
    <w:p w14:paraId="7E05D1D5"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Build trust and establish relationships:</w:t>
      </w:r>
    </w:p>
    <w:p w14:paraId="404FD4C3"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engagement depends on developing relationships with the community and earning their confidence. This can be accomplished by being open, honest, and transparent in all interactions and by actively hearing the concerns and suggestions of the locals. Establishing recurring communication channels, such as open forums or meetings, is also crucial for fostering involvement and dialogue.</w:t>
      </w:r>
    </w:p>
    <w:p w14:paraId="51A20465"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Understand the community:</w:t>
      </w:r>
    </w:p>
    <w:p w14:paraId="4F8F8270"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the community's requirements, interests, and worries in great detail is necessary for effective community engagement. To accomplish this, surveys and focus groups can be run, community leaders as well as entities can be consulted, and local </w:t>
      </w:r>
      <w:r>
        <w:rPr>
          <w:rFonts w:ascii="Times New Roman" w:eastAsia="Times New Roman" w:hAnsi="Times New Roman" w:cs="Times New Roman"/>
          <w:sz w:val="24"/>
          <w:szCs w:val="24"/>
        </w:rPr>
        <w:lastRenderedPageBreak/>
        <w:t>community groups can be worked with to determine the most important problems and priorities (Community, 2022).</w:t>
      </w:r>
    </w:p>
    <w:p w14:paraId="4F8BE42B"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Involve the community:</w:t>
      </w:r>
    </w:p>
    <w:p w14:paraId="44BD2B86"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Instead of merely informing the community of council choices, engaging the community means involving them in the decision-making processes. This can be done by giving locals the chance to engage in open forums like meetings and workshops where they can voice their opinions and make suggestions. Additionally, it is crucial to make sure that the community is well-informed about these possibilities.</w:t>
      </w:r>
    </w:p>
    <w:p w14:paraId="283B8EB8"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Ensure accessibility and inclusivity:</w:t>
      </w:r>
    </w:p>
    <w:p w14:paraId="0FDEF6EC"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community members must have equal access to knowledge and participation opportunities for community engagement to be effective. This entails making sure that all messages are understandable and clear, and that they are offered in a variety of languages or formats, as necessary (Community, 2022). It is crucial to check that the locations and amenities used for involvement activities are accessible to and friendly toward individuals with disabilities.</w:t>
      </w:r>
    </w:p>
    <w:p w14:paraId="77B3798C"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Maintain transparency and accountability:</w:t>
      </w:r>
    </w:p>
    <w:p w14:paraId="3B4AEA71"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councils must be open and accountable in their decision-making procedures in order to engage the community. This entails informing the neighbourhood on a frequent basis about decisions made, the progress being made toward objectives, and the justification for those decisions. Additionally, it's critical to pay attention to community comments and worries and to act on any issues that are brought up.</w:t>
      </w:r>
    </w:p>
    <w:p w14:paraId="4410D12F"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Foster collaboration and partnership:</w:t>
      </w:r>
    </w:p>
    <w:p w14:paraId="5435D3A3"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involvement is an interactive method that calls for the council to collaborate with regional businesses, neighbourhood groups, and locals. Building trusting connections with these interested parties and including them in decisions that are made is required to achieve this (Community, 2022). Additionally, it entails respecting and appreciating the skills and knowledge of people in the community as well as cooperating to solve issues.</w:t>
      </w:r>
    </w:p>
    <w:p w14:paraId="3004ECB5"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Maintain a long-term perspective:</w:t>
      </w:r>
    </w:p>
    <w:p w14:paraId="47F9A316"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long-term viewpoint is necessary for effective community involvement, as opposed to a short-term focus. This implies that involvement should be continuous and incorporated into all facets of council activities rather than being restricted to particular programs or initiatives. It also entails acknowledging that involvement takes time, effort, and resources, and that the advantages might not be noticeable right away.</w:t>
      </w:r>
    </w:p>
    <w:p w14:paraId="4EF259D5" w14:textId="77777777" w:rsidR="000D414C" w:rsidRDefault="000D414C" w:rsidP="000D414C">
      <w:pPr>
        <w:spacing w:line="360" w:lineRule="auto"/>
        <w:jc w:val="both"/>
        <w:rPr>
          <w:rFonts w:ascii="Times New Roman" w:eastAsia="Times New Roman" w:hAnsi="Times New Roman" w:cs="Times New Roman"/>
          <w:sz w:val="24"/>
          <w:szCs w:val="24"/>
        </w:rPr>
      </w:pPr>
    </w:p>
    <w:p w14:paraId="426D2E39" w14:textId="77777777" w:rsidR="000D414C" w:rsidRDefault="00000000" w:rsidP="007409F0">
      <w:pPr>
        <w:pStyle w:val="Heading2"/>
      </w:pPr>
      <w:bookmarkStart w:id="4" w:name="_Toc129627398"/>
      <w:r>
        <w:lastRenderedPageBreak/>
        <w:t xml:space="preserve">"Standards of community </w:t>
      </w:r>
      <w:r w:rsidRPr="007409F0">
        <w:t>engagement</w:t>
      </w:r>
      <w:r>
        <w:t>"</w:t>
      </w:r>
      <w:bookmarkEnd w:id="4"/>
    </w:p>
    <w:p w14:paraId="7193257C"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municipal government's obligation to its constituents must include community engagement. In order to ensure that their requirements are met and that their voices are heard, it entails interaction between a local council and its residents. Engagement in the community is crucial because it advances democracy and transparency, improves decision-making, and contributes to the development of accountability and confidence. This article describes the requirements for Sutton Council's community involvement in this context.</w:t>
      </w:r>
    </w:p>
    <w:p w14:paraId="3511EBA7"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Inclusive Engagement:</w:t>
      </w:r>
    </w:p>
    <w:p w14:paraId="0B8A24D6"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Sutton Council understands the value of including a broad spectrum of individuals in decision-making procedures. The council makes sure that all residents are included in its engagement efforts, regardless of their “</w:t>
      </w:r>
      <w:r>
        <w:rPr>
          <w:rFonts w:ascii="Times New Roman" w:eastAsia="Times New Roman" w:hAnsi="Times New Roman" w:cs="Times New Roman"/>
          <w:b/>
          <w:i/>
          <w:sz w:val="24"/>
          <w:szCs w:val="24"/>
        </w:rPr>
        <w:t>age, ethnicity, gender, religion, or ability</w:t>
      </w:r>
      <w:r>
        <w:rPr>
          <w:rFonts w:ascii="Times New Roman" w:eastAsia="Times New Roman" w:hAnsi="Times New Roman" w:cs="Times New Roman"/>
          <w:sz w:val="24"/>
          <w:szCs w:val="24"/>
        </w:rPr>
        <w:t>”. The council interacts with its citizens using a variety of techniques, “</w:t>
      </w:r>
      <w:r>
        <w:rPr>
          <w:rFonts w:ascii="Times New Roman" w:eastAsia="Times New Roman" w:hAnsi="Times New Roman" w:cs="Times New Roman"/>
          <w:b/>
          <w:i/>
          <w:sz w:val="24"/>
          <w:szCs w:val="24"/>
        </w:rPr>
        <w:t xml:space="preserve">including public meetings, surveys, social media, and forums” </w:t>
      </w:r>
      <w:r>
        <w:rPr>
          <w:rFonts w:ascii="Times New Roman" w:eastAsia="Times New Roman" w:hAnsi="Times New Roman" w:cs="Times New Roman"/>
          <w:sz w:val="24"/>
          <w:szCs w:val="24"/>
        </w:rPr>
        <w:t>(Shb, 2020)</w:t>
      </w:r>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To ensure that everyone's opinion is heard, it also reaches out to difficult-to-reach groups like the elderly, the disabled, and people who speak different languages.</w:t>
      </w:r>
    </w:p>
    <w:p w14:paraId="4DB3DDF0"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Timely Engagement:</w:t>
      </w:r>
    </w:p>
    <w:p w14:paraId="085622DF"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Sutton Council understands the value of including a broad spectrum of individuals in decision-making procedures. The council makes sure that all residents are included in its engagement efforts, regardless of their “</w:t>
      </w:r>
      <w:r>
        <w:rPr>
          <w:rFonts w:ascii="Times New Roman" w:eastAsia="Times New Roman" w:hAnsi="Times New Roman" w:cs="Times New Roman"/>
          <w:b/>
          <w:i/>
          <w:sz w:val="24"/>
          <w:szCs w:val="24"/>
        </w:rPr>
        <w:t>age, ethnicity, gender, religion, or ability”</w:t>
      </w:r>
      <w:r>
        <w:rPr>
          <w:rFonts w:ascii="Times New Roman" w:eastAsia="Times New Roman" w:hAnsi="Times New Roman" w:cs="Times New Roman"/>
          <w:sz w:val="24"/>
          <w:szCs w:val="24"/>
        </w:rPr>
        <w:t>. The council interacts with its citizens using a variety of techniques, including “</w:t>
      </w:r>
      <w:r>
        <w:rPr>
          <w:rFonts w:ascii="Times New Roman" w:eastAsia="Times New Roman" w:hAnsi="Times New Roman" w:cs="Times New Roman"/>
          <w:b/>
          <w:i/>
          <w:sz w:val="24"/>
          <w:szCs w:val="24"/>
        </w:rPr>
        <w:t>public meetings, surveys, social media, and forums</w:t>
      </w:r>
      <w:r>
        <w:rPr>
          <w:rFonts w:ascii="Times New Roman" w:eastAsia="Times New Roman" w:hAnsi="Times New Roman" w:cs="Times New Roman"/>
          <w:sz w:val="24"/>
          <w:szCs w:val="24"/>
        </w:rPr>
        <w:t>”. To ensure that everyone's opinion is heard, it also reaches out to difficult-to-reach groups like the elderly, the disabled, and people who speak different languages.</w:t>
      </w:r>
    </w:p>
    <w:p w14:paraId="6B8480F4"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Transparency:</w:t>
      </w:r>
    </w:p>
    <w:p w14:paraId="5553F678"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key component of community involvement is transparency. The Sutton Council makes sure that locals have access to the data they require to comprehend and take part in decision-making processes. The council makes sure that all of its outreach efforts are transparent and easy to comprehend, and that residents have access to all pertinent reports and documents. With residents, this openness promotes accountability and confidence.</w:t>
      </w:r>
    </w:p>
    <w:p w14:paraId="11232DBE"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Collaboration:</w:t>
      </w:r>
    </w:p>
    <w:p w14:paraId="0D9E84D4"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key component of community involvement is transparency. The Sutton Council makes sure that locals have access to the data they require to comprehend and take part in decision-making processes (Shb, 2020). The council makes sure that all of its outreach efforts are </w:t>
      </w:r>
      <w:r>
        <w:rPr>
          <w:rFonts w:ascii="Times New Roman" w:eastAsia="Times New Roman" w:hAnsi="Times New Roman" w:cs="Times New Roman"/>
          <w:sz w:val="24"/>
          <w:szCs w:val="24"/>
        </w:rPr>
        <w:lastRenderedPageBreak/>
        <w:t>transparent and easy to comprehend, and that residents have access to all pertinent reports and documents. With residents, this openness promotes accountability and confidence.</w:t>
      </w:r>
    </w:p>
    <w:p w14:paraId="155A7257"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Responsive Engagement:</w:t>
      </w:r>
    </w:p>
    <w:p w14:paraId="49E1255C"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Sutton Council understands the value of listening to citizens' concerns. The government makes sure to give prompt attention to residents' worries and inquiries. In addition, it gives feedback on how residents' input has been taken into account during decision-making processes. Residents benefit from feeling that the government values and values them.</w:t>
      </w:r>
    </w:p>
    <w:p w14:paraId="5D630546"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3ACE39E1"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sure that community engagement initiatives are successful, evaluation is crucial. Sutton Council evaluates its engagement initiatives on a frequent basis to pinpoint strengths and weaknesses and make adjustments (Shb, 2020). The council asks locals for comments on its engagement initiatives and uses this input to make adjustments and improvements. This assessment enables the council to make sure that its engagement initiatives are pertinent, efficient, and attentive to the requirements of the community.</w:t>
      </w:r>
    </w:p>
    <w:p w14:paraId="148F325A" w14:textId="77777777" w:rsidR="000D414C" w:rsidRDefault="00000000" w:rsidP="007409F0">
      <w:pPr>
        <w:pStyle w:val="Heading2"/>
      </w:pPr>
      <w:bookmarkStart w:id="5" w:name="_Toc129627399"/>
      <w:r>
        <w:t>"Strategies currently being adopted in the council"</w:t>
      </w:r>
      <w:bookmarkEnd w:id="5"/>
    </w:p>
    <w:p w14:paraId="548B505B"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strategies have been adopted by the Sutton Council with the sole objective to engage with their stakeholders and residents. It is done so that it ensures that their opinions are used in one such manner which shapes Sutton's services. It has mainly underpinned its strategies by involving all of the community by engaging with them by levying the best and most transparent means of communication that reflects its local priorities and requirements. The four integral elements of the strategy that the Sutton Council employs are communicating, consulting, deciding and acting together so that it forms one of the best means of engagement toolkit. Their strategy has also put equal concentration on valuing the ideals of diversity and inclusivity. Drawn upon this premise, it can be mentioned that this council has taken deliberate actions in prioritising the needs of all of the people belonging to their diverse community by developing and implementing their council policies in such a manner. For information provision, it has been seen that it has been adopting a "socially inclusive approach" of provisioning information and consulting with their designated groups on vital grounds such as in service design, policies of development and delivery. Diversity and inclusivity is one such element that has been strategised coherently by this council and one such example will be discussed in the next point. The Sutton Council has emerged as the entity that supports diversity and so it has tailored its engagement activities as per the diversity rates that have evolved in their borough. They have even affirmed that they had worked with forums, community and interest groups and taken out manifolds of such cases </w:t>
      </w:r>
      <w:r>
        <w:rPr>
          <w:rFonts w:ascii="Times New Roman" w:eastAsia="Times New Roman" w:hAnsi="Times New Roman" w:cs="Times New Roman"/>
          <w:sz w:val="24"/>
          <w:szCs w:val="24"/>
        </w:rPr>
        <w:lastRenderedPageBreak/>
        <w:t xml:space="preserve">where few residents "have not been able to voice their opinions using the traditional consultation methods". </w:t>
      </w:r>
    </w:p>
    <w:p w14:paraId="7F968C98"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such instance of their approach is the policy of </w:t>
      </w:r>
      <w:r>
        <w:rPr>
          <w:rFonts w:ascii="Times New Roman" w:eastAsia="Times New Roman" w:hAnsi="Times New Roman" w:cs="Times New Roman"/>
          <w:b/>
          <w:i/>
          <w:sz w:val="24"/>
          <w:szCs w:val="24"/>
        </w:rPr>
        <w:t xml:space="preserve">"Translation and Interpretation" </w:t>
      </w:r>
      <w:r>
        <w:rPr>
          <w:rFonts w:ascii="Times New Roman" w:eastAsia="Times New Roman" w:hAnsi="Times New Roman" w:cs="Times New Roman"/>
          <w:sz w:val="24"/>
          <w:szCs w:val="24"/>
        </w:rPr>
        <w:t xml:space="preserve">which has highlighted their strategy towards policing information to people of diverse backgrounds by the format or language that suits their communication criteria (Sutton Council, 2023). On the other hand, the council has always used consultation and engagement processes whenever there are some opportunities for influencing people to take effective services and decisions. Furthermore, the Sutton Council has ensured in complying with all the standards of "having 12 weeks of consultation" in their statutory requirements applicable for planning. It also engages with its representative groups or key stakeholders in advance during any consultation and engagement activities so that they can help provide prior warning and also seek views regarding the "most suitable means of publicity". Ensuring confidentiality issues that regard the </w:t>
      </w:r>
      <w:r>
        <w:rPr>
          <w:rFonts w:ascii="Times New Roman" w:eastAsia="Times New Roman" w:hAnsi="Times New Roman" w:cs="Times New Roman"/>
          <w:b/>
          <w:i/>
          <w:sz w:val="24"/>
          <w:szCs w:val="24"/>
        </w:rPr>
        <w:t>"Freedom of Information Act"</w:t>
      </w:r>
      <w:r>
        <w:rPr>
          <w:rFonts w:ascii="Times New Roman" w:eastAsia="Times New Roman" w:hAnsi="Times New Roman" w:cs="Times New Roman"/>
          <w:sz w:val="24"/>
          <w:szCs w:val="24"/>
        </w:rPr>
        <w:t xml:space="preserve"> also ensures that the participants have the right to freely participate, without coercion. Their dignity is maintained under all circumstances by this council. Additionally, its </w:t>
      </w:r>
      <w:r>
        <w:rPr>
          <w:rFonts w:ascii="Times New Roman" w:eastAsia="Times New Roman" w:hAnsi="Times New Roman" w:cs="Times New Roman"/>
          <w:b/>
          <w:i/>
          <w:sz w:val="24"/>
          <w:szCs w:val="24"/>
        </w:rPr>
        <w:t>"Sutton Housing Partnership"</w:t>
      </w:r>
      <w:r>
        <w:rPr>
          <w:rFonts w:ascii="Times New Roman" w:eastAsia="Times New Roman" w:hAnsi="Times New Roman" w:cs="Times New Roman"/>
          <w:sz w:val="24"/>
          <w:szCs w:val="24"/>
        </w:rPr>
        <w:t xml:space="preserve"> carries out all consultation exercises with its council leaseholders and tenants so that a better understanding is developed of housing service. It also has its </w:t>
      </w:r>
      <w:r>
        <w:rPr>
          <w:rFonts w:ascii="Times New Roman" w:eastAsia="Times New Roman" w:hAnsi="Times New Roman" w:cs="Times New Roman"/>
          <w:b/>
          <w:i/>
          <w:sz w:val="24"/>
          <w:szCs w:val="24"/>
        </w:rPr>
        <w:t>"Safer Sutton Partnership Service"</w:t>
      </w:r>
      <w:r>
        <w:rPr>
          <w:rFonts w:ascii="Times New Roman" w:eastAsia="Times New Roman" w:hAnsi="Times New Roman" w:cs="Times New Roman"/>
          <w:sz w:val="24"/>
          <w:szCs w:val="24"/>
        </w:rPr>
        <w:t xml:space="preserve"> which is a collaboration between the "Metropolitan Police Service" and "The London Borough of Sutton" that has been formed with the intention to bring the staff of the local authority and police into one structure (Sutton Council, 2023). It helps in listening to the issues that the community has and taking active actions in cases regarding graffiti, vandalism or noisy neighbourhoods.</w:t>
      </w:r>
    </w:p>
    <w:p w14:paraId="4D9CA5BE" w14:textId="77777777" w:rsidR="000D414C" w:rsidRDefault="00000000" w:rsidP="000D414C">
      <w:pPr>
        <w:pStyle w:val="Heading1"/>
      </w:pPr>
      <w:bookmarkStart w:id="6" w:name="_gj0ney1zruax" w:colFirst="0" w:colLast="0"/>
      <w:bookmarkStart w:id="7" w:name="_Toc129627400"/>
      <w:bookmarkEnd w:id="6"/>
      <w:r>
        <w:t>Conclusion and recommendations</w:t>
      </w:r>
      <w:bookmarkEnd w:id="7"/>
    </w:p>
    <w:p w14:paraId="0D8F540D"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can be concluded that the community engagement practices at the Sutton Council are of very great significance. Their community engagement network plays a pivotal role in ensuring the opinions of the residents are heard and integral to their partnership. It is this network of this council that brings the views of the community of Sutton and "voluntary groups" together and provides a route to let the people have equal say in their decisions and plans undertaken. </w:t>
      </w:r>
    </w:p>
    <w:p w14:paraId="4E982B06" w14:textId="77777777" w:rsidR="000D414C" w:rsidRDefault="00000000" w:rsidP="000D414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 forward looking plan in their community  engagement" </w:t>
      </w:r>
    </w:p>
    <w:p w14:paraId="3EB756C7" w14:textId="77777777" w:rsidR="000D414C" w:rsidRDefault="00000000" w:rsidP="000D41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recommendations that can be suggested to the Sutton Council is that it must implement diverse youth programmes that can make them achieve "serving at the community level". The focus has to be placed on organising a plethora of activities, be it dance or music, </w:t>
      </w:r>
      <w:r>
        <w:rPr>
          <w:rFonts w:ascii="Times New Roman" w:eastAsia="Times New Roman" w:hAnsi="Times New Roman" w:cs="Times New Roman"/>
          <w:sz w:val="24"/>
          <w:szCs w:val="24"/>
        </w:rPr>
        <w:lastRenderedPageBreak/>
        <w:t>recreation or sports, academic enrichment and other workforce preparation programs. This would be of huge interest for the youth of the nation to participate actively in the programmes, even if at the grassroots level. Thus, this would help the council to meet the needs of the youths as a wide array of opportunities can help the diverse youth to engage in active participation and collaboration. One of the appropriate consultation methods that can be invigorated by them is to focus more on organising public exhibitions or roadshows. The initiation of colourful pictures can be highly used for conveying relevant information regarding their purpose to the audiences as that would help them gather a huge pool of people's attention.</w:t>
      </w:r>
    </w:p>
    <w:p w14:paraId="1A88E2B7" w14:textId="77777777" w:rsidR="000D414C" w:rsidRDefault="00000000" w:rsidP="000D414C">
      <w:pPr>
        <w:spacing w:line="360" w:lineRule="auto"/>
        <w:jc w:val="both"/>
        <w:rPr>
          <w:rFonts w:ascii="Times New Roman" w:eastAsia="Times New Roman" w:hAnsi="Times New Roman" w:cs="Times New Roman"/>
          <w:b/>
          <w:sz w:val="28"/>
          <w:szCs w:val="28"/>
        </w:rPr>
      </w:pPr>
      <w:r>
        <w:br w:type="page"/>
      </w:r>
    </w:p>
    <w:p w14:paraId="106E58D4" w14:textId="77777777" w:rsidR="000D414C" w:rsidRDefault="00000000" w:rsidP="000D414C">
      <w:pPr>
        <w:pStyle w:val="Heading1"/>
      </w:pPr>
      <w:bookmarkStart w:id="8" w:name="_4dlxzwntcyac" w:colFirst="0" w:colLast="0"/>
      <w:bookmarkStart w:id="9" w:name="_Toc129627401"/>
      <w:bookmarkEnd w:id="8"/>
      <w:r>
        <w:lastRenderedPageBreak/>
        <w:t>References</w:t>
      </w:r>
      <w:bookmarkEnd w:id="9"/>
    </w:p>
    <w:p w14:paraId="74528864" w14:textId="77777777" w:rsidR="000D414C" w:rsidRDefault="00000000" w:rsidP="000D414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2022. </w:t>
      </w:r>
      <w:r>
        <w:rPr>
          <w:rFonts w:ascii="Times New Roman" w:eastAsia="Times New Roman" w:hAnsi="Times New Roman" w:cs="Times New Roman"/>
          <w:i/>
          <w:sz w:val="24"/>
          <w:szCs w:val="24"/>
        </w:rPr>
        <w:t>Principles of Community Engagement</w:t>
      </w:r>
      <w:r>
        <w:rPr>
          <w:rFonts w:ascii="Times New Roman" w:eastAsia="Times New Roman" w:hAnsi="Times New Roman" w:cs="Times New Roman"/>
          <w:sz w:val="24"/>
          <w:szCs w:val="24"/>
        </w:rPr>
        <w:t>. Available at: https://community.mcmaster.ca/about/strategic-priorities/#:~:text=Action%2Doriented%20principles%20of%20community,learning%2C%20and%20commitment%20to%20act. (Assessed: March 12, 2023)</w:t>
      </w:r>
    </w:p>
    <w:p w14:paraId="1D475A31" w14:textId="77777777" w:rsidR="000D414C" w:rsidRDefault="00000000" w:rsidP="000D414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Shb, 2020. </w:t>
      </w:r>
      <w:r>
        <w:rPr>
          <w:rFonts w:ascii="Times New Roman" w:eastAsia="Times New Roman" w:hAnsi="Times New Roman" w:cs="Times New Roman"/>
          <w:i/>
          <w:sz w:val="24"/>
          <w:szCs w:val="24"/>
        </w:rPr>
        <w:t>Community Engagement Standards.</w:t>
      </w:r>
      <w:r>
        <w:rPr>
          <w:rFonts w:ascii="Times New Roman" w:eastAsia="Times New Roman" w:hAnsi="Times New Roman" w:cs="Times New Roman"/>
          <w:sz w:val="24"/>
          <w:szCs w:val="24"/>
        </w:rPr>
        <w:t xml:space="preserve"> Available at: https://www.shb.scot.nhs.uk/board/pfpi/documents/pfpi-ce-standards.pdf (Assessed: March 12, 2023)</w:t>
      </w:r>
    </w:p>
    <w:p w14:paraId="555BD900" w14:textId="77777777" w:rsidR="000D414C" w:rsidRDefault="00000000" w:rsidP="000D414C">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Sutton Council, 2023. </w:t>
      </w:r>
      <w:r>
        <w:rPr>
          <w:rFonts w:ascii="Times New Roman" w:eastAsia="Times New Roman" w:hAnsi="Times New Roman" w:cs="Times New Roman"/>
          <w:i/>
          <w:sz w:val="24"/>
          <w:szCs w:val="24"/>
        </w:rPr>
        <w:t>Community Engagement Strategy and Principles</w:t>
      </w:r>
      <w:r>
        <w:rPr>
          <w:rFonts w:ascii="Times New Roman" w:eastAsia="Times New Roman" w:hAnsi="Times New Roman" w:cs="Times New Roman"/>
          <w:sz w:val="24"/>
          <w:szCs w:val="24"/>
        </w:rPr>
        <w:t>. Available at: https://moderngov.sutton.gov.uk/documents/s6307/engagement%20strategy%20consultation%20final%20draft.pdf. (Accessed: March 10, 2023).</w:t>
      </w:r>
    </w:p>
    <w:p w14:paraId="3B64B1F7" w14:textId="6A2CC1AE" w:rsidR="000D414C" w:rsidRPr="000D414C" w:rsidRDefault="000D414C" w:rsidP="000D414C"/>
    <w:sectPr w:rsidR="000D414C" w:rsidRPr="000D414C" w:rsidSect="00817765">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E9EC6" w14:textId="77777777" w:rsidR="00F276D3" w:rsidRDefault="00F276D3">
      <w:pPr>
        <w:spacing w:line="240" w:lineRule="auto"/>
      </w:pPr>
      <w:r>
        <w:separator/>
      </w:r>
    </w:p>
  </w:endnote>
  <w:endnote w:type="continuationSeparator" w:id="0">
    <w:p w14:paraId="25FEE1A3" w14:textId="77777777" w:rsidR="00F276D3" w:rsidRDefault="00F276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1847348"/>
      <w:docPartObj>
        <w:docPartGallery w:val="Page Numbers (Bottom of Page)"/>
        <w:docPartUnique/>
      </w:docPartObj>
    </w:sdtPr>
    <w:sdtEndPr>
      <w:rPr>
        <w:rFonts w:ascii="Times New Roman" w:hAnsi="Times New Roman" w:cs="Times New Roman"/>
        <w:noProof/>
        <w:sz w:val="20"/>
        <w:szCs w:val="20"/>
      </w:rPr>
    </w:sdtEndPr>
    <w:sdtContent>
      <w:p w14:paraId="3516507C" w14:textId="213D4035" w:rsidR="00023A63" w:rsidRPr="00023A63" w:rsidRDefault="00000000">
        <w:pPr>
          <w:pStyle w:val="Footer"/>
          <w:jc w:val="right"/>
          <w:rPr>
            <w:rFonts w:ascii="Times New Roman" w:hAnsi="Times New Roman" w:cs="Times New Roman"/>
            <w:sz w:val="20"/>
            <w:szCs w:val="20"/>
          </w:rPr>
        </w:pPr>
        <w:r w:rsidRPr="00023A63">
          <w:rPr>
            <w:rFonts w:ascii="Times New Roman" w:hAnsi="Times New Roman" w:cs="Times New Roman"/>
            <w:sz w:val="20"/>
            <w:szCs w:val="20"/>
          </w:rPr>
          <w:fldChar w:fldCharType="begin"/>
        </w:r>
        <w:r w:rsidRPr="00023A63">
          <w:rPr>
            <w:rFonts w:ascii="Times New Roman" w:hAnsi="Times New Roman" w:cs="Times New Roman"/>
            <w:sz w:val="20"/>
            <w:szCs w:val="20"/>
          </w:rPr>
          <w:instrText xml:space="preserve"> PAGE   \* MERGEFORMAT </w:instrText>
        </w:r>
        <w:r w:rsidRPr="00023A63">
          <w:rPr>
            <w:rFonts w:ascii="Times New Roman" w:hAnsi="Times New Roman" w:cs="Times New Roman"/>
            <w:sz w:val="20"/>
            <w:szCs w:val="20"/>
          </w:rPr>
          <w:fldChar w:fldCharType="separate"/>
        </w:r>
        <w:r w:rsidRPr="00023A63">
          <w:rPr>
            <w:rFonts w:ascii="Times New Roman" w:hAnsi="Times New Roman" w:cs="Times New Roman"/>
            <w:noProof/>
            <w:sz w:val="20"/>
            <w:szCs w:val="20"/>
          </w:rPr>
          <w:t>2</w:t>
        </w:r>
        <w:r w:rsidRPr="00023A63">
          <w:rPr>
            <w:rFonts w:ascii="Times New Roman" w:hAnsi="Times New Roman" w:cs="Times New Roman"/>
            <w:noProof/>
            <w:sz w:val="20"/>
            <w:szCs w:val="20"/>
          </w:rPr>
          <w:fldChar w:fldCharType="end"/>
        </w:r>
      </w:p>
    </w:sdtContent>
  </w:sdt>
  <w:p w14:paraId="208E1255" w14:textId="77777777" w:rsidR="00023A63" w:rsidRDefault="00023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0A1A3" w14:textId="77777777" w:rsidR="00F276D3" w:rsidRDefault="00F276D3">
      <w:pPr>
        <w:spacing w:line="240" w:lineRule="auto"/>
      </w:pPr>
      <w:r>
        <w:separator/>
      </w:r>
    </w:p>
  </w:footnote>
  <w:footnote w:type="continuationSeparator" w:id="0">
    <w:p w14:paraId="7DC40B19" w14:textId="77777777" w:rsidR="00F276D3" w:rsidRDefault="00F276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C538F"/>
    <w:multiLevelType w:val="hybridMultilevel"/>
    <w:tmpl w:val="998296C6"/>
    <w:lvl w:ilvl="0" w:tplc="C646E860">
      <w:start w:val="1"/>
      <w:numFmt w:val="bullet"/>
      <w:lvlText w:val=""/>
      <w:lvlJc w:val="left"/>
      <w:pPr>
        <w:ind w:left="720" w:hanging="360"/>
      </w:pPr>
      <w:rPr>
        <w:rFonts w:ascii="Symbol" w:hAnsi="Symbol" w:hint="default"/>
      </w:rPr>
    </w:lvl>
    <w:lvl w:ilvl="1" w:tplc="598E2EBC" w:tentative="1">
      <w:start w:val="1"/>
      <w:numFmt w:val="bullet"/>
      <w:lvlText w:val="o"/>
      <w:lvlJc w:val="left"/>
      <w:pPr>
        <w:ind w:left="1440" w:hanging="360"/>
      </w:pPr>
      <w:rPr>
        <w:rFonts w:ascii="Courier New" w:hAnsi="Courier New" w:cs="Courier New" w:hint="default"/>
      </w:rPr>
    </w:lvl>
    <w:lvl w:ilvl="2" w:tplc="2DF0BC18" w:tentative="1">
      <w:start w:val="1"/>
      <w:numFmt w:val="bullet"/>
      <w:lvlText w:val=""/>
      <w:lvlJc w:val="left"/>
      <w:pPr>
        <w:ind w:left="2160" w:hanging="360"/>
      </w:pPr>
      <w:rPr>
        <w:rFonts w:ascii="Wingdings" w:hAnsi="Wingdings" w:hint="default"/>
      </w:rPr>
    </w:lvl>
    <w:lvl w:ilvl="3" w:tplc="9DE008DC" w:tentative="1">
      <w:start w:val="1"/>
      <w:numFmt w:val="bullet"/>
      <w:lvlText w:val=""/>
      <w:lvlJc w:val="left"/>
      <w:pPr>
        <w:ind w:left="2880" w:hanging="360"/>
      </w:pPr>
      <w:rPr>
        <w:rFonts w:ascii="Symbol" w:hAnsi="Symbol" w:hint="default"/>
      </w:rPr>
    </w:lvl>
    <w:lvl w:ilvl="4" w:tplc="348EBB46" w:tentative="1">
      <w:start w:val="1"/>
      <w:numFmt w:val="bullet"/>
      <w:lvlText w:val="o"/>
      <w:lvlJc w:val="left"/>
      <w:pPr>
        <w:ind w:left="3600" w:hanging="360"/>
      </w:pPr>
      <w:rPr>
        <w:rFonts w:ascii="Courier New" w:hAnsi="Courier New" w:cs="Courier New" w:hint="default"/>
      </w:rPr>
    </w:lvl>
    <w:lvl w:ilvl="5" w:tplc="DE9491F0" w:tentative="1">
      <w:start w:val="1"/>
      <w:numFmt w:val="bullet"/>
      <w:lvlText w:val=""/>
      <w:lvlJc w:val="left"/>
      <w:pPr>
        <w:ind w:left="4320" w:hanging="360"/>
      </w:pPr>
      <w:rPr>
        <w:rFonts w:ascii="Wingdings" w:hAnsi="Wingdings" w:hint="default"/>
      </w:rPr>
    </w:lvl>
    <w:lvl w:ilvl="6" w:tplc="0E36B316" w:tentative="1">
      <w:start w:val="1"/>
      <w:numFmt w:val="bullet"/>
      <w:lvlText w:val=""/>
      <w:lvlJc w:val="left"/>
      <w:pPr>
        <w:ind w:left="5040" w:hanging="360"/>
      </w:pPr>
      <w:rPr>
        <w:rFonts w:ascii="Symbol" w:hAnsi="Symbol" w:hint="default"/>
      </w:rPr>
    </w:lvl>
    <w:lvl w:ilvl="7" w:tplc="04CC7B02" w:tentative="1">
      <w:start w:val="1"/>
      <w:numFmt w:val="bullet"/>
      <w:lvlText w:val="o"/>
      <w:lvlJc w:val="left"/>
      <w:pPr>
        <w:ind w:left="5760" w:hanging="360"/>
      </w:pPr>
      <w:rPr>
        <w:rFonts w:ascii="Courier New" w:hAnsi="Courier New" w:cs="Courier New" w:hint="default"/>
      </w:rPr>
    </w:lvl>
    <w:lvl w:ilvl="8" w:tplc="94D06F5E" w:tentative="1">
      <w:start w:val="1"/>
      <w:numFmt w:val="bullet"/>
      <w:lvlText w:val=""/>
      <w:lvlJc w:val="left"/>
      <w:pPr>
        <w:ind w:left="6480" w:hanging="360"/>
      </w:pPr>
      <w:rPr>
        <w:rFonts w:ascii="Wingdings" w:hAnsi="Wingdings" w:hint="default"/>
      </w:rPr>
    </w:lvl>
  </w:abstractNum>
  <w:abstractNum w:abstractNumId="1" w15:restartNumberingAfterBreak="0">
    <w:nsid w:val="05D85E91"/>
    <w:multiLevelType w:val="multilevel"/>
    <w:tmpl w:val="4C0E438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A041D9"/>
    <w:multiLevelType w:val="hybridMultilevel"/>
    <w:tmpl w:val="E4BA75CC"/>
    <w:lvl w:ilvl="0" w:tplc="64DE044E">
      <w:start w:val="1"/>
      <w:numFmt w:val="bullet"/>
      <w:lvlText w:val=""/>
      <w:lvlJc w:val="left"/>
      <w:pPr>
        <w:ind w:left="720" w:hanging="360"/>
      </w:pPr>
      <w:rPr>
        <w:rFonts w:ascii="Symbol" w:hAnsi="Symbol" w:hint="default"/>
      </w:rPr>
    </w:lvl>
    <w:lvl w:ilvl="1" w:tplc="8CC876BA" w:tentative="1">
      <w:start w:val="1"/>
      <w:numFmt w:val="lowerLetter"/>
      <w:lvlText w:val="%2."/>
      <w:lvlJc w:val="left"/>
      <w:pPr>
        <w:ind w:left="1440" w:hanging="360"/>
      </w:pPr>
    </w:lvl>
    <w:lvl w:ilvl="2" w:tplc="2340BE0C" w:tentative="1">
      <w:start w:val="1"/>
      <w:numFmt w:val="lowerRoman"/>
      <w:lvlText w:val="%3."/>
      <w:lvlJc w:val="right"/>
      <w:pPr>
        <w:ind w:left="2160" w:hanging="180"/>
      </w:pPr>
    </w:lvl>
    <w:lvl w:ilvl="3" w:tplc="5F080DC2" w:tentative="1">
      <w:start w:val="1"/>
      <w:numFmt w:val="decimal"/>
      <w:lvlText w:val="%4."/>
      <w:lvlJc w:val="left"/>
      <w:pPr>
        <w:ind w:left="2880" w:hanging="360"/>
      </w:pPr>
    </w:lvl>
    <w:lvl w:ilvl="4" w:tplc="4C56E5C6" w:tentative="1">
      <w:start w:val="1"/>
      <w:numFmt w:val="lowerLetter"/>
      <w:lvlText w:val="%5."/>
      <w:lvlJc w:val="left"/>
      <w:pPr>
        <w:ind w:left="3600" w:hanging="360"/>
      </w:pPr>
    </w:lvl>
    <w:lvl w:ilvl="5" w:tplc="675A6C20" w:tentative="1">
      <w:start w:val="1"/>
      <w:numFmt w:val="lowerRoman"/>
      <w:lvlText w:val="%6."/>
      <w:lvlJc w:val="right"/>
      <w:pPr>
        <w:ind w:left="4320" w:hanging="180"/>
      </w:pPr>
    </w:lvl>
    <w:lvl w:ilvl="6" w:tplc="688EAAF8" w:tentative="1">
      <w:start w:val="1"/>
      <w:numFmt w:val="decimal"/>
      <w:lvlText w:val="%7."/>
      <w:lvlJc w:val="left"/>
      <w:pPr>
        <w:ind w:left="5040" w:hanging="360"/>
      </w:pPr>
    </w:lvl>
    <w:lvl w:ilvl="7" w:tplc="9956182A" w:tentative="1">
      <w:start w:val="1"/>
      <w:numFmt w:val="lowerLetter"/>
      <w:lvlText w:val="%8."/>
      <w:lvlJc w:val="left"/>
      <w:pPr>
        <w:ind w:left="5760" w:hanging="360"/>
      </w:pPr>
    </w:lvl>
    <w:lvl w:ilvl="8" w:tplc="6D6E8B1C" w:tentative="1">
      <w:start w:val="1"/>
      <w:numFmt w:val="lowerRoman"/>
      <w:lvlText w:val="%9."/>
      <w:lvlJc w:val="right"/>
      <w:pPr>
        <w:ind w:left="6480" w:hanging="180"/>
      </w:pPr>
    </w:lvl>
  </w:abstractNum>
  <w:abstractNum w:abstractNumId="3" w15:restartNumberingAfterBreak="0">
    <w:nsid w:val="57564A79"/>
    <w:multiLevelType w:val="hybridMultilevel"/>
    <w:tmpl w:val="85D4BC9A"/>
    <w:lvl w:ilvl="0" w:tplc="5BD8C99E">
      <w:start w:val="1"/>
      <w:numFmt w:val="decimal"/>
      <w:lvlText w:val="%1."/>
      <w:lvlJc w:val="left"/>
      <w:pPr>
        <w:ind w:left="720" w:hanging="360"/>
      </w:pPr>
    </w:lvl>
    <w:lvl w:ilvl="1" w:tplc="4B766088" w:tentative="1">
      <w:start w:val="1"/>
      <w:numFmt w:val="lowerLetter"/>
      <w:lvlText w:val="%2."/>
      <w:lvlJc w:val="left"/>
      <w:pPr>
        <w:ind w:left="1440" w:hanging="360"/>
      </w:pPr>
    </w:lvl>
    <w:lvl w:ilvl="2" w:tplc="ACA6F26C" w:tentative="1">
      <w:start w:val="1"/>
      <w:numFmt w:val="lowerRoman"/>
      <w:lvlText w:val="%3."/>
      <w:lvlJc w:val="right"/>
      <w:pPr>
        <w:ind w:left="2160" w:hanging="180"/>
      </w:pPr>
    </w:lvl>
    <w:lvl w:ilvl="3" w:tplc="CAACA03E" w:tentative="1">
      <w:start w:val="1"/>
      <w:numFmt w:val="decimal"/>
      <w:lvlText w:val="%4."/>
      <w:lvlJc w:val="left"/>
      <w:pPr>
        <w:ind w:left="2880" w:hanging="360"/>
      </w:pPr>
    </w:lvl>
    <w:lvl w:ilvl="4" w:tplc="EB4A2BFC" w:tentative="1">
      <w:start w:val="1"/>
      <w:numFmt w:val="lowerLetter"/>
      <w:lvlText w:val="%5."/>
      <w:lvlJc w:val="left"/>
      <w:pPr>
        <w:ind w:left="3600" w:hanging="360"/>
      </w:pPr>
    </w:lvl>
    <w:lvl w:ilvl="5" w:tplc="E6FACC32" w:tentative="1">
      <w:start w:val="1"/>
      <w:numFmt w:val="lowerRoman"/>
      <w:lvlText w:val="%6."/>
      <w:lvlJc w:val="right"/>
      <w:pPr>
        <w:ind w:left="4320" w:hanging="180"/>
      </w:pPr>
    </w:lvl>
    <w:lvl w:ilvl="6" w:tplc="57BADB72" w:tentative="1">
      <w:start w:val="1"/>
      <w:numFmt w:val="decimal"/>
      <w:lvlText w:val="%7."/>
      <w:lvlJc w:val="left"/>
      <w:pPr>
        <w:ind w:left="5040" w:hanging="360"/>
      </w:pPr>
    </w:lvl>
    <w:lvl w:ilvl="7" w:tplc="56A09DE8" w:tentative="1">
      <w:start w:val="1"/>
      <w:numFmt w:val="lowerLetter"/>
      <w:lvlText w:val="%8."/>
      <w:lvlJc w:val="left"/>
      <w:pPr>
        <w:ind w:left="5760" w:hanging="360"/>
      </w:pPr>
    </w:lvl>
    <w:lvl w:ilvl="8" w:tplc="59FCA80A" w:tentative="1">
      <w:start w:val="1"/>
      <w:numFmt w:val="lowerRoman"/>
      <w:lvlText w:val="%9."/>
      <w:lvlJc w:val="right"/>
      <w:pPr>
        <w:ind w:left="6480" w:hanging="180"/>
      </w:pPr>
    </w:lvl>
  </w:abstractNum>
  <w:abstractNum w:abstractNumId="4" w15:restartNumberingAfterBreak="0">
    <w:nsid w:val="6AEC40D7"/>
    <w:multiLevelType w:val="hybridMultilevel"/>
    <w:tmpl w:val="D48CAEAC"/>
    <w:lvl w:ilvl="0" w:tplc="1F543400">
      <w:start w:val="1"/>
      <w:numFmt w:val="bullet"/>
      <w:lvlText w:val=""/>
      <w:lvlJc w:val="left"/>
      <w:pPr>
        <w:ind w:left="720" w:hanging="360"/>
      </w:pPr>
      <w:rPr>
        <w:rFonts w:ascii="Symbol" w:hAnsi="Symbol" w:hint="default"/>
      </w:rPr>
    </w:lvl>
    <w:lvl w:ilvl="1" w:tplc="59BCF84E" w:tentative="1">
      <w:start w:val="1"/>
      <w:numFmt w:val="bullet"/>
      <w:lvlText w:val="o"/>
      <w:lvlJc w:val="left"/>
      <w:pPr>
        <w:ind w:left="1440" w:hanging="360"/>
      </w:pPr>
      <w:rPr>
        <w:rFonts w:ascii="Courier New" w:hAnsi="Courier New" w:cs="Courier New" w:hint="default"/>
      </w:rPr>
    </w:lvl>
    <w:lvl w:ilvl="2" w:tplc="7E9ED28E" w:tentative="1">
      <w:start w:val="1"/>
      <w:numFmt w:val="bullet"/>
      <w:lvlText w:val=""/>
      <w:lvlJc w:val="left"/>
      <w:pPr>
        <w:ind w:left="2160" w:hanging="360"/>
      </w:pPr>
      <w:rPr>
        <w:rFonts w:ascii="Wingdings" w:hAnsi="Wingdings" w:hint="default"/>
      </w:rPr>
    </w:lvl>
    <w:lvl w:ilvl="3" w:tplc="509494B4" w:tentative="1">
      <w:start w:val="1"/>
      <w:numFmt w:val="bullet"/>
      <w:lvlText w:val=""/>
      <w:lvlJc w:val="left"/>
      <w:pPr>
        <w:ind w:left="2880" w:hanging="360"/>
      </w:pPr>
      <w:rPr>
        <w:rFonts w:ascii="Symbol" w:hAnsi="Symbol" w:hint="default"/>
      </w:rPr>
    </w:lvl>
    <w:lvl w:ilvl="4" w:tplc="223A8A4A" w:tentative="1">
      <w:start w:val="1"/>
      <w:numFmt w:val="bullet"/>
      <w:lvlText w:val="o"/>
      <w:lvlJc w:val="left"/>
      <w:pPr>
        <w:ind w:left="3600" w:hanging="360"/>
      </w:pPr>
      <w:rPr>
        <w:rFonts w:ascii="Courier New" w:hAnsi="Courier New" w:cs="Courier New" w:hint="default"/>
      </w:rPr>
    </w:lvl>
    <w:lvl w:ilvl="5" w:tplc="DD6031B6" w:tentative="1">
      <w:start w:val="1"/>
      <w:numFmt w:val="bullet"/>
      <w:lvlText w:val=""/>
      <w:lvlJc w:val="left"/>
      <w:pPr>
        <w:ind w:left="4320" w:hanging="360"/>
      </w:pPr>
      <w:rPr>
        <w:rFonts w:ascii="Wingdings" w:hAnsi="Wingdings" w:hint="default"/>
      </w:rPr>
    </w:lvl>
    <w:lvl w:ilvl="6" w:tplc="79926D5A" w:tentative="1">
      <w:start w:val="1"/>
      <w:numFmt w:val="bullet"/>
      <w:lvlText w:val=""/>
      <w:lvlJc w:val="left"/>
      <w:pPr>
        <w:ind w:left="5040" w:hanging="360"/>
      </w:pPr>
      <w:rPr>
        <w:rFonts w:ascii="Symbol" w:hAnsi="Symbol" w:hint="default"/>
      </w:rPr>
    </w:lvl>
    <w:lvl w:ilvl="7" w:tplc="97D2C076" w:tentative="1">
      <w:start w:val="1"/>
      <w:numFmt w:val="bullet"/>
      <w:lvlText w:val="o"/>
      <w:lvlJc w:val="left"/>
      <w:pPr>
        <w:ind w:left="5760" w:hanging="360"/>
      </w:pPr>
      <w:rPr>
        <w:rFonts w:ascii="Courier New" w:hAnsi="Courier New" w:cs="Courier New" w:hint="default"/>
      </w:rPr>
    </w:lvl>
    <w:lvl w:ilvl="8" w:tplc="0212AA80" w:tentative="1">
      <w:start w:val="1"/>
      <w:numFmt w:val="bullet"/>
      <w:lvlText w:val=""/>
      <w:lvlJc w:val="left"/>
      <w:pPr>
        <w:ind w:left="6480" w:hanging="360"/>
      </w:pPr>
      <w:rPr>
        <w:rFonts w:ascii="Wingdings" w:hAnsi="Wingdings" w:hint="default"/>
      </w:rPr>
    </w:lvl>
  </w:abstractNum>
  <w:num w:numId="1" w16cid:durableId="835074668">
    <w:abstractNumId w:val="1"/>
  </w:num>
  <w:num w:numId="2" w16cid:durableId="2076470058">
    <w:abstractNumId w:val="0"/>
  </w:num>
  <w:num w:numId="3" w16cid:durableId="1204441229">
    <w:abstractNumId w:val="4"/>
  </w:num>
  <w:num w:numId="4" w16cid:durableId="522089288">
    <w:abstractNumId w:val="3"/>
  </w:num>
  <w:num w:numId="5" w16cid:durableId="1966806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6BC"/>
    <w:rsid w:val="00014224"/>
    <w:rsid w:val="00023A63"/>
    <w:rsid w:val="00033E8D"/>
    <w:rsid w:val="00036A2A"/>
    <w:rsid w:val="00053049"/>
    <w:rsid w:val="00053893"/>
    <w:rsid w:val="0005618B"/>
    <w:rsid w:val="00076813"/>
    <w:rsid w:val="000C2E7F"/>
    <w:rsid w:val="000D414C"/>
    <w:rsid w:val="000E5118"/>
    <w:rsid w:val="00133F89"/>
    <w:rsid w:val="00171B7A"/>
    <w:rsid w:val="00172DC4"/>
    <w:rsid w:val="001F2087"/>
    <w:rsid w:val="002315EC"/>
    <w:rsid w:val="00296E6B"/>
    <w:rsid w:val="002B0256"/>
    <w:rsid w:val="002C3465"/>
    <w:rsid w:val="002C7825"/>
    <w:rsid w:val="00306B73"/>
    <w:rsid w:val="0031743D"/>
    <w:rsid w:val="00340CFF"/>
    <w:rsid w:val="00341059"/>
    <w:rsid w:val="0035066B"/>
    <w:rsid w:val="0035414F"/>
    <w:rsid w:val="0038175B"/>
    <w:rsid w:val="003925F7"/>
    <w:rsid w:val="00392D83"/>
    <w:rsid w:val="003A4E02"/>
    <w:rsid w:val="003B268F"/>
    <w:rsid w:val="003B319F"/>
    <w:rsid w:val="003B6CF3"/>
    <w:rsid w:val="003D3982"/>
    <w:rsid w:val="003E6FA3"/>
    <w:rsid w:val="004069A5"/>
    <w:rsid w:val="004241FB"/>
    <w:rsid w:val="00440E9C"/>
    <w:rsid w:val="00443AAB"/>
    <w:rsid w:val="0045023D"/>
    <w:rsid w:val="00450FE1"/>
    <w:rsid w:val="004566AF"/>
    <w:rsid w:val="00477672"/>
    <w:rsid w:val="004B4E83"/>
    <w:rsid w:val="004C7413"/>
    <w:rsid w:val="004D09C2"/>
    <w:rsid w:val="004F3D77"/>
    <w:rsid w:val="00537189"/>
    <w:rsid w:val="00571325"/>
    <w:rsid w:val="005C1E56"/>
    <w:rsid w:val="005C7B0F"/>
    <w:rsid w:val="005D3848"/>
    <w:rsid w:val="0061215B"/>
    <w:rsid w:val="00620B71"/>
    <w:rsid w:val="0063650E"/>
    <w:rsid w:val="00674F55"/>
    <w:rsid w:val="0067531E"/>
    <w:rsid w:val="00675693"/>
    <w:rsid w:val="006A19FD"/>
    <w:rsid w:val="006C60DB"/>
    <w:rsid w:val="006E6828"/>
    <w:rsid w:val="00700F98"/>
    <w:rsid w:val="00710B95"/>
    <w:rsid w:val="00721B23"/>
    <w:rsid w:val="007256BC"/>
    <w:rsid w:val="007409F0"/>
    <w:rsid w:val="00746B6C"/>
    <w:rsid w:val="007661C1"/>
    <w:rsid w:val="007777E3"/>
    <w:rsid w:val="00777ADE"/>
    <w:rsid w:val="00786052"/>
    <w:rsid w:val="00793EF2"/>
    <w:rsid w:val="007A042E"/>
    <w:rsid w:val="007B7627"/>
    <w:rsid w:val="007C234B"/>
    <w:rsid w:val="007D1B8A"/>
    <w:rsid w:val="007D6B03"/>
    <w:rsid w:val="007E5904"/>
    <w:rsid w:val="007F6900"/>
    <w:rsid w:val="00805B01"/>
    <w:rsid w:val="00807B27"/>
    <w:rsid w:val="00817765"/>
    <w:rsid w:val="008211DD"/>
    <w:rsid w:val="00830A25"/>
    <w:rsid w:val="00832806"/>
    <w:rsid w:val="00844442"/>
    <w:rsid w:val="0085309E"/>
    <w:rsid w:val="00884B35"/>
    <w:rsid w:val="008B0BBB"/>
    <w:rsid w:val="008B0E36"/>
    <w:rsid w:val="008C11A4"/>
    <w:rsid w:val="008E271D"/>
    <w:rsid w:val="00932D70"/>
    <w:rsid w:val="00942392"/>
    <w:rsid w:val="00964208"/>
    <w:rsid w:val="00965D93"/>
    <w:rsid w:val="009A3FC5"/>
    <w:rsid w:val="009B0115"/>
    <w:rsid w:val="009C1186"/>
    <w:rsid w:val="009F1B06"/>
    <w:rsid w:val="009F5FBC"/>
    <w:rsid w:val="00A008C6"/>
    <w:rsid w:val="00A06903"/>
    <w:rsid w:val="00A06EA0"/>
    <w:rsid w:val="00A45CF8"/>
    <w:rsid w:val="00A5151C"/>
    <w:rsid w:val="00AF6CFF"/>
    <w:rsid w:val="00B005CF"/>
    <w:rsid w:val="00B2191C"/>
    <w:rsid w:val="00B85D0F"/>
    <w:rsid w:val="00B97B79"/>
    <w:rsid w:val="00BB76BB"/>
    <w:rsid w:val="00C0684E"/>
    <w:rsid w:val="00C33E56"/>
    <w:rsid w:val="00C4651D"/>
    <w:rsid w:val="00C505C0"/>
    <w:rsid w:val="00C55BB7"/>
    <w:rsid w:val="00C71A19"/>
    <w:rsid w:val="00C85FE5"/>
    <w:rsid w:val="00CA0036"/>
    <w:rsid w:val="00CF48EE"/>
    <w:rsid w:val="00D52D03"/>
    <w:rsid w:val="00D7547D"/>
    <w:rsid w:val="00D82AB2"/>
    <w:rsid w:val="00D93639"/>
    <w:rsid w:val="00DB51F5"/>
    <w:rsid w:val="00DC7FAF"/>
    <w:rsid w:val="00DF0BF3"/>
    <w:rsid w:val="00E21229"/>
    <w:rsid w:val="00E23CFE"/>
    <w:rsid w:val="00E321F2"/>
    <w:rsid w:val="00E35B7B"/>
    <w:rsid w:val="00E411E6"/>
    <w:rsid w:val="00E46E67"/>
    <w:rsid w:val="00EA1498"/>
    <w:rsid w:val="00EA21C7"/>
    <w:rsid w:val="00EA763C"/>
    <w:rsid w:val="00EB7D0C"/>
    <w:rsid w:val="00EC3272"/>
    <w:rsid w:val="00EC6C7F"/>
    <w:rsid w:val="00F164D8"/>
    <w:rsid w:val="00F276D3"/>
    <w:rsid w:val="00F42F58"/>
    <w:rsid w:val="00F5586F"/>
    <w:rsid w:val="00F735D1"/>
    <w:rsid w:val="00F82F31"/>
    <w:rsid w:val="00FE1B12"/>
    <w:rsid w:val="00FE42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C0AD8"/>
  <w15:chartTrackingRefBased/>
  <w15:docId w15:val="{56835968-E0CF-431A-A308-52B686411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14C"/>
    <w:pPr>
      <w:spacing w:after="0" w:line="276" w:lineRule="auto"/>
    </w:pPr>
    <w:rPr>
      <w:rFonts w:ascii="Arial" w:eastAsia="Arial" w:hAnsi="Arial" w:cs="Arial"/>
      <w:lang w:val="en-GB" w:eastAsia="en-IN"/>
    </w:rPr>
  </w:style>
  <w:style w:type="paragraph" w:styleId="Heading1">
    <w:name w:val="heading 1"/>
    <w:basedOn w:val="Normal"/>
    <w:next w:val="Normal"/>
    <w:link w:val="Heading1Char"/>
    <w:uiPriority w:val="9"/>
    <w:qFormat/>
    <w:rsid w:val="000D414C"/>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link w:val="Heading2Char"/>
    <w:uiPriority w:val="9"/>
    <w:unhideWhenUsed/>
    <w:qFormat/>
    <w:rsid w:val="007409F0"/>
    <w:pPr>
      <w:spacing w:line="360" w:lineRule="auto"/>
      <w:jc w:val="both"/>
      <w:outlineLvl w:val="1"/>
    </w:pPr>
    <w:rPr>
      <w:rFonts w:ascii="Times New Roman" w:eastAsia="Times New Roman" w:hAnsi="Times New Roman" w:cs="Times New Roman"/>
      <w:b/>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05B01"/>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D09C2"/>
    <w:pPr>
      <w:ind w:left="720"/>
      <w:contextualSpacing/>
    </w:pPr>
  </w:style>
  <w:style w:type="table" w:styleId="TableGrid">
    <w:name w:val="Table Grid"/>
    <w:basedOn w:val="TableNormal"/>
    <w:uiPriority w:val="39"/>
    <w:rsid w:val="00456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3B6CF3"/>
    <w:pPr>
      <w:widowControl w:val="0"/>
      <w:autoSpaceDE w:val="0"/>
      <w:autoSpaceDN w:val="0"/>
      <w:spacing w:before="68" w:line="240" w:lineRule="auto"/>
      <w:ind w:left="100" w:right="3997"/>
    </w:pPr>
    <w:rPr>
      <w:b/>
      <w:bCs/>
      <w:sz w:val="96"/>
      <w:szCs w:val="96"/>
      <w:lang w:val="en-US"/>
    </w:rPr>
  </w:style>
  <w:style w:type="character" w:customStyle="1" w:styleId="TitleChar">
    <w:name w:val="Title Char"/>
    <w:basedOn w:val="DefaultParagraphFont"/>
    <w:link w:val="Title"/>
    <w:uiPriority w:val="10"/>
    <w:rsid w:val="003B6CF3"/>
    <w:rPr>
      <w:rFonts w:ascii="Arial" w:eastAsia="Arial" w:hAnsi="Arial" w:cs="Arial"/>
      <w:b/>
      <w:bCs/>
      <w:sz w:val="96"/>
      <w:szCs w:val="96"/>
      <w:lang w:val="en-US"/>
    </w:rPr>
  </w:style>
  <w:style w:type="character" w:styleId="Hyperlink">
    <w:name w:val="Hyperlink"/>
    <w:basedOn w:val="DefaultParagraphFont"/>
    <w:uiPriority w:val="99"/>
    <w:unhideWhenUsed/>
    <w:rsid w:val="00CA0036"/>
    <w:rPr>
      <w:color w:val="0563C1" w:themeColor="hyperlink"/>
      <w:u w:val="single"/>
    </w:rPr>
  </w:style>
  <w:style w:type="character" w:styleId="UnresolvedMention">
    <w:name w:val="Unresolved Mention"/>
    <w:basedOn w:val="DefaultParagraphFont"/>
    <w:uiPriority w:val="99"/>
    <w:semiHidden/>
    <w:unhideWhenUsed/>
    <w:rsid w:val="00CA0036"/>
    <w:rPr>
      <w:color w:val="605E5C"/>
      <w:shd w:val="clear" w:color="auto" w:fill="E1DFDD"/>
    </w:rPr>
  </w:style>
  <w:style w:type="character" w:customStyle="1" w:styleId="Heading1Char">
    <w:name w:val="Heading 1 Char"/>
    <w:basedOn w:val="DefaultParagraphFont"/>
    <w:link w:val="Heading1"/>
    <w:uiPriority w:val="9"/>
    <w:rsid w:val="000D414C"/>
    <w:rPr>
      <w:rFonts w:ascii="Times New Roman" w:eastAsia="Times New Roman" w:hAnsi="Times New Roman" w:cs="Times New Roman"/>
      <w:b/>
      <w:sz w:val="28"/>
      <w:szCs w:val="28"/>
      <w:lang w:val="en-GB" w:eastAsia="en-IN"/>
    </w:rPr>
  </w:style>
  <w:style w:type="paragraph" w:styleId="TOCHeading">
    <w:name w:val="TOC Heading"/>
    <w:basedOn w:val="Heading1"/>
    <w:next w:val="Normal"/>
    <w:uiPriority w:val="39"/>
    <w:unhideWhenUsed/>
    <w:qFormat/>
    <w:rsid w:val="00817765"/>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817765"/>
    <w:pPr>
      <w:spacing w:after="100"/>
    </w:pPr>
  </w:style>
  <w:style w:type="paragraph" w:styleId="Header">
    <w:name w:val="header"/>
    <w:basedOn w:val="Normal"/>
    <w:link w:val="HeaderChar"/>
    <w:uiPriority w:val="99"/>
    <w:unhideWhenUsed/>
    <w:rsid w:val="00023A63"/>
    <w:pPr>
      <w:tabs>
        <w:tab w:val="center" w:pos="4513"/>
        <w:tab w:val="right" w:pos="9026"/>
      </w:tabs>
      <w:spacing w:line="240" w:lineRule="auto"/>
    </w:pPr>
  </w:style>
  <w:style w:type="character" w:customStyle="1" w:styleId="HeaderChar">
    <w:name w:val="Header Char"/>
    <w:basedOn w:val="DefaultParagraphFont"/>
    <w:link w:val="Header"/>
    <w:uiPriority w:val="99"/>
    <w:rsid w:val="00023A63"/>
    <w:rPr>
      <w:rFonts w:ascii="Arial" w:eastAsia="Arial" w:hAnsi="Arial" w:cs="Arial"/>
      <w:lang w:val="en-GB" w:eastAsia="en-IN"/>
    </w:rPr>
  </w:style>
  <w:style w:type="paragraph" w:styleId="Footer">
    <w:name w:val="footer"/>
    <w:basedOn w:val="Normal"/>
    <w:link w:val="FooterChar"/>
    <w:uiPriority w:val="99"/>
    <w:unhideWhenUsed/>
    <w:rsid w:val="00023A63"/>
    <w:pPr>
      <w:tabs>
        <w:tab w:val="center" w:pos="4513"/>
        <w:tab w:val="right" w:pos="9026"/>
      </w:tabs>
      <w:spacing w:line="240" w:lineRule="auto"/>
    </w:pPr>
  </w:style>
  <w:style w:type="character" w:customStyle="1" w:styleId="FooterChar">
    <w:name w:val="Footer Char"/>
    <w:basedOn w:val="DefaultParagraphFont"/>
    <w:link w:val="Footer"/>
    <w:uiPriority w:val="99"/>
    <w:rsid w:val="00023A63"/>
    <w:rPr>
      <w:rFonts w:ascii="Arial" w:eastAsia="Arial" w:hAnsi="Arial" w:cs="Arial"/>
      <w:lang w:val="en-GB" w:eastAsia="en-IN"/>
    </w:rPr>
  </w:style>
  <w:style w:type="character" w:customStyle="1" w:styleId="Heading2Char">
    <w:name w:val="Heading 2 Char"/>
    <w:basedOn w:val="DefaultParagraphFont"/>
    <w:link w:val="Heading2"/>
    <w:uiPriority w:val="9"/>
    <w:rsid w:val="007409F0"/>
    <w:rPr>
      <w:rFonts w:ascii="Times New Roman" w:eastAsia="Times New Roman" w:hAnsi="Times New Roman" w:cs="Times New Roman"/>
      <w:b/>
      <w:iCs/>
      <w:sz w:val="24"/>
      <w:szCs w:val="24"/>
      <w:lang w:val="en-GB" w:eastAsia="en-IN"/>
    </w:rPr>
  </w:style>
  <w:style w:type="paragraph" w:styleId="TOC2">
    <w:name w:val="toc 2"/>
    <w:basedOn w:val="Normal"/>
    <w:next w:val="Normal"/>
    <w:autoRedefine/>
    <w:uiPriority w:val="39"/>
    <w:unhideWhenUsed/>
    <w:rsid w:val="007409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160876">
      <w:bodyDiv w:val="1"/>
      <w:marLeft w:val="0"/>
      <w:marRight w:val="0"/>
      <w:marTop w:val="0"/>
      <w:marBottom w:val="0"/>
      <w:divBdr>
        <w:top w:val="none" w:sz="0" w:space="0" w:color="auto"/>
        <w:left w:val="none" w:sz="0" w:space="0" w:color="auto"/>
        <w:bottom w:val="none" w:sz="0" w:space="0" w:color="auto"/>
        <w:right w:val="none" w:sz="0" w:space="0" w:color="auto"/>
      </w:divBdr>
      <w:divsChild>
        <w:div w:id="2114665666">
          <w:marLeft w:val="0"/>
          <w:marRight w:val="0"/>
          <w:marTop w:val="0"/>
          <w:marBottom w:val="0"/>
          <w:divBdr>
            <w:top w:val="none" w:sz="0" w:space="0" w:color="auto"/>
            <w:left w:val="none" w:sz="0" w:space="0" w:color="auto"/>
            <w:bottom w:val="none" w:sz="0" w:space="0" w:color="auto"/>
            <w:right w:val="none" w:sz="0" w:space="0" w:color="auto"/>
          </w:divBdr>
        </w:div>
        <w:div w:id="1730226225">
          <w:marLeft w:val="0"/>
          <w:marRight w:val="0"/>
          <w:marTop w:val="0"/>
          <w:marBottom w:val="0"/>
          <w:divBdr>
            <w:top w:val="none" w:sz="0" w:space="0" w:color="auto"/>
            <w:left w:val="none" w:sz="0" w:space="0" w:color="auto"/>
            <w:bottom w:val="none" w:sz="0" w:space="0" w:color="auto"/>
            <w:right w:val="none" w:sz="0" w:space="0" w:color="auto"/>
          </w:divBdr>
        </w:div>
        <w:div w:id="1825777305">
          <w:marLeft w:val="0"/>
          <w:marRight w:val="0"/>
          <w:marTop w:val="0"/>
          <w:marBottom w:val="0"/>
          <w:divBdr>
            <w:top w:val="none" w:sz="0" w:space="0" w:color="auto"/>
            <w:left w:val="none" w:sz="0" w:space="0" w:color="auto"/>
            <w:bottom w:val="none" w:sz="0" w:space="0" w:color="auto"/>
            <w:right w:val="none" w:sz="0" w:space="0" w:color="auto"/>
          </w:divBdr>
        </w:div>
        <w:div w:id="1429084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DF6FA-6899-4EB2-9B70-5406D02B6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9</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Compliance1</cp:lastModifiedBy>
  <cp:revision>119</cp:revision>
  <dcterms:created xsi:type="dcterms:W3CDTF">2023-03-10T04:00:00Z</dcterms:created>
  <dcterms:modified xsi:type="dcterms:W3CDTF">2023-03-28T13:10:00Z</dcterms:modified>
</cp:coreProperties>
</file>