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DDE87D" w14:textId="77777777" w:rsidR="008D05A5" w:rsidRDefault="008D05A5">
      <w:pPr>
        <w:spacing w:after="100"/>
        <w:jc w:val="center"/>
        <w:rPr>
          <w:rFonts w:ascii="Arial" w:hAnsi="Arial" w:cs="Arial"/>
          <w:b/>
          <w:bCs/>
          <w:color w:val="000000"/>
        </w:rPr>
      </w:pPr>
    </w:p>
    <w:p w14:paraId="7C677AF9" w14:textId="77777777" w:rsidR="008D05A5" w:rsidRDefault="008D05A5">
      <w:pPr>
        <w:spacing w:after="100"/>
        <w:jc w:val="center"/>
        <w:rPr>
          <w:rFonts w:ascii="Arial" w:hAnsi="Arial" w:cs="Arial"/>
          <w:b/>
          <w:bCs/>
          <w:color w:val="000000"/>
        </w:rPr>
      </w:pPr>
    </w:p>
    <w:p w14:paraId="09C99FBC" w14:textId="77777777" w:rsidR="008D05A5" w:rsidRDefault="008D05A5">
      <w:pPr>
        <w:spacing w:after="100"/>
        <w:jc w:val="center"/>
        <w:rPr>
          <w:rFonts w:ascii="Arial" w:hAnsi="Arial" w:cs="Arial"/>
          <w:b/>
          <w:bCs/>
          <w:color w:val="000000"/>
        </w:rPr>
      </w:pPr>
    </w:p>
    <w:p w14:paraId="362FE7B2" w14:textId="77777777" w:rsidR="008D05A5" w:rsidRDefault="008D05A5">
      <w:pPr>
        <w:spacing w:after="100"/>
        <w:jc w:val="center"/>
        <w:rPr>
          <w:rFonts w:ascii="Arial" w:hAnsi="Arial" w:cs="Arial"/>
          <w:b/>
          <w:bCs/>
          <w:color w:val="000000"/>
        </w:rPr>
      </w:pPr>
    </w:p>
    <w:p w14:paraId="173CA269" w14:textId="77777777" w:rsidR="008D05A5" w:rsidRDefault="008D05A5">
      <w:pPr>
        <w:spacing w:after="100"/>
        <w:jc w:val="center"/>
        <w:rPr>
          <w:rFonts w:ascii="Arial" w:hAnsi="Arial" w:cs="Arial"/>
          <w:b/>
          <w:bCs/>
          <w:color w:val="000000"/>
        </w:rPr>
      </w:pPr>
    </w:p>
    <w:p w14:paraId="0F1F33CE" w14:textId="77777777" w:rsidR="008D05A5" w:rsidRDefault="008D05A5">
      <w:pPr>
        <w:spacing w:after="100"/>
        <w:jc w:val="center"/>
        <w:rPr>
          <w:rFonts w:ascii="Arial" w:hAnsi="Arial" w:cs="Arial"/>
          <w:b/>
          <w:bCs/>
          <w:color w:val="000000"/>
        </w:rPr>
      </w:pPr>
    </w:p>
    <w:p w14:paraId="67D5B730" w14:textId="77777777" w:rsidR="008D05A5" w:rsidRDefault="008D05A5">
      <w:pPr>
        <w:spacing w:after="100"/>
        <w:jc w:val="center"/>
        <w:rPr>
          <w:rFonts w:ascii="Arial" w:hAnsi="Arial" w:cs="Arial"/>
          <w:b/>
          <w:bCs/>
          <w:color w:val="000000"/>
        </w:rPr>
      </w:pPr>
    </w:p>
    <w:p w14:paraId="462D9DD5" w14:textId="77777777" w:rsidR="008D05A5" w:rsidRDefault="008D05A5">
      <w:pPr>
        <w:spacing w:after="100"/>
        <w:jc w:val="center"/>
        <w:rPr>
          <w:rFonts w:ascii="Arial" w:hAnsi="Arial" w:cs="Arial"/>
          <w:b/>
          <w:bCs/>
          <w:color w:val="000000"/>
        </w:rPr>
      </w:pPr>
    </w:p>
    <w:p w14:paraId="07C07DFF" w14:textId="77777777" w:rsidR="008D05A5" w:rsidRDefault="008D05A5">
      <w:pPr>
        <w:spacing w:after="100"/>
        <w:jc w:val="center"/>
        <w:rPr>
          <w:rFonts w:ascii="Arial" w:hAnsi="Arial" w:cs="Arial"/>
          <w:b/>
          <w:bCs/>
          <w:color w:val="000000"/>
        </w:rPr>
      </w:pPr>
    </w:p>
    <w:p w14:paraId="00417683" w14:textId="77777777" w:rsidR="008D05A5" w:rsidRDefault="008D05A5">
      <w:pPr>
        <w:spacing w:after="100"/>
        <w:jc w:val="center"/>
        <w:rPr>
          <w:rFonts w:ascii="Arial" w:hAnsi="Arial" w:cs="Arial"/>
          <w:b/>
          <w:bCs/>
          <w:color w:val="000000"/>
        </w:rPr>
      </w:pPr>
    </w:p>
    <w:tbl>
      <w:tblPr>
        <w:tblW w:w="737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4970"/>
      </w:tblGrid>
      <w:tr w:rsidR="008D05A5" w:rsidRPr="002F76CD" w14:paraId="3499AC65" w14:textId="77777777" w:rsidTr="009C7474">
        <w:trPr>
          <w:jc w:val="center"/>
        </w:trPr>
        <w:tc>
          <w:tcPr>
            <w:tcW w:w="2400" w:type="dxa"/>
            <w:tcBorders>
              <w:top w:val="single" w:sz="1" w:space="0" w:color="CCCCCC"/>
              <w:left w:val="single" w:sz="1" w:space="0" w:color="CCCCCC"/>
              <w:bottom w:val="single" w:sz="1" w:space="0" w:color="CCCCCC"/>
              <w:right w:val="single" w:sz="1" w:space="0" w:color="CCCCCC"/>
            </w:tcBorders>
            <w:shd w:val="clear" w:color="auto" w:fill="D6EEF4"/>
            <w:tcMar>
              <w:top w:w="60" w:type="dxa"/>
              <w:left w:w="100" w:type="dxa"/>
              <w:bottom w:w="60" w:type="dxa"/>
              <w:right w:w="100" w:type="dxa"/>
            </w:tcMar>
          </w:tcPr>
          <w:p w14:paraId="351F4FB7" w14:textId="77777777" w:rsidR="008D05A5" w:rsidRPr="008D05A5" w:rsidRDefault="008D05A5" w:rsidP="009C7474">
            <w:pPr>
              <w:rPr>
                <w:rFonts w:ascii="Arial" w:hAnsi="Arial" w:cs="Arial"/>
                <w:sz w:val="22"/>
                <w:szCs w:val="22"/>
              </w:rPr>
            </w:pPr>
            <w:r w:rsidRPr="008D05A5">
              <w:rPr>
                <w:rFonts w:ascii="Arial" w:hAnsi="Arial" w:cs="Arial"/>
                <w:b/>
                <w:bCs/>
                <w:color w:val="006989"/>
                <w:sz w:val="22"/>
                <w:szCs w:val="22"/>
              </w:rPr>
              <w:t>Name</w:t>
            </w:r>
          </w:p>
        </w:tc>
        <w:tc>
          <w:tcPr>
            <w:tcW w:w="497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D41E923" w14:textId="11B311BF" w:rsidR="008D05A5" w:rsidRPr="008D05A5" w:rsidRDefault="008D05A5" w:rsidP="009C7474">
            <w:pPr>
              <w:rPr>
                <w:rFonts w:ascii="Arial" w:hAnsi="Arial" w:cs="Arial"/>
                <w:sz w:val="22"/>
                <w:szCs w:val="22"/>
              </w:rPr>
            </w:pPr>
            <w:r w:rsidRPr="008D05A5">
              <w:rPr>
                <w:rFonts w:ascii="Arial" w:hAnsi="Arial" w:cs="Arial"/>
                <w:color w:val="222222"/>
                <w:sz w:val="22"/>
                <w:szCs w:val="22"/>
              </w:rPr>
              <w:t>Sobia Mozam</w:t>
            </w:r>
            <w:r w:rsidRPr="008D05A5">
              <w:rPr>
                <w:rFonts w:ascii="Arial" w:hAnsi="Arial" w:cs="Arial"/>
                <w:color w:val="222222"/>
                <w:sz w:val="22"/>
                <w:szCs w:val="22"/>
              </w:rPr>
              <w:t xml:space="preserve"> </w:t>
            </w:r>
          </w:p>
        </w:tc>
      </w:tr>
      <w:tr w:rsidR="008D05A5" w:rsidRPr="002F76CD" w14:paraId="6A0B20F0" w14:textId="77777777" w:rsidTr="009C7474">
        <w:trPr>
          <w:jc w:val="center"/>
        </w:trPr>
        <w:tc>
          <w:tcPr>
            <w:tcW w:w="2400" w:type="dxa"/>
            <w:tcBorders>
              <w:top w:val="single" w:sz="1" w:space="0" w:color="CCCCCC"/>
              <w:left w:val="single" w:sz="1" w:space="0" w:color="CCCCCC"/>
              <w:bottom w:val="single" w:sz="1" w:space="0" w:color="CCCCCC"/>
              <w:right w:val="single" w:sz="1" w:space="0" w:color="CCCCCC"/>
            </w:tcBorders>
            <w:shd w:val="clear" w:color="auto" w:fill="D6EEF4"/>
            <w:tcMar>
              <w:top w:w="60" w:type="dxa"/>
              <w:left w:w="100" w:type="dxa"/>
              <w:bottom w:w="60" w:type="dxa"/>
              <w:right w:w="100" w:type="dxa"/>
            </w:tcMar>
          </w:tcPr>
          <w:p w14:paraId="06777FE1" w14:textId="77777777" w:rsidR="008D05A5" w:rsidRPr="008D05A5" w:rsidRDefault="008D05A5" w:rsidP="009C7474">
            <w:pPr>
              <w:rPr>
                <w:rFonts w:ascii="Arial" w:hAnsi="Arial" w:cs="Arial"/>
                <w:sz w:val="22"/>
                <w:szCs w:val="22"/>
              </w:rPr>
            </w:pPr>
            <w:r w:rsidRPr="008D05A5">
              <w:rPr>
                <w:rFonts w:ascii="Arial" w:hAnsi="Arial" w:cs="Arial"/>
                <w:b/>
                <w:bCs/>
                <w:color w:val="006989"/>
                <w:sz w:val="22"/>
                <w:szCs w:val="22"/>
              </w:rPr>
              <w:t>Student Number</w:t>
            </w:r>
          </w:p>
        </w:tc>
        <w:tc>
          <w:tcPr>
            <w:tcW w:w="497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1717E68" w14:textId="1A5F7578" w:rsidR="008D05A5" w:rsidRPr="008D05A5" w:rsidRDefault="008D05A5" w:rsidP="009C7474">
            <w:pPr>
              <w:rPr>
                <w:rFonts w:ascii="Arial" w:hAnsi="Arial" w:cs="Arial"/>
                <w:sz w:val="22"/>
                <w:szCs w:val="22"/>
              </w:rPr>
            </w:pPr>
            <w:r w:rsidRPr="008D05A5">
              <w:rPr>
                <w:rFonts w:ascii="Arial" w:hAnsi="Arial" w:cs="Arial"/>
                <w:sz w:val="22"/>
                <w:szCs w:val="22"/>
              </w:rPr>
              <w:t>25</w:t>
            </w:r>
            <w:r w:rsidRPr="008D05A5">
              <w:rPr>
                <w:rFonts w:ascii="Arial" w:hAnsi="Arial" w:cs="Arial"/>
                <w:sz w:val="22"/>
                <w:szCs w:val="22"/>
              </w:rPr>
              <w:t>04721</w:t>
            </w:r>
          </w:p>
        </w:tc>
      </w:tr>
      <w:tr w:rsidR="008D05A5" w:rsidRPr="002F76CD" w14:paraId="421007BE" w14:textId="77777777" w:rsidTr="009C7474">
        <w:trPr>
          <w:jc w:val="center"/>
        </w:trPr>
        <w:tc>
          <w:tcPr>
            <w:tcW w:w="2400" w:type="dxa"/>
            <w:tcBorders>
              <w:top w:val="single" w:sz="1" w:space="0" w:color="CCCCCC"/>
              <w:left w:val="single" w:sz="1" w:space="0" w:color="CCCCCC"/>
              <w:bottom w:val="single" w:sz="1" w:space="0" w:color="CCCCCC"/>
              <w:right w:val="single" w:sz="1" w:space="0" w:color="CCCCCC"/>
            </w:tcBorders>
            <w:shd w:val="clear" w:color="auto" w:fill="D6EEF4"/>
            <w:tcMar>
              <w:top w:w="60" w:type="dxa"/>
              <w:left w:w="100" w:type="dxa"/>
              <w:bottom w:w="60" w:type="dxa"/>
              <w:right w:w="100" w:type="dxa"/>
            </w:tcMar>
          </w:tcPr>
          <w:p w14:paraId="47FB8A21" w14:textId="77777777" w:rsidR="008D05A5" w:rsidRPr="008D05A5" w:rsidRDefault="008D05A5" w:rsidP="009C7474">
            <w:pPr>
              <w:rPr>
                <w:rFonts w:ascii="Arial" w:hAnsi="Arial" w:cs="Arial"/>
                <w:sz w:val="22"/>
                <w:szCs w:val="22"/>
              </w:rPr>
            </w:pPr>
            <w:r w:rsidRPr="008D05A5">
              <w:rPr>
                <w:rFonts w:ascii="Arial" w:hAnsi="Arial" w:cs="Arial"/>
                <w:b/>
                <w:bCs/>
                <w:color w:val="006989"/>
                <w:sz w:val="22"/>
                <w:szCs w:val="22"/>
              </w:rPr>
              <w:t>Module Code</w:t>
            </w:r>
          </w:p>
        </w:tc>
        <w:tc>
          <w:tcPr>
            <w:tcW w:w="497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7EEDFE5" w14:textId="77777777" w:rsidR="008D05A5" w:rsidRPr="008D05A5" w:rsidRDefault="008D05A5" w:rsidP="009C7474">
            <w:pPr>
              <w:rPr>
                <w:rFonts w:ascii="Arial" w:hAnsi="Arial" w:cs="Arial"/>
                <w:sz w:val="22"/>
                <w:szCs w:val="22"/>
              </w:rPr>
            </w:pPr>
            <w:r w:rsidRPr="008D05A5">
              <w:rPr>
                <w:rFonts w:ascii="Arial" w:hAnsi="Arial" w:cs="Arial"/>
                <w:color w:val="222222"/>
                <w:sz w:val="22"/>
                <w:szCs w:val="22"/>
              </w:rPr>
              <w:t>LCHS4008</w:t>
            </w:r>
          </w:p>
        </w:tc>
      </w:tr>
      <w:tr w:rsidR="008D05A5" w:rsidRPr="002F76CD" w14:paraId="7FB84A4A" w14:textId="77777777" w:rsidTr="009C7474">
        <w:trPr>
          <w:jc w:val="center"/>
        </w:trPr>
        <w:tc>
          <w:tcPr>
            <w:tcW w:w="2400" w:type="dxa"/>
            <w:tcBorders>
              <w:top w:val="single" w:sz="1" w:space="0" w:color="CCCCCC"/>
              <w:left w:val="single" w:sz="1" w:space="0" w:color="CCCCCC"/>
              <w:bottom w:val="single" w:sz="1" w:space="0" w:color="CCCCCC"/>
              <w:right w:val="single" w:sz="1" w:space="0" w:color="CCCCCC"/>
            </w:tcBorders>
            <w:shd w:val="clear" w:color="auto" w:fill="D6EEF4"/>
            <w:tcMar>
              <w:top w:w="60" w:type="dxa"/>
              <w:left w:w="100" w:type="dxa"/>
              <w:bottom w:w="60" w:type="dxa"/>
              <w:right w:w="100" w:type="dxa"/>
            </w:tcMar>
          </w:tcPr>
          <w:p w14:paraId="7C05DCA9" w14:textId="77777777" w:rsidR="008D05A5" w:rsidRPr="008D05A5" w:rsidRDefault="008D05A5" w:rsidP="009C7474">
            <w:pPr>
              <w:rPr>
                <w:rFonts w:ascii="Arial" w:hAnsi="Arial" w:cs="Arial"/>
                <w:sz w:val="22"/>
                <w:szCs w:val="22"/>
              </w:rPr>
            </w:pPr>
            <w:r w:rsidRPr="008D05A5">
              <w:rPr>
                <w:rFonts w:ascii="Arial" w:hAnsi="Arial" w:cs="Arial"/>
                <w:b/>
                <w:bCs/>
                <w:color w:val="006989"/>
                <w:sz w:val="22"/>
                <w:szCs w:val="22"/>
              </w:rPr>
              <w:t>Module Title</w:t>
            </w:r>
          </w:p>
        </w:tc>
        <w:tc>
          <w:tcPr>
            <w:tcW w:w="497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7EF3B08" w14:textId="77777777" w:rsidR="008D05A5" w:rsidRPr="008D05A5" w:rsidRDefault="008D05A5" w:rsidP="009C7474">
            <w:pPr>
              <w:rPr>
                <w:rFonts w:ascii="Arial" w:hAnsi="Arial" w:cs="Arial"/>
                <w:bCs/>
                <w:sz w:val="22"/>
                <w:szCs w:val="22"/>
              </w:rPr>
            </w:pPr>
            <w:r w:rsidRPr="008D05A5">
              <w:rPr>
                <w:rFonts w:ascii="Arial" w:hAnsi="Arial" w:cs="Arial"/>
                <w:bCs/>
                <w:sz w:val="22"/>
                <w:szCs w:val="22"/>
              </w:rPr>
              <w:t>Introduction to Public Health</w:t>
            </w:r>
          </w:p>
        </w:tc>
      </w:tr>
      <w:tr w:rsidR="008D05A5" w:rsidRPr="002F76CD" w14:paraId="6728D83E" w14:textId="77777777" w:rsidTr="009C7474">
        <w:trPr>
          <w:jc w:val="center"/>
        </w:trPr>
        <w:tc>
          <w:tcPr>
            <w:tcW w:w="2400" w:type="dxa"/>
            <w:tcBorders>
              <w:top w:val="single" w:sz="1" w:space="0" w:color="CCCCCC"/>
              <w:left w:val="single" w:sz="1" w:space="0" w:color="CCCCCC"/>
              <w:bottom w:val="single" w:sz="1" w:space="0" w:color="CCCCCC"/>
              <w:right w:val="single" w:sz="1" w:space="0" w:color="CCCCCC"/>
            </w:tcBorders>
            <w:shd w:val="clear" w:color="auto" w:fill="D6EEF4"/>
            <w:tcMar>
              <w:top w:w="60" w:type="dxa"/>
              <w:left w:w="100" w:type="dxa"/>
              <w:bottom w:w="60" w:type="dxa"/>
              <w:right w:w="100" w:type="dxa"/>
            </w:tcMar>
          </w:tcPr>
          <w:p w14:paraId="5C06F56A" w14:textId="77777777" w:rsidR="008D05A5" w:rsidRPr="008D05A5" w:rsidRDefault="008D05A5" w:rsidP="009C7474">
            <w:pPr>
              <w:rPr>
                <w:rFonts w:ascii="Arial" w:hAnsi="Arial" w:cs="Arial"/>
                <w:sz w:val="22"/>
                <w:szCs w:val="22"/>
              </w:rPr>
            </w:pPr>
            <w:r w:rsidRPr="008D05A5">
              <w:rPr>
                <w:rFonts w:ascii="Arial" w:hAnsi="Arial" w:cs="Arial"/>
                <w:b/>
                <w:bCs/>
                <w:color w:val="006989"/>
                <w:sz w:val="22"/>
                <w:szCs w:val="22"/>
              </w:rPr>
              <w:t>Lecturer</w:t>
            </w:r>
          </w:p>
        </w:tc>
        <w:tc>
          <w:tcPr>
            <w:tcW w:w="497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201B927" w14:textId="77777777" w:rsidR="008D05A5" w:rsidRPr="008D05A5" w:rsidRDefault="008D05A5" w:rsidP="009C7474">
            <w:pPr>
              <w:rPr>
                <w:rFonts w:ascii="Arial" w:hAnsi="Arial" w:cs="Arial"/>
                <w:sz w:val="22"/>
                <w:szCs w:val="22"/>
              </w:rPr>
            </w:pPr>
            <w:r w:rsidRPr="008D05A5">
              <w:rPr>
                <w:rFonts w:ascii="Arial" w:hAnsi="Arial" w:cs="Arial"/>
                <w:sz w:val="22"/>
                <w:szCs w:val="22"/>
              </w:rPr>
              <w:t>Rizwan Nadim</w:t>
            </w:r>
          </w:p>
        </w:tc>
      </w:tr>
      <w:tr w:rsidR="008D05A5" w:rsidRPr="002F76CD" w14:paraId="435F96B2" w14:textId="77777777" w:rsidTr="009C7474">
        <w:trPr>
          <w:jc w:val="center"/>
        </w:trPr>
        <w:tc>
          <w:tcPr>
            <w:tcW w:w="2400" w:type="dxa"/>
            <w:tcBorders>
              <w:top w:val="single" w:sz="1" w:space="0" w:color="CCCCCC"/>
              <w:left w:val="single" w:sz="1" w:space="0" w:color="CCCCCC"/>
              <w:bottom w:val="single" w:sz="1" w:space="0" w:color="CCCCCC"/>
              <w:right w:val="single" w:sz="1" w:space="0" w:color="CCCCCC"/>
            </w:tcBorders>
            <w:shd w:val="clear" w:color="auto" w:fill="D6EEF4"/>
            <w:tcMar>
              <w:top w:w="60" w:type="dxa"/>
              <w:left w:w="100" w:type="dxa"/>
              <w:bottom w:w="60" w:type="dxa"/>
              <w:right w:w="100" w:type="dxa"/>
            </w:tcMar>
          </w:tcPr>
          <w:p w14:paraId="24FCC2E1" w14:textId="77777777" w:rsidR="008D05A5" w:rsidRPr="008D05A5" w:rsidRDefault="008D05A5" w:rsidP="009C7474">
            <w:pPr>
              <w:rPr>
                <w:rFonts w:ascii="Arial" w:hAnsi="Arial" w:cs="Arial"/>
                <w:sz w:val="22"/>
                <w:szCs w:val="22"/>
              </w:rPr>
            </w:pPr>
            <w:r w:rsidRPr="008D05A5">
              <w:rPr>
                <w:rFonts w:ascii="Arial" w:hAnsi="Arial" w:cs="Arial"/>
                <w:b/>
                <w:bCs/>
                <w:color w:val="006989"/>
                <w:sz w:val="22"/>
                <w:szCs w:val="22"/>
              </w:rPr>
              <w:t>Assignment Title</w:t>
            </w:r>
          </w:p>
        </w:tc>
        <w:tc>
          <w:tcPr>
            <w:tcW w:w="497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FCCEAFD" w14:textId="77777777" w:rsidR="008D05A5" w:rsidRPr="008D05A5" w:rsidRDefault="008D05A5" w:rsidP="009C7474">
            <w:pPr>
              <w:rPr>
                <w:rFonts w:ascii="Arial" w:hAnsi="Arial" w:cs="Arial"/>
                <w:sz w:val="22"/>
                <w:szCs w:val="22"/>
                <w:lang w:val="en-US"/>
              </w:rPr>
            </w:pPr>
            <w:r w:rsidRPr="008D05A5">
              <w:rPr>
                <w:rFonts w:ascii="Arial" w:hAnsi="Arial" w:cs="Arial"/>
                <w:sz w:val="22"/>
                <w:szCs w:val="22"/>
                <w:lang w:val="en-US"/>
              </w:rPr>
              <w:t>Assessment 2 -</w:t>
            </w:r>
            <w:r w:rsidRPr="008D05A5">
              <w:rPr>
                <w:rFonts w:ascii="Arial" w:hAnsi="Arial" w:cs="Arial"/>
                <w:sz w:val="22"/>
                <w:szCs w:val="22"/>
              </w:rPr>
              <w:t>Report on a Health Issue</w:t>
            </w:r>
          </w:p>
        </w:tc>
      </w:tr>
      <w:tr w:rsidR="008D05A5" w:rsidRPr="002F76CD" w14:paraId="5F955903" w14:textId="77777777" w:rsidTr="009C7474">
        <w:trPr>
          <w:jc w:val="center"/>
        </w:trPr>
        <w:tc>
          <w:tcPr>
            <w:tcW w:w="2400" w:type="dxa"/>
            <w:tcBorders>
              <w:top w:val="single" w:sz="1" w:space="0" w:color="CCCCCC"/>
              <w:left w:val="single" w:sz="1" w:space="0" w:color="CCCCCC"/>
              <w:bottom w:val="single" w:sz="1" w:space="0" w:color="CCCCCC"/>
              <w:right w:val="single" w:sz="1" w:space="0" w:color="CCCCCC"/>
            </w:tcBorders>
            <w:shd w:val="clear" w:color="auto" w:fill="D6EEF4"/>
            <w:tcMar>
              <w:top w:w="60" w:type="dxa"/>
              <w:left w:w="100" w:type="dxa"/>
              <w:bottom w:w="60" w:type="dxa"/>
              <w:right w:w="100" w:type="dxa"/>
            </w:tcMar>
          </w:tcPr>
          <w:p w14:paraId="4524F9A3" w14:textId="77777777" w:rsidR="008D05A5" w:rsidRPr="008D05A5" w:rsidRDefault="008D05A5" w:rsidP="009C7474">
            <w:pPr>
              <w:rPr>
                <w:rFonts w:ascii="Arial" w:hAnsi="Arial" w:cs="Arial"/>
                <w:sz w:val="22"/>
                <w:szCs w:val="22"/>
              </w:rPr>
            </w:pPr>
            <w:r w:rsidRPr="008D05A5">
              <w:rPr>
                <w:rFonts w:ascii="Arial" w:hAnsi="Arial" w:cs="Arial"/>
                <w:b/>
                <w:bCs/>
                <w:color w:val="006989"/>
                <w:sz w:val="22"/>
                <w:szCs w:val="22"/>
              </w:rPr>
              <w:t>Submission Date</w:t>
            </w:r>
          </w:p>
        </w:tc>
        <w:tc>
          <w:tcPr>
            <w:tcW w:w="497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689CD4A" w14:textId="77777777" w:rsidR="008D05A5" w:rsidRPr="008D05A5" w:rsidRDefault="008D05A5" w:rsidP="009C7474">
            <w:pPr>
              <w:rPr>
                <w:rFonts w:ascii="Arial" w:hAnsi="Arial" w:cs="Arial"/>
                <w:sz w:val="22"/>
                <w:szCs w:val="22"/>
              </w:rPr>
            </w:pPr>
            <w:r w:rsidRPr="008D05A5">
              <w:rPr>
                <w:rFonts w:ascii="Arial" w:hAnsi="Arial" w:cs="Arial"/>
                <w:color w:val="222222"/>
                <w:sz w:val="22"/>
                <w:szCs w:val="22"/>
              </w:rPr>
              <w:t>21</w:t>
            </w:r>
            <w:r w:rsidRPr="008D05A5">
              <w:rPr>
                <w:rFonts w:ascii="Arial" w:hAnsi="Arial" w:cs="Arial"/>
                <w:color w:val="222222"/>
                <w:sz w:val="22"/>
                <w:szCs w:val="22"/>
                <w:vertAlign w:val="superscript"/>
              </w:rPr>
              <w:t>st</w:t>
            </w:r>
            <w:r w:rsidRPr="008D05A5">
              <w:rPr>
                <w:rFonts w:ascii="Arial" w:hAnsi="Arial" w:cs="Arial"/>
                <w:color w:val="222222"/>
                <w:sz w:val="22"/>
                <w:szCs w:val="22"/>
              </w:rPr>
              <w:t xml:space="preserve"> July 2026</w:t>
            </w:r>
          </w:p>
        </w:tc>
      </w:tr>
    </w:tbl>
    <w:p w14:paraId="56348AB9" w14:textId="77777777" w:rsidR="008D05A5" w:rsidRDefault="008D05A5">
      <w:pPr>
        <w:spacing w:after="100"/>
        <w:jc w:val="center"/>
        <w:rPr>
          <w:rFonts w:ascii="Arial" w:hAnsi="Arial" w:cs="Arial"/>
          <w:b/>
          <w:bCs/>
          <w:color w:val="000000"/>
        </w:rPr>
      </w:pPr>
    </w:p>
    <w:p w14:paraId="7191B30F" w14:textId="77777777" w:rsidR="008D05A5" w:rsidRDefault="008D05A5">
      <w:pPr>
        <w:spacing w:after="100"/>
        <w:jc w:val="center"/>
        <w:rPr>
          <w:rFonts w:ascii="Arial" w:hAnsi="Arial" w:cs="Arial"/>
          <w:b/>
          <w:bCs/>
          <w:color w:val="000000"/>
        </w:rPr>
      </w:pPr>
    </w:p>
    <w:p w14:paraId="7982A9D9" w14:textId="77777777" w:rsidR="008D05A5" w:rsidRDefault="008D05A5">
      <w:pPr>
        <w:spacing w:after="100"/>
        <w:jc w:val="center"/>
        <w:rPr>
          <w:rFonts w:ascii="Arial" w:hAnsi="Arial" w:cs="Arial"/>
          <w:b/>
          <w:bCs/>
          <w:color w:val="000000"/>
        </w:rPr>
      </w:pPr>
    </w:p>
    <w:p w14:paraId="2F6C8724" w14:textId="77777777" w:rsidR="008D05A5" w:rsidRDefault="008D05A5">
      <w:pPr>
        <w:spacing w:after="100"/>
        <w:jc w:val="center"/>
        <w:rPr>
          <w:rFonts w:ascii="Arial" w:hAnsi="Arial" w:cs="Arial"/>
          <w:b/>
          <w:bCs/>
          <w:color w:val="000000"/>
        </w:rPr>
      </w:pPr>
    </w:p>
    <w:p w14:paraId="3A24F6B5" w14:textId="77777777" w:rsidR="008D05A5" w:rsidRDefault="008D05A5">
      <w:pPr>
        <w:spacing w:after="100"/>
        <w:jc w:val="center"/>
        <w:rPr>
          <w:rFonts w:ascii="Arial" w:hAnsi="Arial" w:cs="Arial"/>
          <w:b/>
          <w:bCs/>
          <w:color w:val="000000"/>
        </w:rPr>
      </w:pPr>
    </w:p>
    <w:p w14:paraId="63562779" w14:textId="77777777" w:rsidR="008D05A5" w:rsidRDefault="008D05A5">
      <w:pPr>
        <w:spacing w:after="100"/>
        <w:jc w:val="center"/>
        <w:rPr>
          <w:rFonts w:ascii="Arial" w:hAnsi="Arial" w:cs="Arial"/>
          <w:b/>
          <w:bCs/>
          <w:color w:val="000000"/>
        </w:rPr>
      </w:pPr>
    </w:p>
    <w:p w14:paraId="4500C509" w14:textId="77777777" w:rsidR="008D05A5" w:rsidRDefault="008D05A5">
      <w:pPr>
        <w:spacing w:after="100"/>
        <w:jc w:val="center"/>
        <w:rPr>
          <w:rFonts w:ascii="Arial" w:hAnsi="Arial" w:cs="Arial"/>
          <w:b/>
          <w:bCs/>
          <w:color w:val="000000"/>
        </w:rPr>
      </w:pPr>
    </w:p>
    <w:p w14:paraId="43CEC3BE" w14:textId="77777777" w:rsidR="008D05A5" w:rsidRDefault="008D05A5">
      <w:pPr>
        <w:spacing w:after="100"/>
        <w:jc w:val="center"/>
        <w:rPr>
          <w:rFonts w:ascii="Arial" w:hAnsi="Arial" w:cs="Arial"/>
          <w:b/>
          <w:bCs/>
          <w:color w:val="000000"/>
        </w:rPr>
      </w:pPr>
    </w:p>
    <w:p w14:paraId="7AED1D7D" w14:textId="77777777" w:rsidR="008D05A5" w:rsidRDefault="008D05A5">
      <w:pPr>
        <w:spacing w:after="100"/>
        <w:jc w:val="center"/>
        <w:rPr>
          <w:rFonts w:ascii="Arial" w:hAnsi="Arial" w:cs="Arial"/>
          <w:b/>
          <w:bCs/>
          <w:color w:val="000000"/>
        </w:rPr>
      </w:pPr>
    </w:p>
    <w:p w14:paraId="6175079B" w14:textId="77777777" w:rsidR="008D05A5" w:rsidRDefault="008D05A5">
      <w:pPr>
        <w:spacing w:after="100"/>
        <w:jc w:val="center"/>
        <w:rPr>
          <w:rFonts w:ascii="Arial" w:hAnsi="Arial" w:cs="Arial"/>
          <w:b/>
          <w:bCs/>
          <w:color w:val="000000"/>
        </w:rPr>
      </w:pPr>
    </w:p>
    <w:p w14:paraId="2FAEA6CE" w14:textId="11119673" w:rsidR="00FA744E" w:rsidRPr="008D05A5" w:rsidRDefault="00000000" w:rsidP="008D05A5">
      <w:pPr>
        <w:spacing w:after="100"/>
        <w:jc w:val="center"/>
        <w:rPr>
          <w:rFonts w:ascii="Arial" w:hAnsi="Arial" w:cs="Arial"/>
          <w:sz w:val="22"/>
          <w:szCs w:val="22"/>
        </w:rPr>
      </w:pPr>
      <w:r w:rsidRPr="008D05A5">
        <w:rPr>
          <w:rFonts w:ascii="Arial" w:hAnsi="Arial" w:cs="Arial"/>
          <w:b/>
          <w:bCs/>
          <w:color w:val="000000"/>
          <w:sz w:val="22"/>
          <w:szCs w:val="22"/>
        </w:rPr>
        <w:lastRenderedPageBreak/>
        <w:t>Depression: A Written Report</w:t>
      </w:r>
    </w:p>
    <w:p w14:paraId="35192321" w14:textId="77777777" w:rsidR="00FA744E" w:rsidRPr="008D05A5" w:rsidRDefault="00000000" w:rsidP="008D05A5">
      <w:pPr>
        <w:spacing w:before="340" w:after="160"/>
        <w:rPr>
          <w:rFonts w:ascii="Arial" w:hAnsi="Arial" w:cs="Arial"/>
          <w:sz w:val="22"/>
          <w:szCs w:val="22"/>
        </w:rPr>
      </w:pPr>
      <w:r w:rsidRPr="008D05A5">
        <w:rPr>
          <w:rFonts w:ascii="Arial" w:hAnsi="Arial" w:cs="Arial"/>
          <w:b/>
          <w:bCs/>
          <w:color w:val="000000"/>
          <w:sz w:val="22"/>
          <w:szCs w:val="22"/>
        </w:rPr>
        <w:t>Introduction</w:t>
      </w:r>
    </w:p>
    <w:p w14:paraId="20657258" w14:textId="77777777" w:rsidR="00FA744E" w:rsidRPr="008D05A5" w:rsidRDefault="00000000" w:rsidP="008D05A5">
      <w:pPr>
        <w:spacing w:after="200"/>
        <w:ind w:firstLine="720"/>
        <w:jc w:val="both"/>
        <w:rPr>
          <w:rFonts w:ascii="Arial" w:hAnsi="Arial" w:cs="Arial"/>
          <w:sz w:val="22"/>
          <w:szCs w:val="22"/>
        </w:rPr>
      </w:pPr>
      <w:r w:rsidRPr="008D05A5">
        <w:rPr>
          <w:rFonts w:ascii="Arial" w:hAnsi="Arial" w:cs="Arial"/>
          <w:color w:val="000000"/>
          <w:sz w:val="22"/>
          <w:szCs w:val="22"/>
        </w:rPr>
        <w:t>Depression, clinically termed depressive disorder, is a common mental health condition characterised by a persistently low mood and loss of interest or pleasure in activities for most of the day, nearly every day, for at least two weeks (World Health Organization [WHO], 2023). It differs from ordinary fluctuations in mood or short-lived emotional responses to everyday challenges in both its persistence and its impact on functioning. Associated symptoms include poor concentration, feelings of excessive guilt, hopelessness, disrupted sleep, changes in appetite, fatigue, and recurrent thoughts of death or suicide (WHO, 2023). Severity ranges from mild to severe, with the latter potentially involving psychotic features such as delusions or hallucinations.</w:t>
      </w:r>
    </w:p>
    <w:p w14:paraId="6EE06D23" w14:textId="77777777" w:rsidR="00FA744E" w:rsidRPr="008D05A5" w:rsidRDefault="00000000" w:rsidP="008D05A5">
      <w:pPr>
        <w:spacing w:after="200"/>
        <w:ind w:firstLine="720"/>
        <w:jc w:val="both"/>
        <w:rPr>
          <w:rFonts w:ascii="Arial" w:hAnsi="Arial" w:cs="Arial"/>
          <w:sz w:val="22"/>
          <w:szCs w:val="22"/>
        </w:rPr>
      </w:pPr>
      <w:r w:rsidRPr="008D05A5">
        <w:rPr>
          <w:rFonts w:ascii="Arial" w:hAnsi="Arial" w:cs="Arial"/>
          <w:color w:val="000000"/>
          <w:sz w:val="22"/>
          <w:szCs w:val="22"/>
        </w:rPr>
        <w:t>Globally, depression affects an estimated 280 million people, including 23 million children and adolescents, and is the second leading contributor to global disability (WHO, 2023). In the UK, prevalence has risen sharply since the COVID-19 pandemic: 18% of adults reported moderate to severe depressive symptoms in early 2025, compared with a pre-pandemic baseline of 10% (Office for National Statistics [ONS], cited in Mental Health First Aid, 2025). These figures highlight depression as a major UK and global public health concern.</w:t>
      </w:r>
    </w:p>
    <w:p w14:paraId="32C7C962" w14:textId="77777777" w:rsidR="00FA744E" w:rsidRPr="008D05A5" w:rsidRDefault="00000000" w:rsidP="008D05A5">
      <w:pPr>
        <w:spacing w:before="340" w:after="160"/>
        <w:jc w:val="both"/>
        <w:rPr>
          <w:rFonts w:ascii="Arial" w:hAnsi="Arial" w:cs="Arial"/>
          <w:sz w:val="22"/>
          <w:szCs w:val="22"/>
        </w:rPr>
      </w:pPr>
      <w:r w:rsidRPr="008D05A5">
        <w:rPr>
          <w:rFonts w:ascii="Arial" w:hAnsi="Arial" w:cs="Arial"/>
          <w:b/>
          <w:bCs/>
          <w:color w:val="000000"/>
          <w:sz w:val="22"/>
          <w:szCs w:val="22"/>
        </w:rPr>
        <w:t>Main Body</w:t>
      </w:r>
    </w:p>
    <w:p w14:paraId="35857D35" w14:textId="77777777" w:rsidR="00FA744E" w:rsidRPr="008D05A5" w:rsidRDefault="00000000" w:rsidP="008D05A5">
      <w:pPr>
        <w:spacing w:before="260" w:after="140"/>
        <w:jc w:val="both"/>
        <w:rPr>
          <w:rFonts w:ascii="Arial" w:hAnsi="Arial" w:cs="Arial"/>
          <w:sz w:val="22"/>
          <w:szCs w:val="22"/>
        </w:rPr>
      </w:pPr>
      <w:r w:rsidRPr="008D05A5">
        <w:rPr>
          <w:rFonts w:ascii="Arial" w:hAnsi="Arial" w:cs="Arial"/>
          <w:b/>
          <w:bCs/>
          <w:color w:val="000000"/>
          <w:sz w:val="22"/>
          <w:szCs w:val="22"/>
        </w:rPr>
        <w:t>Measuring and Monitoring Depression</w:t>
      </w:r>
    </w:p>
    <w:p w14:paraId="5D213477" w14:textId="77777777" w:rsidR="00FA744E" w:rsidRPr="008D05A5" w:rsidRDefault="00000000" w:rsidP="008D05A5">
      <w:pPr>
        <w:spacing w:after="200"/>
        <w:ind w:firstLine="720"/>
        <w:jc w:val="both"/>
        <w:rPr>
          <w:rFonts w:ascii="Arial" w:hAnsi="Arial" w:cs="Arial"/>
          <w:sz w:val="22"/>
          <w:szCs w:val="22"/>
        </w:rPr>
      </w:pPr>
      <w:r w:rsidRPr="008D05A5">
        <w:rPr>
          <w:rFonts w:ascii="Arial" w:hAnsi="Arial" w:cs="Arial"/>
          <w:color w:val="000000"/>
          <w:sz w:val="22"/>
          <w:szCs w:val="22"/>
        </w:rPr>
        <w:t>A range of validated tools are used in UK primary care to identify and monitor depression severity. The most widely used is the Patient Health Questionnaire (PHQ-9), a nine-item, self-administered scale that scores each DSM-IV depressive symptom from 0 (“not at all”) to 3 (“nearly every day”), producing a total score out of 27 (Kroenke, Spitzer and Williams, 2001). The questionnaire takes only a few minutes to complete and can be repeated at successive appointments, making it practical for routine use within busy primary care settings. The National Institute for Health and Care Excellence (NICE, 2022) recommends a PHQ-9 score of 16 or above as the threshold for “more severe” depression, replacing the previous mild/moderate/severe classification with a simplified “less severe” and “more severe” model. Clinicians are advised to use routine outcome monitoring with tools such as the PHQ-9 at each clinical contact to track treatment response and adjust care accordingly (NICE, 2022).</w:t>
      </w:r>
    </w:p>
    <w:p w14:paraId="5DE6ADBE" w14:textId="77777777" w:rsidR="00FA744E" w:rsidRPr="008D05A5" w:rsidRDefault="00000000" w:rsidP="008D05A5">
      <w:pPr>
        <w:spacing w:after="200"/>
        <w:ind w:firstLine="720"/>
        <w:jc w:val="both"/>
        <w:rPr>
          <w:rFonts w:ascii="Arial" w:hAnsi="Arial" w:cs="Arial"/>
          <w:sz w:val="22"/>
          <w:szCs w:val="22"/>
        </w:rPr>
      </w:pPr>
      <w:r w:rsidRPr="008D05A5">
        <w:rPr>
          <w:rFonts w:ascii="Arial" w:hAnsi="Arial" w:cs="Arial"/>
          <w:color w:val="000000"/>
          <w:sz w:val="22"/>
          <w:szCs w:val="22"/>
        </w:rPr>
        <w:lastRenderedPageBreak/>
        <w:t>Other recognised instruments include the Hospital Anxiety and Depression Scale (HADS), commonly used in general hospital settings, and structured clinical interviews based on ICD-10 or DSM-5 criteria, which assess the number and duration of key symptoms such as low mood, anhedonia and loss of energy (BJGP, 2008). At a population level, the ONS uses its own four-item depressive symptom scale within its Opinions and Lifestyle Survey to monitor national prevalence trends over time (ONS, cited in House of Commons Library, 2024). NHS Talking Therapies services also use PHQ-9 scores before, during and after treatment to assess recovery, with a national recovery rate of 49.9% reported in 2022/23 (House of Commons Library, 2024).</w:t>
      </w:r>
    </w:p>
    <w:p w14:paraId="75A43D2B" w14:textId="77777777" w:rsidR="00FA744E" w:rsidRPr="008D05A5" w:rsidRDefault="00000000" w:rsidP="008D05A5">
      <w:pPr>
        <w:spacing w:before="260" w:after="140"/>
        <w:jc w:val="both"/>
        <w:rPr>
          <w:rFonts w:ascii="Arial" w:hAnsi="Arial" w:cs="Arial"/>
          <w:sz w:val="22"/>
          <w:szCs w:val="22"/>
        </w:rPr>
      </w:pPr>
      <w:r w:rsidRPr="008D05A5">
        <w:rPr>
          <w:rFonts w:ascii="Arial" w:hAnsi="Arial" w:cs="Arial"/>
          <w:b/>
          <w:bCs/>
          <w:color w:val="000000"/>
          <w:sz w:val="22"/>
          <w:szCs w:val="22"/>
        </w:rPr>
        <w:t>How Depression Is Controlled</w:t>
      </w:r>
    </w:p>
    <w:p w14:paraId="38CB9115" w14:textId="77777777" w:rsidR="00FA744E" w:rsidRPr="008D05A5" w:rsidRDefault="00000000" w:rsidP="008D05A5">
      <w:pPr>
        <w:spacing w:after="200"/>
        <w:ind w:firstLine="720"/>
        <w:jc w:val="both"/>
        <w:rPr>
          <w:rFonts w:ascii="Arial" w:hAnsi="Arial" w:cs="Arial"/>
          <w:sz w:val="22"/>
          <w:szCs w:val="22"/>
        </w:rPr>
      </w:pPr>
      <w:r w:rsidRPr="008D05A5">
        <w:rPr>
          <w:rFonts w:ascii="Arial" w:hAnsi="Arial" w:cs="Arial"/>
          <w:color w:val="000000"/>
          <w:sz w:val="22"/>
          <w:szCs w:val="22"/>
        </w:rPr>
        <w:t>Depression is managed through a stepped-care model combining psychological, pharmacological and social interventions, tailored to severity (NICE, 2022). For less severe depression, NICE recommends guided self-help, group cognitive behavioural therapy (CBT), structured group physical activity, or group mindfulness-based programmes as first-line options. For more severe depression, a combination of individual CBT and antidepressant medication is preferred, followed by individual CBT alone, behavioural activation, or antidepressant medication such as selective serotonin reuptake inhibitors (SSRIs) (NICE, 2022).</w:t>
      </w:r>
    </w:p>
    <w:p w14:paraId="7489B335" w14:textId="77777777" w:rsidR="00FA744E" w:rsidRPr="008D05A5" w:rsidRDefault="00000000" w:rsidP="008D05A5">
      <w:pPr>
        <w:spacing w:after="200"/>
        <w:ind w:firstLine="720"/>
        <w:jc w:val="both"/>
        <w:rPr>
          <w:rFonts w:ascii="Arial" w:hAnsi="Arial" w:cs="Arial"/>
          <w:sz w:val="22"/>
          <w:szCs w:val="22"/>
        </w:rPr>
      </w:pPr>
      <w:r w:rsidRPr="008D05A5">
        <w:rPr>
          <w:rFonts w:ascii="Arial" w:hAnsi="Arial" w:cs="Arial"/>
          <w:color w:val="000000"/>
          <w:sz w:val="22"/>
          <w:szCs w:val="22"/>
        </w:rPr>
        <w:t>In England, this is largely delivered through NHS Talking Therapies for Anxiety and Depression (formerly IAPT), launched in 2008 to widen access to psychological therapies (House of Commons Library, 2024). The service received 1.76 million referrals in 2022/23, reflecting both rising demand and improved awareness of available support. Pharmacological treatment remains widely used; the NHS spent £217.5 million on antidepressant and anti-anxiety medication in 2023, although this represents a 37% reduction from the 2020 pandemic peak as psychological therapy provision has expanded (Mental Health First Aid, 2025). For severe or treatment-resistant depression, secondary care services, crisis teams and, in rare cases, inpatient admission may be required to ensure safety and intensive support. NICE (2022) also emphasises non-clinical approaches, such as group exercise and self-help materials, recognising that effective control of depression often requires a combination of clinical and lifestyle-based interventions rather than medication alone.</w:t>
      </w:r>
    </w:p>
    <w:p w14:paraId="61ACFDA0" w14:textId="77777777" w:rsidR="00FA744E" w:rsidRPr="008D05A5" w:rsidRDefault="00000000" w:rsidP="008D05A5">
      <w:pPr>
        <w:spacing w:before="260" w:after="140"/>
        <w:jc w:val="both"/>
        <w:rPr>
          <w:rFonts w:ascii="Arial" w:hAnsi="Arial" w:cs="Arial"/>
          <w:sz w:val="22"/>
          <w:szCs w:val="22"/>
        </w:rPr>
      </w:pPr>
      <w:r w:rsidRPr="008D05A5">
        <w:rPr>
          <w:rFonts w:ascii="Arial" w:hAnsi="Arial" w:cs="Arial"/>
          <w:b/>
          <w:bCs/>
          <w:color w:val="000000"/>
          <w:sz w:val="22"/>
          <w:szCs w:val="22"/>
        </w:rPr>
        <w:t>Consequences for People in the Community</w:t>
      </w:r>
    </w:p>
    <w:p w14:paraId="448AC941" w14:textId="77777777" w:rsidR="00FA744E" w:rsidRPr="008D05A5" w:rsidRDefault="00000000" w:rsidP="008D05A5">
      <w:pPr>
        <w:spacing w:after="200"/>
        <w:ind w:firstLine="720"/>
        <w:jc w:val="both"/>
        <w:rPr>
          <w:rFonts w:ascii="Arial" w:hAnsi="Arial" w:cs="Arial"/>
          <w:sz w:val="22"/>
          <w:szCs w:val="22"/>
        </w:rPr>
      </w:pPr>
      <w:r w:rsidRPr="008D05A5">
        <w:rPr>
          <w:rFonts w:ascii="Arial" w:hAnsi="Arial" w:cs="Arial"/>
          <w:color w:val="000000"/>
          <w:sz w:val="22"/>
          <w:szCs w:val="22"/>
        </w:rPr>
        <w:t xml:space="preserve">Depression has far-reaching consequences beyond the individual. At a personal level, it is associated with reduced quality of life, impaired ability to work or study, strained relationships, and increased risk of comorbid physical conditions such as cardiovascular </w:t>
      </w:r>
      <w:r w:rsidRPr="008D05A5">
        <w:rPr>
          <w:rFonts w:ascii="Arial" w:hAnsi="Arial" w:cs="Arial"/>
          <w:color w:val="000000"/>
          <w:sz w:val="22"/>
          <w:szCs w:val="22"/>
        </w:rPr>
        <w:lastRenderedPageBreak/>
        <w:t>disease (WHO, 2023; Centre for Mental Health, 2025). Many individuals also experience difficulty maintaining routines and self-care, which can compound feelings of low self-worth and further isolate them from family, friends and the wider community. Among adults with moderate to severe depressive symptoms, 55% report experiencing loneliness often or always, illustrating a cyclical relationship between depression and social isolation (Mental Health First Aid, 2025). Tragically, depression significantly increases the risk of suicide, which remains a leading cause of death among young people in the UK.</w:t>
      </w:r>
    </w:p>
    <w:p w14:paraId="1B578C32" w14:textId="77777777" w:rsidR="00FA744E" w:rsidRPr="008D05A5" w:rsidRDefault="00000000" w:rsidP="008D05A5">
      <w:pPr>
        <w:spacing w:after="200"/>
        <w:ind w:firstLine="720"/>
        <w:jc w:val="both"/>
        <w:rPr>
          <w:rFonts w:ascii="Arial" w:hAnsi="Arial" w:cs="Arial"/>
          <w:sz w:val="22"/>
          <w:szCs w:val="22"/>
        </w:rPr>
      </w:pPr>
      <w:r w:rsidRPr="008D05A5">
        <w:rPr>
          <w:rFonts w:ascii="Arial" w:hAnsi="Arial" w:cs="Arial"/>
          <w:color w:val="000000"/>
          <w:sz w:val="22"/>
          <w:szCs w:val="22"/>
        </w:rPr>
        <w:t>At a societal level, the economic burden is substantial. The Health and Safety Executive reported that 22.1 million working days were lost to depression, stress and anxiety in 2024/25 (Mental Health First Aid, 2025), while globally, depression and anxiety cost the world economy over $1 trillion annually in lost productivity (WHO, 2023). Depression is also strongly linked to socioeconomic deprivation: individuals with household incomes below £18,000 are over sixteen times more likely to report severe depressive symptoms than those earning above £100,000 (Our Future Health, 2025). This demonstrates how depression both stems from and deepens health inequalities within communities, placing significant strain on welfare systems, with mental health conditions now accounting for 90% of successful incapacity benefit claims involving a cited disorder (Institute for Global Change, 2025).</w:t>
      </w:r>
    </w:p>
    <w:p w14:paraId="08AA1BE1" w14:textId="77777777" w:rsidR="00FA744E" w:rsidRPr="008D05A5" w:rsidRDefault="00000000" w:rsidP="008D05A5">
      <w:pPr>
        <w:spacing w:before="260" w:after="140"/>
        <w:jc w:val="both"/>
        <w:rPr>
          <w:rFonts w:ascii="Arial" w:hAnsi="Arial" w:cs="Arial"/>
          <w:sz w:val="22"/>
          <w:szCs w:val="22"/>
        </w:rPr>
      </w:pPr>
      <w:r w:rsidRPr="008D05A5">
        <w:rPr>
          <w:rFonts w:ascii="Arial" w:hAnsi="Arial" w:cs="Arial"/>
          <w:b/>
          <w:bCs/>
          <w:color w:val="000000"/>
          <w:sz w:val="22"/>
          <w:szCs w:val="22"/>
        </w:rPr>
        <w:t>Health and Social Care Support Services</w:t>
      </w:r>
    </w:p>
    <w:p w14:paraId="00FC45AF" w14:textId="77777777" w:rsidR="00FA744E" w:rsidRPr="008D05A5" w:rsidRDefault="00000000" w:rsidP="008D05A5">
      <w:pPr>
        <w:spacing w:after="200"/>
        <w:ind w:firstLine="720"/>
        <w:jc w:val="both"/>
        <w:rPr>
          <w:rFonts w:ascii="Arial" w:hAnsi="Arial" w:cs="Arial"/>
          <w:sz w:val="22"/>
          <w:szCs w:val="22"/>
        </w:rPr>
      </w:pPr>
      <w:r w:rsidRPr="008D05A5">
        <w:rPr>
          <w:rFonts w:ascii="Arial" w:hAnsi="Arial" w:cs="Arial"/>
          <w:color w:val="000000"/>
          <w:sz w:val="22"/>
          <w:szCs w:val="22"/>
        </w:rPr>
        <w:t>A range of health and social care services support individuals with depression within the community. Primary care is usually the first point of contact, with general practitioners (GPs) able to diagnose depression, prescribe medication, and refer patients to NHS Talking Therapies for psychological interventions such as CBT, counselling, or guided self-help (NICE, 2022). For those with more complex or severe presentations, Community Mental Health Teams (CMHTs) provide multidisciplinary support involving psychiatrists, community psychiatric nurses, social workers and psychologists (NHS England, cited in House of Commons Library, 2024).</w:t>
      </w:r>
    </w:p>
    <w:p w14:paraId="6909EDDD" w14:textId="77777777" w:rsidR="00FA744E" w:rsidRPr="008D05A5" w:rsidRDefault="00000000" w:rsidP="008D05A5">
      <w:pPr>
        <w:spacing w:after="200"/>
        <w:ind w:firstLine="720"/>
        <w:jc w:val="both"/>
        <w:rPr>
          <w:rFonts w:ascii="Arial" w:hAnsi="Arial" w:cs="Arial"/>
          <w:sz w:val="22"/>
          <w:szCs w:val="22"/>
        </w:rPr>
      </w:pPr>
      <w:r w:rsidRPr="008D05A5">
        <w:rPr>
          <w:rFonts w:ascii="Arial" w:hAnsi="Arial" w:cs="Arial"/>
          <w:color w:val="000000"/>
          <w:sz w:val="22"/>
          <w:szCs w:val="22"/>
        </w:rPr>
        <w:t xml:space="preserve">Beyond clinical services, social care support plays a vital role in addressing the wider determinants of depression. This includes social prescribing, where GPs refer patients to non-clinical community activities such as exercise groups, befriending schemes or debt advice services to reduce isolation and address socioeconomic stressors (Centre for Mental Health, 2025). Charitable organisations such as Mind and Rethink Mental Illness provide peer support, advocacy and crisis information, supplementing statutory provision, while local authority social workers can support individuals with practical needs such as housing, finances and safeguarding where depression significantly impairs daily functioning. However, access remains a significant challenge: a 2024 survey found that the majority of people attempting to </w:t>
      </w:r>
      <w:r w:rsidRPr="008D05A5">
        <w:rPr>
          <w:rFonts w:ascii="Arial" w:hAnsi="Arial" w:cs="Arial"/>
          <w:color w:val="000000"/>
          <w:sz w:val="22"/>
          <w:szCs w:val="22"/>
        </w:rPr>
        <w:lastRenderedPageBreak/>
        <w:t>access mental health services felt they were not seen quickly enough, with four in five experiencing a deterioration in their mental health while waiting (Institute for Global Change, 2025). This underscores the ongoing need for adequately funded, well-coordinated, and accessible community-based services to meet rising demand across the UK.</w:t>
      </w:r>
    </w:p>
    <w:p w14:paraId="3CF72655" w14:textId="77777777" w:rsidR="00FA744E" w:rsidRPr="008D05A5" w:rsidRDefault="00000000" w:rsidP="008D05A5">
      <w:pPr>
        <w:spacing w:before="340" w:after="160"/>
        <w:jc w:val="both"/>
        <w:rPr>
          <w:rFonts w:ascii="Arial" w:hAnsi="Arial" w:cs="Arial"/>
          <w:sz w:val="22"/>
          <w:szCs w:val="22"/>
        </w:rPr>
      </w:pPr>
      <w:r w:rsidRPr="008D05A5">
        <w:rPr>
          <w:rFonts w:ascii="Arial" w:hAnsi="Arial" w:cs="Arial"/>
          <w:b/>
          <w:bCs/>
          <w:color w:val="000000"/>
          <w:sz w:val="22"/>
          <w:szCs w:val="22"/>
        </w:rPr>
        <w:t>Conclusion</w:t>
      </w:r>
    </w:p>
    <w:p w14:paraId="70865129" w14:textId="77777777" w:rsidR="00FA744E" w:rsidRPr="008D05A5" w:rsidRDefault="00000000" w:rsidP="008D05A5">
      <w:pPr>
        <w:spacing w:after="200"/>
        <w:ind w:firstLine="720"/>
        <w:jc w:val="both"/>
        <w:rPr>
          <w:rFonts w:ascii="Arial" w:hAnsi="Arial" w:cs="Arial"/>
          <w:sz w:val="22"/>
          <w:szCs w:val="22"/>
        </w:rPr>
      </w:pPr>
      <w:r w:rsidRPr="008D05A5">
        <w:rPr>
          <w:rFonts w:ascii="Arial" w:hAnsi="Arial" w:cs="Arial"/>
          <w:color w:val="000000"/>
          <w:sz w:val="22"/>
          <w:szCs w:val="22"/>
        </w:rPr>
        <w:t>Depression is a widespread and serious mental health condition affecting hundreds of millions of people worldwide and a growing proportion of the UK population. Validated tools such as the PHQ-9 enable consistent measurement and monitoring of severity within primary care, guiding a stepped-care approach that combines psychological therapies, medication and social support. The consequences of depression extend far beyond the individual, contributing to lost productivity, increased pressure on welfare systems, and deepened health inequalities, particularly among lower-income communities. A broad network of health and social care services, from GPs and NHS Talking Therapies to Community Mental Health Teams and voluntary sector organisations, is essential to meeting the needs of those affected. However, rising demand, workforce pressures and lengthy waiting times highlight that current provision struggles to keep pace, reinforcing the need for sustained investment in community mental health support.</w:t>
      </w:r>
    </w:p>
    <w:p w14:paraId="0D390A37" w14:textId="77777777" w:rsidR="008D05A5" w:rsidRDefault="008D05A5" w:rsidP="008D05A5">
      <w:pPr>
        <w:spacing w:before="340" w:after="160"/>
        <w:jc w:val="both"/>
        <w:rPr>
          <w:rFonts w:ascii="Arial" w:hAnsi="Arial" w:cs="Arial"/>
          <w:b/>
          <w:bCs/>
          <w:color w:val="000000"/>
          <w:sz w:val="22"/>
          <w:szCs w:val="22"/>
        </w:rPr>
      </w:pPr>
    </w:p>
    <w:p w14:paraId="02BBD4E5" w14:textId="77777777" w:rsidR="008D05A5" w:rsidRDefault="008D05A5" w:rsidP="008D05A5">
      <w:pPr>
        <w:spacing w:before="340" w:after="160"/>
        <w:jc w:val="both"/>
        <w:rPr>
          <w:rFonts w:ascii="Arial" w:hAnsi="Arial" w:cs="Arial"/>
          <w:b/>
          <w:bCs/>
          <w:color w:val="000000"/>
          <w:sz w:val="22"/>
          <w:szCs w:val="22"/>
        </w:rPr>
      </w:pPr>
    </w:p>
    <w:p w14:paraId="71914826" w14:textId="77777777" w:rsidR="008D05A5" w:rsidRDefault="008D05A5" w:rsidP="008D05A5">
      <w:pPr>
        <w:spacing w:before="340" w:after="160"/>
        <w:jc w:val="both"/>
        <w:rPr>
          <w:rFonts w:ascii="Arial" w:hAnsi="Arial" w:cs="Arial"/>
          <w:b/>
          <w:bCs/>
          <w:color w:val="000000"/>
          <w:sz w:val="22"/>
          <w:szCs w:val="22"/>
        </w:rPr>
      </w:pPr>
    </w:p>
    <w:p w14:paraId="59AEB0CE" w14:textId="77777777" w:rsidR="008D05A5" w:rsidRDefault="008D05A5" w:rsidP="008D05A5">
      <w:pPr>
        <w:spacing w:before="340" w:after="160"/>
        <w:jc w:val="both"/>
        <w:rPr>
          <w:rFonts w:ascii="Arial" w:hAnsi="Arial" w:cs="Arial"/>
          <w:b/>
          <w:bCs/>
          <w:color w:val="000000"/>
          <w:sz w:val="22"/>
          <w:szCs w:val="22"/>
        </w:rPr>
      </w:pPr>
    </w:p>
    <w:p w14:paraId="299904B6" w14:textId="77777777" w:rsidR="008D05A5" w:rsidRDefault="008D05A5" w:rsidP="008D05A5">
      <w:pPr>
        <w:spacing w:before="340" w:after="160"/>
        <w:jc w:val="both"/>
        <w:rPr>
          <w:rFonts w:ascii="Arial" w:hAnsi="Arial" w:cs="Arial"/>
          <w:b/>
          <w:bCs/>
          <w:color w:val="000000"/>
          <w:sz w:val="22"/>
          <w:szCs w:val="22"/>
        </w:rPr>
      </w:pPr>
    </w:p>
    <w:p w14:paraId="078011D2" w14:textId="77777777" w:rsidR="008D05A5" w:rsidRDefault="008D05A5" w:rsidP="008D05A5">
      <w:pPr>
        <w:spacing w:before="340" w:after="160"/>
        <w:jc w:val="both"/>
        <w:rPr>
          <w:rFonts w:ascii="Arial" w:hAnsi="Arial" w:cs="Arial"/>
          <w:b/>
          <w:bCs/>
          <w:color w:val="000000"/>
          <w:sz w:val="22"/>
          <w:szCs w:val="22"/>
        </w:rPr>
      </w:pPr>
    </w:p>
    <w:p w14:paraId="29B79199" w14:textId="77777777" w:rsidR="008D05A5" w:rsidRDefault="008D05A5" w:rsidP="008D05A5">
      <w:pPr>
        <w:spacing w:before="340" w:after="160"/>
        <w:jc w:val="both"/>
        <w:rPr>
          <w:rFonts w:ascii="Arial" w:hAnsi="Arial" w:cs="Arial"/>
          <w:b/>
          <w:bCs/>
          <w:color w:val="000000"/>
          <w:sz w:val="22"/>
          <w:szCs w:val="22"/>
        </w:rPr>
      </w:pPr>
    </w:p>
    <w:p w14:paraId="3AD47BED" w14:textId="77777777" w:rsidR="008D05A5" w:rsidRDefault="008D05A5" w:rsidP="008D05A5">
      <w:pPr>
        <w:spacing w:before="340" w:after="160"/>
        <w:jc w:val="both"/>
        <w:rPr>
          <w:rFonts w:ascii="Arial" w:hAnsi="Arial" w:cs="Arial"/>
          <w:b/>
          <w:bCs/>
          <w:color w:val="000000"/>
          <w:sz w:val="22"/>
          <w:szCs w:val="22"/>
        </w:rPr>
      </w:pPr>
    </w:p>
    <w:p w14:paraId="7ED5349E" w14:textId="77777777" w:rsidR="008D05A5" w:rsidRDefault="008D05A5" w:rsidP="008D05A5">
      <w:pPr>
        <w:spacing w:before="340" w:after="160"/>
        <w:jc w:val="both"/>
        <w:rPr>
          <w:rFonts w:ascii="Arial" w:hAnsi="Arial" w:cs="Arial"/>
          <w:b/>
          <w:bCs/>
          <w:color w:val="000000"/>
          <w:sz w:val="22"/>
          <w:szCs w:val="22"/>
        </w:rPr>
      </w:pPr>
    </w:p>
    <w:p w14:paraId="6BE47A44" w14:textId="5450877C" w:rsidR="00FA744E" w:rsidRPr="008D05A5" w:rsidRDefault="00000000" w:rsidP="008D05A5">
      <w:pPr>
        <w:spacing w:before="340" w:after="160"/>
        <w:jc w:val="both"/>
        <w:rPr>
          <w:rFonts w:ascii="Arial" w:hAnsi="Arial" w:cs="Arial"/>
          <w:sz w:val="22"/>
          <w:szCs w:val="22"/>
        </w:rPr>
      </w:pPr>
      <w:r w:rsidRPr="008D05A5">
        <w:rPr>
          <w:rFonts w:ascii="Arial" w:hAnsi="Arial" w:cs="Arial"/>
          <w:b/>
          <w:bCs/>
          <w:color w:val="000000"/>
          <w:sz w:val="22"/>
          <w:szCs w:val="22"/>
        </w:rPr>
        <w:lastRenderedPageBreak/>
        <w:t>References</w:t>
      </w:r>
    </w:p>
    <w:p w14:paraId="373383F5" w14:textId="77777777" w:rsidR="00FA744E" w:rsidRPr="008D05A5" w:rsidRDefault="00000000" w:rsidP="008D05A5">
      <w:pPr>
        <w:spacing w:after="180"/>
        <w:ind w:left="720" w:hanging="720"/>
        <w:jc w:val="both"/>
        <w:rPr>
          <w:rFonts w:ascii="Arial" w:hAnsi="Arial" w:cs="Arial"/>
          <w:sz w:val="22"/>
          <w:szCs w:val="22"/>
        </w:rPr>
      </w:pPr>
      <w:r w:rsidRPr="008D05A5">
        <w:rPr>
          <w:rFonts w:ascii="Arial" w:hAnsi="Arial" w:cs="Arial"/>
          <w:color w:val="000000"/>
          <w:sz w:val="22"/>
          <w:szCs w:val="22"/>
        </w:rPr>
        <w:t>British Journal of General Practice (BJGP) (2008) Psychometric comparison of PHQ-9 and HADS for measuring depression severity in primary care. London: Royal College of General Practitioners. Available at: https://bjgp.org (Accessed: 19 June 2026).</w:t>
      </w:r>
    </w:p>
    <w:p w14:paraId="4E5A0E38" w14:textId="77777777" w:rsidR="00FA744E" w:rsidRPr="008D05A5" w:rsidRDefault="00000000" w:rsidP="008D05A5">
      <w:pPr>
        <w:spacing w:after="180"/>
        <w:ind w:left="720" w:hanging="720"/>
        <w:jc w:val="both"/>
        <w:rPr>
          <w:rFonts w:ascii="Arial" w:hAnsi="Arial" w:cs="Arial"/>
          <w:sz w:val="22"/>
          <w:szCs w:val="22"/>
        </w:rPr>
      </w:pPr>
      <w:r w:rsidRPr="008D05A5">
        <w:rPr>
          <w:rFonts w:ascii="Arial" w:hAnsi="Arial" w:cs="Arial"/>
          <w:color w:val="000000"/>
          <w:sz w:val="22"/>
          <w:szCs w:val="22"/>
        </w:rPr>
        <w:t>Centre for Mental Health (2025) The big mental health report 2025. London: Centre for Mental Health. Available at: https://www.centreformentalhealth.org.uk (Accessed: 19 June 2026).</w:t>
      </w:r>
    </w:p>
    <w:p w14:paraId="6FE0475E" w14:textId="77777777" w:rsidR="00FA744E" w:rsidRPr="008D05A5" w:rsidRDefault="00000000" w:rsidP="008D05A5">
      <w:pPr>
        <w:spacing w:after="180"/>
        <w:ind w:left="720" w:hanging="720"/>
        <w:jc w:val="both"/>
        <w:rPr>
          <w:rFonts w:ascii="Arial" w:hAnsi="Arial" w:cs="Arial"/>
          <w:sz w:val="22"/>
          <w:szCs w:val="22"/>
        </w:rPr>
      </w:pPr>
      <w:r w:rsidRPr="008D05A5">
        <w:rPr>
          <w:rFonts w:ascii="Arial" w:hAnsi="Arial" w:cs="Arial"/>
          <w:color w:val="000000"/>
          <w:sz w:val="22"/>
          <w:szCs w:val="22"/>
        </w:rPr>
        <w:t>House of Commons Library (2024) Mental health statistics: prevalence, services and funding in England. London: UK Parliament. Available at: https://commonslibrary.parliament.uk (Accessed: 19 June 2026).</w:t>
      </w:r>
    </w:p>
    <w:p w14:paraId="0A1ED6DD" w14:textId="77777777" w:rsidR="00FA744E" w:rsidRPr="008D05A5" w:rsidRDefault="00000000" w:rsidP="008D05A5">
      <w:pPr>
        <w:spacing w:after="180"/>
        <w:ind w:left="720" w:hanging="720"/>
        <w:jc w:val="both"/>
        <w:rPr>
          <w:rFonts w:ascii="Arial" w:hAnsi="Arial" w:cs="Arial"/>
          <w:sz w:val="22"/>
          <w:szCs w:val="22"/>
        </w:rPr>
      </w:pPr>
      <w:r w:rsidRPr="008D05A5">
        <w:rPr>
          <w:rFonts w:ascii="Arial" w:hAnsi="Arial" w:cs="Arial"/>
          <w:color w:val="000000"/>
          <w:sz w:val="22"/>
          <w:szCs w:val="22"/>
        </w:rPr>
        <w:t>Kroenke, K., Spitzer, R.L. and Williams, J.B.W. (2001) 'The PHQ-9: validity of a brief depression severity measure', Journal of General Internal Medicine, 16(9), pp.606-613.</w:t>
      </w:r>
    </w:p>
    <w:p w14:paraId="5C259D8C" w14:textId="77777777" w:rsidR="00FA744E" w:rsidRPr="008D05A5" w:rsidRDefault="00000000" w:rsidP="008D05A5">
      <w:pPr>
        <w:spacing w:after="180"/>
        <w:ind w:left="720" w:hanging="720"/>
        <w:jc w:val="both"/>
        <w:rPr>
          <w:rFonts w:ascii="Arial" w:hAnsi="Arial" w:cs="Arial"/>
          <w:sz w:val="22"/>
          <w:szCs w:val="22"/>
        </w:rPr>
      </w:pPr>
      <w:r w:rsidRPr="008D05A5">
        <w:rPr>
          <w:rFonts w:ascii="Arial" w:hAnsi="Arial" w:cs="Arial"/>
          <w:color w:val="000000"/>
          <w:sz w:val="22"/>
          <w:szCs w:val="22"/>
        </w:rPr>
        <w:t>Mental Health First Aid (2025) Depression statistics UK: 2026 facts, data and key insights. Available at: https://www.mentalhealthfirstaidcourse.co.uk (Accessed: 19 June 2026).</w:t>
      </w:r>
    </w:p>
    <w:p w14:paraId="2A19E5B8" w14:textId="77777777" w:rsidR="00FA744E" w:rsidRPr="008D05A5" w:rsidRDefault="00000000" w:rsidP="008D05A5">
      <w:pPr>
        <w:spacing w:after="180"/>
        <w:ind w:left="720" w:hanging="720"/>
        <w:jc w:val="both"/>
        <w:rPr>
          <w:rFonts w:ascii="Arial" w:hAnsi="Arial" w:cs="Arial"/>
          <w:sz w:val="22"/>
          <w:szCs w:val="22"/>
        </w:rPr>
      </w:pPr>
      <w:r w:rsidRPr="008D05A5">
        <w:rPr>
          <w:rFonts w:ascii="Arial" w:hAnsi="Arial" w:cs="Arial"/>
          <w:color w:val="000000"/>
          <w:sz w:val="22"/>
          <w:szCs w:val="22"/>
        </w:rPr>
        <w:t>National Institute for Health and Care Excellence (NICE) (2022) Depression in adults: treatment and management (NG222). London: NICE. Available at: https://www.nice.org.uk (Accessed: 19 June 2026).</w:t>
      </w:r>
    </w:p>
    <w:p w14:paraId="3E8E7FDD" w14:textId="77777777" w:rsidR="00FA744E" w:rsidRPr="008D05A5" w:rsidRDefault="00000000" w:rsidP="008D05A5">
      <w:pPr>
        <w:spacing w:after="180"/>
        <w:ind w:left="720" w:hanging="720"/>
        <w:jc w:val="both"/>
        <w:rPr>
          <w:rFonts w:ascii="Arial" w:hAnsi="Arial" w:cs="Arial"/>
          <w:sz w:val="22"/>
          <w:szCs w:val="22"/>
        </w:rPr>
      </w:pPr>
      <w:r w:rsidRPr="008D05A5">
        <w:rPr>
          <w:rFonts w:ascii="Arial" w:hAnsi="Arial" w:cs="Arial"/>
          <w:color w:val="000000"/>
          <w:sz w:val="22"/>
          <w:szCs w:val="22"/>
        </w:rPr>
        <w:t>World Health Organization (WHO) (2023) Depressive disorder (depression). Geneva: WHO. Available at: https://www.who.int (Accessed: 19 June 2026).</w:t>
      </w:r>
    </w:p>
    <w:sectPr w:rsidR="00FA744E" w:rsidRPr="008D05A5">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7C2924"/>
    <w:multiLevelType w:val="hybridMultilevel"/>
    <w:tmpl w:val="0DE6AB74"/>
    <w:lvl w:ilvl="0" w:tplc="05B4258C">
      <w:start w:val="1"/>
      <w:numFmt w:val="bullet"/>
      <w:lvlText w:val="●"/>
      <w:lvlJc w:val="left"/>
      <w:pPr>
        <w:ind w:left="720" w:hanging="360"/>
      </w:pPr>
    </w:lvl>
    <w:lvl w:ilvl="1" w:tplc="ED6499B0">
      <w:start w:val="1"/>
      <w:numFmt w:val="bullet"/>
      <w:lvlText w:val="○"/>
      <w:lvlJc w:val="left"/>
      <w:pPr>
        <w:ind w:left="1440" w:hanging="360"/>
      </w:pPr>
    </w:lvl>
    <w:lvl w:ilvl="2" w:tplc="A46EB636">
      <w:start w:val="1"/>
      <w:numFmt w:val="bullet"/>
      <w:lvlText w:val="■"/>
      <w:lvlJc w:val="left"/>
      <w:pPr>
        <w:ind w:left="2160" w:hanging="360"/>
      </w:pPr>
    </w:lvl>
    <w:lvl w:ilvl="3" w:tplc="E4846090">
      <w:start w:val="1"/>
      <w:numFmt w:val="bullet"/>
      <w:lvlText w:val="●"/>
      <w:lvlJc w:val="left"/>
      <w:pPr>
        <w:ind w:left="2880" w:hanging="360"/>
      </w:pPr>
    </w:lvl>
    <w:lvl w:ilvl="4" w:tplc="E91EDC28">
      <w:start w:val="1"/>
      <w:numFmt w:val="bullet"/>
      <w:lvlText w:val="○"/>
      <w:lvlJc w:val="left"/>
      <w:pPr>
        <w:ind w:left="3600" w:hanging="360"/>
      </w:pPr>
    </w:lvl>
    <w:lvl w:ilvl="5" w:tplc="87EC0516">
      <w:start w:val="1"/>
      <w:numFmt w:val="bullet"/>
      <w:lvlText w:val="■"/>
      <w:lvlJc w:val="left"/>
      <w:pPr>
        <w:ind w:left="4320" w:hanging="360"/>
      </w:pPr>
    </w:lvl>
    <w:lvl w:ilvl="6" w:tplc="9A5AD932">
      <w:start w:val="1"/>
      <w:numFmt w:val="bullet"/>
      <w:lvlText w:val="●"/>
      <w:lvlJc w:val="left"/>
      <w:pPr>
        <w:ind w:left="5040" w:hanging="360"/>
      </w:pPr>
    </w:lvl>
    <w:lvl w:ilvl="7" w:tplc="0FF6BA06">
      <w:start w:val="1"/>
      <w:numFmt w:val="bullet"/>
      <w:lvlText w:val="●"/>
      <w:lvlJc w:val="left"/>
      <w:pPr>
        <w:ind w:left="5760" w:hanging="360"/>
      </w:pPr>
    </w:lvl>
    <w:lvl w:ilvl="8" w:tplc="0038E184">
      <w:start w:val="1"/>
      <w:numFmt w:val="bullet"/>
      <w:lvlText w:val="●"/>
      <w:lvlJc w:val="left"/>
      <w:pPr>
        <w:ind w:left="6480" w:hanging="360"/>
      </w:pPr>
    </w:lvl>
  </w:abstractNum>
  <w:abstractNum w:abstractNumId="1" w15:restartNumberingAfterBreak="0">
    <w:nsid w:val="5DA3082A"/>
    <w:multiLevelType w:val="hybridMultilevel"/>
    <w:tmpl w:val="A3B04524"/>
    <w:lvl w:ilvl="0" w:tplc="E6806B6A">
      <w:start w:val="1"/>
      <w:numFmt w:val="bullet"/>
      <w:lvlText w:val="•"/>
      <w:lvlJc w:val="left"/>
      <w:pPr>
        <w:ind w:left="1080" w:hanging="360"/>
      </w:pPr>
    </w:lvl>
    <w:lvl w:ilvl="1" w:tplc="41A4AC32">
      <w:numFmt w:val="decimal"/>
      <w:lvlText w:val=""/>
      <w:lvlJc w:val="left"/>
    </w:lvl>
    <w:lvl w:ilvl="2" w:tplc="6B228DE6">
      <w:numFmt w:val="decimal"/>
      <w:lvlText w:val=""/>
      <w:lvlJc w:val="left"/>
    </w:lvl>
    <w:lvl w:ilvl="3" w:tplc="38A0D388">
      <w:numFmt w:val="decimal"/>
      <w:lvlText w:val=""/>
      <w:lvlJc w:val="left"/>
    </w:lvl>
    <w:lvl w:ilvl="4" w:tplc="B3904364">
      <w:numFmt w:val="decimal"/>
      <w:lvlText w:val=""/>
      <w:lvlJc w:val="left"/>
    </w:lvl>
    <w:lvl w:ilvl="5" w:tplc="D3260492">
      <w:numFmt w:val="decimal"/>
      <w:lvlText w:val=""/>
      <w:lvlJc w:val="left"/>
    </w:lvl>
    <w:lvl w:ilvl="6" w:tplc="C2B05E80">
      <w:numFmt w:val="decimal"/>
      <w:lvlText w:val=""/>
      <w:lvlJc w:val="left"/>
    </w:lvl>
    <w:lvl w:ilvl="7" w:tplc="D8EEC38C">
      <w:numFmt w:val="decimal"/>
      <w:lvlText w:val=""/>
      <w:lvlJc w:val="left"/>
    </w:lvl>
    <w:lvl w:ilvl="8" w:tplc="8E5E46BA">
      <w:numFmt w:val="decimal"/>
      <w:lvlText w:val=""/>
      <w:lvlJc w:val="left"/>
    </w:lvl>
  </w:abstractNum>
  <w:num w:numId="1" w16cid:durableId="172506041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744E"/>
    <w:rsid w:val="003D603E"/>
    <w:rsid w:val="008D05A5"/>
    <w:rsid w:val="00BC53FE"/>
    <w:rsid w:val="00DC0D87"/>
    <w:rsid w:val="00FA74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87E94"/>
  <w15:docId w15:val="{3B6740CC-D3CD-4E97-BC07-98C509A82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TotalTime>
  <Pages>6</Pages>
  <Words>1652</Words>
  <Characters>9417</Characters>
  <Application>Microsoft Office Word</Application>
  <DocSecurity>0</DocSecurity>
  <Lines>78</Lines>
  <Paragraphs>22</Paragraphs>
  <ScaleCrop>false</ScaleCrop>
  <Company/>
  <LinksUpToDate>false</LinksUpToDate>
  <CharactersWithSpaces>11047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abid chaudry</cp:lastModifiedBy>
  <cp:revision>3</cp:revision>
  <dcterms:created xsi:type="dcterms:W3CDTF">2026-06-19T21:34:00Z</dcterms:created>
  <dcterms:modified xsi:type="dcterms:W3CDTF">2026-07-13T15:48:00Z</dcterms:modified>
</cp:coreProperties>
</file>