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DD542F" w14:textId="7F13AF4A" w:rsidR="00C053DB" w:rsidRDefault="00C053DB" w:rsidP="00FB7143">
      <w:pPr>
        <w:tabs>
          <w:tab w:val="num" w:pos="720"/>
        </w:tabs>
        <w:ind w:left="357"/>
      </w:pPr>
      <w:r>
        <w:rPr>
          <w:noProof/>
        </w:rPr>
        <w:drawing>
          <wp:inline distT="0" distB="0" distL="0" distR="0" wp14:anchorId="31389B53" wp14:editId="600048F7">
            <wp:extent cx="5943600" cy="4104640"/>
            <wp:effectExtent l="0" t="0" r="0" b="0"/>
            <wp:docPr id="1791880760" name="Picture 1" descr="A group of clay figures on a black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880760" name="Picture 1" descr="A group of clay figures on a black surfac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04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CE233" w14:textId="77777777" w:rsidR="00B12999" w:rsidRDefault="00B12999" w:rsidP="00FB7143">
      <w:pPr>
        <w:tabs>
          <w:tab w:val="num" w:pos="720"/>
        </w:tabs>
        <w:ind w:left="357"/>
      </w:pPr>
    </w:p>
    <w:p w14:paraId="3DA2F9FA" w14:textId="6E41A17E" w:rsidR="006D73F6" w:rsidRPr="008B1078" w:rsidRDefault="0054132B" w:rsidP="00FB7143">
      <w:pPr>
        <w:tabs>
          <w:tab w:val="num" w:pos="720"/>
        </w:tabs>
        <w:ind w:left="357"/>
        <w:rPr>
          <w:rFonts w:ascii="Times New Roman" w:hAnsi="Times New Roman" w:cs="Times New Roman"/>
        </w:rPr>
      </w:pPr>
      <w:r>
        <w:tab/>
      </w:r>
      <w:r w:rsidR="006D73F6" w:rsidRPr="008B1078">
        <w:rPr>
          <w:rFonts w:ascii="Times New Roman" w:hAnsi="Times New Roman" w:cs="Times New Roman"/>
        </w:rPr>
        <w:t xml:space="preserve">This diorama is a mock-up of </w:t>
      </w:r>
      <w:r w:rsidR="00E03281" w:rsidRPr="008B1078">
        <w:rPr>
          <w:rFonts w:ascii="Times New Roman" w:hAnsi="Times New Roman" w:cs="Times New Roman"/>
        </w:rPr>
        <w:t>a museum exhibit</w:t>
      </w:r>
      <w:r w:rsidR="00375B1E" w:rsidRPr="008B1078">
        <w:rPr>
          <w:rFonts w:ascii="Times New Roman" w:hAnsi="Times New Roman" w:cs="Times New Roman"/>
        </w:rPr>
        <w:t xml:space="preserve">. </w:t>
      </w:r>
      <w:r w:rsidR="00DC1D9F" w:rsidRPr="008B1078">
        <w:rPr>
          <w:rFonts w:ascii="Times New Roman" w:hAnsi="Times New Roman" w:cs="Times New Roman"/>
        </w:rPr>
        <w:t xml:space="preserve">The </w:t>
      </w:r>
      <w:r w:rsidR="00C85E6B" w:rsidRPr="008B1078">
        <w:rPr>
          <w:rFonts w:ascii="Times New Roman" w:hAnsi="Times New Roman" w:cs="Times New Roman"/>
        </w:rPr>
        <w:t>purpose</w:t>
      </w:r>
      <w:r w:rsidR="00DC1D9F" w:rsidRPr="008B1078">
        <w:rPr>
          <w:rFonts w:ascii="Times New Roman" w:hAnsi="Times New Roman" w:cs="Times New Roman"/>
        </w:rPr>
        <w:t xml:space="preserve"> </w:t>
      </w:r>
      <w:r w:rsidR="007E6682" w:rsidRPr="008B1078">
        <w:rPr>
          <w:rFonts w:ascii="Times New Roman" w:hAnsi="Times New Roman" w:cs="Times New Roman"/>
        </w:rPr>
        <w:t xml:space="preserve">is to </w:t>
      </w:r>
      <w:r w:rsidR="00FB7143" w:rsidRPr="008B1078">
        <w:rPr>
          <w:rFonts w:ascii="Times New Roman" w:hAnsi="Times New Roman" w:cs="Times New Roman"/>
        </w:rPr>
        <w:t>introduce</w:t>
      </w:r>
      <w:r w:rsidR="00DC1D9F" w:rsidRPr="008B1078">
        <w:rPr>
          <w:rFonts w:ascii="Times New Roman" w:hAnsi="Times New Roman" w:cs="Times New Roman"/>
        </w:rPr>
        <w:t xml:space="preserve"> oral history into the museum setting </w:t>
      </w:r>
      <w:r w:rsidR="00C85E6B" w:rsidRPr="008B1078">
        <w:rPr>
          <w:rFonts w:ascii="Times New Roman" w:hAnsi="Times New Roman" w:cs="Times New Roman"/>
        </w:rPr>
        <w:t xml:space="preserve">alongside traditional works of written and visual history. This exhibit would embrace the </w:t>
      </w:r>
      <w:r w:rsidR="00A06250" w:rsidRPr="008B1078">
        <w:rPr>
          <w:rFonts w:ascii="Times New Roman" w:hAnsi="Times New Roman" w:cs="Times New Roman"/>
        </w:rPr>
        <w:t xml:space="preserve">ephemeral nature </w:t>
      </w:r>
      <w:r w:rsidR="00F27448" w:rsidRPr="008B1078">
        <w:rPr>
          <w:rFonts w:ascii="Times New Roman" w:hAnsi="Times New Roman" w:cs="Times New Roman"/>
        </w:rPr>
        <w:t xml:space="preserve">of in-person storytelling </w:t>
      </w:r>
      <w:r w:rsidR="00A41617" w:rsidRPr="008B1078">
        <w:rPr>
          <w:rFonts w:ascii="Times New Roman" w:hAnsi="Times New Roman" w:cs="Times New Roman"/>
        </w:rPr>
        <w:t xml:space="preserve">by instead of recording </w:t>
      </w:r>
      <w:r w:rsidR="00900F94" w:rsidRPr="008B1078">
        <w:rPr>
          <w:rFonts w:ascii="Times New Roman" w:hAnsi="Times New Roman" w:cs="Times New Roman"/>
        </w:rPr>
        <w:t xml:space="preserve">a story to play it would include a rotation of guest speakers to share their stories over the course of the exhibit. </w:t>
      </w:r>
      <w:r w:rsidR="00FA2332" w:rsidRPr="008B1078">
        <w:rPr>
          <w:rFonts w:ascii="Times New Roman" w:hAnsi="Times New Roman" w:cs="Times New Roman"/>
        </w:rPr>
        <w:t>I believe this is a suitable setting</w:t>
      </w:r>
      <w:r w:rsidR="003C51BE" w:rsidRPr="008B1078">
        <w:rPr>
          <w:rFonts w:ascii="Times New Roman" w:hAnsi="Times New Roman" w:cs="Times New Roman"/>
        </w:rPr>
        <w:t xml:space="preserve"> to stay true to the nature of oral history, as it allows for the stories to be shared </w:t>
      </w:r>
      <w:r w:rsidR="00D95B4B" w:rsidRPr="008B1078">
        <w:rPr>
          <w:rFonts w:ascii="Times New Roman" w:hAnsi="Times New Roman" w:cs="Times New Roman"/>
        </w:rPr>
        <w:t xml:space="preserve">within the same places as non-oral pieces and </w:t>
      </w:r>
      <w:r w:rsidR="009D56AE" w:rsidRPr="008B1078">
        <w:rPr>
          <w:rFonts w:ascii="Times New Roman" w:hAnsi="Times New Roman" w:cs="Times New Roman"/>
        </w:rPr>
        <w:t xml:space="preserve">allows the opportunity for </w:t>
      </w:r>
      <w:r w:rsidR="0052324D" w:rsidRPr="008B1078">
        <w:rPr>
          <w:rFonts w:ascii="Times New Roman" w:hAnsi="Times New Roman" w:cs="Times New Roman"/>
        </w:rPr>
        <w:t xml:space="preserve">Indigenous and other voices that have been silenced previously. </w:t>
      </w:r>
      <w:r w:rsidR="007A5224" w:rsidRPr="008B1078">
        <w:rPr>
          <w:rFonts w:ascii="Times New Roman" w:hAnsi="Times New Roman" w:cs="Times New Roman"/>
        </w:rPr>
        <w:t xml:space="preserve">In addition to </w:t>
      </w:r>
      <w:r w:rsidR="00A53AB5" w:rsidRPr="008B1078">
        <w:rPr>
          <w:rFonts w:ascii="Times New Roman" w:hAnsi="Times New Roman" w:cs="Times New Roman"/>
        </w:rPr>
        <w:t xml:space="preserve">the inclusion of more voices, this exhibit </w:t>
      </w:r>
      <w:r w:rsidR="00A00E11" w:rsidRPr="008B1078">
        <w:rPr>
          <w:rFonts w:ascii="Times New Roman" w:hAnsi="Times New Roman" w:cs="Times New Roman"/>
        </w:rPr>
        <w:t xml:space="preserve">also </w:t>
      </w:r>
      <w:r w:rsidR="00B737B9" w:rsidRPr="008B1078">
        <w:rPr>
          <w:rFonts w:ascii="Times New Roman" w:hAnsi="Times New Roman" w:cs="Times New Roman"/>
        </w:rPr>
        <w:t xml:space="preserve">allows for the nature of storytelling to be preserved; </w:t>
      </w:r>
      <w:r w:rsidR="000B086E" w:rsidRPr="008B1078">
        <w:rPr>
          <w:rFonts w:ascii="Times New Roman" w:hAnsi="Times New Roman" w:cs="Times New Roman"/>
        </w:rPr>
        <w:t xml:space="preserve">the </w:t>
      </w:r>
      <w:r w:rsidR="00195BC3" w:rsidRPr="008B1078">
        <w:rPr>
          <w:rFonts w:ascii="Times New Roman" w:hAnsi="Times New Roman" w:cs="Times New Roman"/>
        </w:rPr>
        <w:t>stories</w:t>
      </w:r>
      <w:r w:rsidR="00A96889" w:rsidRPr="008B1078">
        <w:rPr>
          <w:rFonts w:ascii="Times New Roman" w:hAnsi="Times New Roman" w:cs="Times New Roman"/>
        </w:rPr>
        <w:t xml:space="preserve"> </w:t>
      </w:r>
      <w:r w:rsidR="00195BC3" w:rsidRPr="008B1078">
        <w:rPr>
          <w:rFonts w:ascii="Times New Roman" w:hAnsi="Times New Roman" w:cs="Times New Roman"/>
        </w:rPr>
        <w:t>are</w:t>
      </w:r>
      <w:r w:rsidR="00A96889" w:rsidRPr="008B1078">
        <w:rPr>
          <w:rFonts w:ascii="Times New Roman" w:hAnsi="Times New Roman" w:cs="Times New Roman"/>
        </w:rPr>
        <w:t xml:space="preserve"> told live to an audience</w:t>
      </w:r>
      <w:r w:rsidR="00195BC3" w:rsidRPr="008B1078">
        <w:rPr>
          <w:rFonts w:ascii="Times New Roman" w:hAnsi="Times New Roman" w:cs="Times New Roman"/>
        </w:rPr>
        <w:t xml:space="preserve"> who </w:t>
      </w:r>
      <w:r w:rsidR="00B824BE" w:rsidRPr="008B1078">
        <w:rPr>
          <w:rFonts w:ascii="Times New Roman" w:hAnsi="Times New Roman" w:cs="Times New Roman"/>
        </w:rPr>
        <w:t xml:space="preserve">gets to experience the past as the storyteller guides them through it. </w:t>
      </w:r>
    </w:p>
    <w:p w14:paraId="57309A00" w14:textId="77777777" w:rsidR="001D3CE9" w:rsidRPr="008B1078" w:rsidRDefault="001D3CE9" w:rsidP="00FB7143">
      <w:pPr>
        <w:tabs>
          <w:tab w:val="num" w:pos="720"/>
        </w:tabs>
        <w:ind w:left="357"/>
        <w:rPr>
          <w:rFonts w:ascii="Times New Roman" w:hAnsi="Times New Roman" w:cs="Times New Roman"/>
        </w:rPr>
      </w:pPr>
    </w:p>
    <w:p w14:paraId="18F4C82E" w14:textId="5065A1D2" w:rsidR="0036738F" w:rsidRPr="008B1078" w:rsidRDefault="0054132B" w:rsidP="00A8097C">
      <w:pPr>
        <w:tabs>
          <w:tab w:val="num" w:pos="720"/>
        </w:tabs>
        <w:ind w:left="357"/>
        <w:rPr>
          <w:rFonts w:ascii="Times New Roman" w:hAnsi="Times New Roman" w:cs="Times New Roman"/>
        </w:rPr>
      </w:pPr>
      <w:r w:rsidRPr="008B1078">
        <w:rPr>
          <w:rFonts w:ascii="Times New Roman" w:hAnsi="Times New Roman" w:cs="Times New Roman"/>
        </w:rPr>
        <w:tab/>
      </w:r>
      <w:r w:rsidR="001F6D79" w:rsidRPr="008B1078">
        <w:rPr>
          <w:rFonts w:ascii="Times New Roman" w:hAnsi="Times New Roman" w:cs="Times New Roman"/>
        </w:rPr>
        <w:t xml:space="preserve">As depicted in the diorama, the exhibit would be set up as an open </w:t>
      </w:r>
      <w:r w:rsidR="00865830" w:rsidRPr="008B1078">
        <w:rPr>
          <w:rFonts w:ascii="Times New Roman" w:hAnsi="Times New Roman" w:cs="Times New Roman"/>
        </w:rPr>
        <w:t xml:space="preserve">room for guests to join as they </w:t>
      </w:r>
      <w:r w:rsidR="006403BF" w:rsidRPr="008B1078">
        <w:rPr>
          <w:rFonts w:ascii="Times New Roman" w:hAnsi="Times New Roman" w:cs="Times New Roman"/>
        </w:rPr>
        <w:t xml:space="preserve">make their way through the museum. In the exhibition room </w:t>
      </w:r>
      <w:r w:rsidR="00D03C2B" w:rsidRPr="008B1078">
        <w:rPr>
          <w:rFonts w:ascii="Times New Roman" w:hAnsi="Times New Roman" w:cs="Times New Roman"/>
        </w:rPr>
        <w:t xml:space="preserve">would be benches for the audience to sit as they listen to the speaker or speakers as they share their story with the guests. </w:t>
      </w:r>
      <w:r w:rsidR="00E76A43" w:rsidRPr="008B1078">
        <w:rPr>
          <w:rFonts w:ascii="Times New Roman" w:hAnsi="Times New Roman" w:cs="Times New Roman"/>
        </w:rPr>
        <w:t xml:space="preserve">The storyteller would be able to share their story orally rather than </w:t>
      </w:r>
      <w:r w:rsidR="00956A87" w:rsidRPr="008B1078">
        <w:rPr>
          <w:rFonts w:ascii="Times New Roman" w:hAnsi="Times New Roman" w:cs="Times New Roman"/>
        </w:rPr>
        <w:t xml:space="preserve">have it written on a plaque or board for people to walk by. This medium allows preservation of the tradition and practice of oral history </w:t>
      </w:r>
      <w:r w:rsidR="00D262E1" w:rsidRPr="008B1078">
        <w:rPr>
          <w:rFonts w:ascii="Times New Roman" w:hAnsi="Times New Roman" w:cs="Times New Roman"/>
        </w:rPr>
        <w:t xml:space="preserve">as well as opens opportunities for </w:t>
      </w:r>
      <w:r w:rsidR="00AB27D5" w:rsidRPr="008B1078">
        <w:rPr>
          <w:rFonts w:ascii="Times New Roman" w:hAnsi="Times New Roman" w:cs="Times New Roman"/>
        </w:rPr>
        <w:t xml:space="preserve">people who have not been granted the space to share their histories </w:t>
      </w:r>
      <w:r w:rsidR="00075B47" w:rsidRPr="008B1078">
        <w:rPr>
          <w:rFonts w:ascii="Times New Roman" w:hAnsi="Times New Roman" w:cs="Times New Roman"/>
        </w:rPr>
        <w:t>on their own terms</w:t>
      </w:r>
      <w:r w:rsidR="00F62D27" w:rsidRPr="008B1078">
        <w:rPr>
          <w:rFonts w:ascii="Times New Roman" w:hAnsi="Times New Roman" w:cs="Times New Roman"/>
        </w:rPr>
        <w:t xml:space="preserve">; </w:t>
      </w:r>
      <w:r w:rsidR="00075B47" w:rsidRPr="008B1078">
        <w:rPr>
          <w:rFonts w:ascii="Times New Roman" w:hAnsi="Times New Roman" w:cs="Times New Roman"/>
        </w:rPr>
        <w:t>th</w:t>
      </w:r>
      <w:r w:rsidR="00F62D27" w:rsidRPr="008B1078">
        <w:rPr>
          <w:rFonts w:ascii="Times New Roman" w:hAnsi="Times New Roman" w:cs="Times New Roman"/>
        </w:rPr>
        <w:t xml:space="preserve">is exhibit would give new space for new voices and perspectives to add to the </w:t>
      </w:r>
      <w:r w:rsidR="009E38A3" w:rsidRPr="008B1078">
        <w:rPr>
          <w:rFonts w:ascii="Times New Roman" w:hAnsi="Times New Roman" w:cs="Times New Roman"/>
        </w:rPr>
        <w:t xml:space="preserve">greater history of humans. </w:t>
      </w:r>
      <w:r w:rsidRPr="008B1078">
        <w:rPr>
          <w:rFonts w:ascii="Times New Roman" w:hAnsi="Times New Roman" w:cs="Times New Roman"/>
        </w:rPr>
        <w:t>As Kellogg noted, “nonverbal, bodily rhythms are shown to contribute to the sensuous experience of oral narrative by both audiences and performers,</w:t>
      </w:r>
      <w:r w:rsidR="00E22C52" w:rsidRPr="008B1078">
        <w:rPr>
          <w:rFonts w:ascii="Times New Roman" w:hAnsi="Times New Roman" w:cs="Times New Roman"/>
        </w:rPr>
        <w:t xml:space="preserve">” which </w:t>
      </w:r>
      <w:r w:rsidR="00FC7046" w:rsidRPr="008B1078">
        <w:rPr>
          <w:rFonts w:ascii="Times New Roman" w:hAnsi="Times New Roman" w:cs="Times New Roman"/>
        </w:rPr>
        <w:t>underlines the importance of an in-</w:t>
      </w:r>
      <w:r w:rsidR="00FC7046" w:rsidRPr="008B1078">
        <w:rPr>
          <w:rFonts w:ascii="Times New Roman" w:hAnsi="Times New Roman" w:cs="Times New Roman"/>
        </w:rPr>
        <w:lastRenderedPageBreak/>
        <w:t>person mode of delivery rather than a traditional museum exhibition.</w:t>
      </w:r>
      <w:r w:rsidR="007448A9" w:rsidRPr="008B1078">
        <w:rPr>
          <w:rStyle w:val="FootnoteReference"/>
          <w:rFonts w:ascii="Times New Roman" w:hAnsi="Times New Roman" w:cs="Times New Roman"/>
        </w:rPr>
        <w:footnoteReference w:id="1"/>
      </w:r>
      <w:r w:rsidR="00FC7046" w:rsidRPr="008B1078">
        <w:rPr>
          <w:rFonts w:ascii="Times New Roman" w:hAnsi="Times New Roman" w:cs="Times New Roman"/>
        </w:rPr>
        <w:t xml:space="preserve"> </w:t>
      </w:r>
      <w:r w:rsidR="00AF7165" w:rsidRPr="008B1078">
        <w:rPr>
          <w:rFonts w:ascii="Times New Roman" w:hAnsi="Times New Roman" w:cs="Times New Roman"/>
        </w:rPr>
        <w:t xml:space="preserve">The account of history through music, poetry performance, storytelling are all methods of retelling the past that employ an immersive quality to the telling. </w:t>
      </w:r>
      <w:r w:rsidR="0010635F" w:rsidRPr="008B1078">
        <w:rPr>
          <w:rFonts w:ascii="Times New Roman" w:hAnsi="Times New Roman" w:cs="Times New Roman"/>
        </w:rPr>
        <w:t xml:space="preserve">In a piece written for </w:t>
      </w:r>
      <w:r w:rsidR="0010635F" w:rsidRPr="008B1078">
        <w:rPr>
          <w:rFonts w:ascii="Times New Roman" w:hAnsi="Times New Roman" w:cs="Times New Roman"/>
          <w:i/>
          <w:iCs/>
        </w:rPr>
        <w:t xml:space="preserve">National </w:t>
      </w:r>
      <w:r w:rsidR="0010635F" w:rsidRPr="008B1078">
        <w:rPr>
          <w:rFonts w:ascii="Times New Roman" w:hAnsi="Times New Roman" w:cs="Times New Roman"/>
        </w:rPr>
        <w:t xml:space="preserve">Geographic, </w:t>
      </w:r>
      <w:r w:rsidR="00CD74C8" w:rsidRPr="008B1078">
        <w:rPr>
          <w:rFonts w:ascii="Times New Roman" w:hAnsi="Times New Roman" w:cs="Times New Roman"/>
        </w:rPr>
        <w:t xml:space="preserve">Jordan Salama describes his experience with his grandfather’s </w:t>
      </w:r>
      <w:r w:rsidR="00D07125" w:rsidRPr="008B1078">
        <w:rPr>
          <w:rFonts w:ascii="Times New Roman" w:hAnsi="Times New Roman" w:cs="Times New Roman"/>
        </w:rPr>
        <w:t xml:space="preserve">past and the profound effect listening to his grandfather tell the stories of his past </w:t>
      </w:r>
      <w:r w:rsidR="003B20C2" w:rsidRPr="008B1078">
        <w:rPr>
          <w:rFonts w:ascii="Times New Roman" w:hAnsi="Times New Roman" w:cs="Times New Roman"/>
        </w:rPr>
        <w:t>had on Salama.</w:t>
      </w:r>
      <w:r w:rsidR="003B20C2" w:rsidRPr="008B1078">
        <w:rPr>
          <w:rStyle w:val="FootnoteReference"/>
          <w:rFonts w:ascii="Times New Roman" w:hAnsi="Times New Roman" w:cs="Times New Roman"/>
        </w:rPr>
        <w:footnoteReference w:id="2"/>
      </w:r>
      <w:r w:rsidR="003B20C2" w:rsidRPr="008B1078">
        <w:rPr>
          <w:rFonts w:ascii="Times New Roman" w:hAnsi="Times New Roman" w:cs="Times New Roman"/>
        </w:rPr>
        <w:t xml:space="preserve"> He states he began with reading the records kept by his grandfather </w:t>
      </w:r>
      <w:r w:rsidR="00A60F0D" w:rsidRPr="008B1078">
        <w:rPr>
          <w:rFonts w:ascii="Times New Roman" w:hAnsi="Times New Roman" w:cs="Times New Roman"/>
        </w:rPr>
        <w:t xml:space="preserve">but gained a much deeper understanding of the stories written and of his grandfather as a person </w:t>
      </w:r>
      <w:r w:rsidR="00806CE3" w:rsidRPr="008B1078">
        <w:rPr>
          <w:rFonts w:ascii="Times New Roman" w:hAnsi="Times New Roman" w:cs="Times New Roman"/>
        </w:rPr>
        <w:t>when he was able to tell his own history to his grandson.</w:t>
      </w:r>
      <w:r w:rsidR="00A333B1" w:rsidRPr="008B1078">
        <w:rPr>
          <w:rFonts w:ascii="Times New Roman" w:hAnsi="Times New Roman" w:cs="Times New Roman"/>
        </w:rPr>
        <w:t xml:space="preserve"> Similar sentiments are </w:t>
      </w:r>
      <w:r w:rsidR="003C5B27" w:rsidRPr="008B1078">
        <w:rPr>
          <w:rFonts w:ascii="Times New Roman" w:hAnsi="Times New Roman" w:cs="Times New Roman"/>
        </w:rPr>
        <w:t>described by Susan Goldberg in her article about the impact of storytellers.</w:t>
      </w:r>
      <w:r w:rsidR="003C5B27" w:rsidRPr="008B1078">
        <w:rPr>
          <w:rStyle w:val="FootnoteReference"/>
          <w:rFonts w:ascii="Times New Roman" w:hAnsi="Times New Roman" w:cs="Times New Roman"/>
        </w:rPr>
        <w:footnoteReference w:id="3"/>
      </w:r>
      <w:r w:rsidR="00806CE3" w:rsidRPr="008B1078">
        <w:rPr>
          <w:rFonts w:ascii="Times New Roman" w:hAnsi="Times New Roman" w:cs="Times New Roman"/>
        </w:rPr>
        <w:t xml:space="preserve"> </w:t>
      </w:r>
      <w:r w:rsidR="00AF7165" w:rsidRPr="008B1078">
        <w:rPr>
          <w:rFonts w:ascii="Times New Roman" w:hAnsi="Times New Roman" w:cs="Times New Roman"/>
        </w:rPr>
        <w:t>Written accounts and records commonly seen in archaeological literature are sterile, objective accounts of the past that do not capture the sense of personhood that oral accounts can.</w:t>
      </w:r>
      <w:r w:rsidR="0099161E" w:rsidRPr="008B1078">
        <w:rPr>
          <w:rFonts w:ascii="Times New Roman" w:hAnsi="Times New Roman" w:cs="Times New Roman"/>
        </w:rPr>
        <w:t xml:space="preserve"> By embracing alternative approaches to knowledge and the sharing of </w:t>
      </w:r>
      <w:r w:rsidR="00957365" w:rsidRPr="008B1078">
        <w:rPr>
          <w:rFonts w:ascii="Times New Roman" w:hAnsi="Times New Roman" w:cs="Times New Roman"/>
        </w:rPr>
        <w:t xml:space="preserve">knowledge in museums would be an active step toward centering marginalized voices and </w:t>
      </w:r>
      <w:r w:rsidR="00A35FD7" w:rsidRPr="008B1078">
        <w:rPr>
          <w:rFonts w:ascii="Times New Roman" w:hAnsi="Times New Roman" w:cs="Times New Roman"/>
        </w:rPr>
        <w:t xml:space="preserve">the knowledge of generations of peoples. Decentering the written record </w:t>
      </w:r>
      <w:r w:rsidR="00D5637A" w:rsidRPr="008B1078">
        <w:rPr>
          <w:rFonts w:ascii="Times New Roman" w:hAnsi="Times New Roman" w:cs="Times New Roman"/>
        </w:rPr>
        <w:t xml:space="preserve">and embracing the </w:t>
      </w:r>
      <w:r w:rsidR="00EE7604" w:rsidRPr="008B1078">
        <w:rPr>
          <w:rFonts w:ascii="Times New Roman" w:hAnsi="Times New Roman" w:cs="Times New Roman"/>
        </w:rPr>
        <w:t xml:space="preserve">more “subjective” ways of knowing is discussed in works </w:t>
      </w:r>
      <w:r w:rsidR="00F3494F" w:rsidRPr="008B1078">
        <w:rPr>
          <w:rFonts w:ascii="Times New Roman" w:hAnsi="Times New Roman" w:cs="Times New Roman"/>
        </w:rPr>
        <w:t xml:space="preserve">by Shanks, </w:t>
      </w:r>
      <w:r w:rsidR="004E09D9" w:rsidRPr="008B1078">
        <w:rPr>
          <w:rFonts w:ascii="Times New Roman" w:hAnsi="Times New Roman" w:cs="Times New Roman"/>
        </w:rPr>
        <w:t xml:space="preserve">as well as </w:t>
      </w:r>
      <w:r w:rsidR="00F3494F" w:rsidRPr="008B1078">
        <w:rPr>
          <w:rFonts w:ascii="Times New Roman" w:hAnsi="Times New Roman" w:cs="Times New Roman"/>
        </w:rPr>
        <w:t>Schmidt and Kehoe</w:t>
      </w:r>
      <w:r w:rsidR="004E09D9" w:rsidRPr="008B1078">
        <w:rPr>
          <w:rFonts w:ascii="Times New Roman" w:hAnsi="Times New Roman" w:cs="Times New Roman"/>
        </w:rPr>
        <w:t xml:space="preserve">, </w:t>
      </w:r>
      <w:r w:rsidR="00A8295B" w:rsidRPr="008B1078">
        <w:rPr>
          <w:rFonts w:ascii="Times New Roman" w:hAnsi="Times New Roman" w:cs="Times New Roman"/>
        </w:rPr>
        <w:t xml:space="preserve">and it is </w:t>
      </w:r>
      <w:r w:rsidR="008C2FB8" w:rsidRPr="008B1078">
        <w:rPr>
          <w:rFonts w:ascii="Times New Roman" w:hAnsi="Times New Roman" w:cs="Times New Roman"/>
        </w:rPr>
        <w:t xml:space="preserve">discussed as having enormous benefits in the exploration and understanding of </w:t>
      </w:r>
      <w:r w:rsidR="00111821" w:rsidRPr="008B1078">
        <w:rPr>
          <w:rFonts w:ascii="Times New Roman" w:hAnsi="Times New Roman" w:cs="Times New Roman"/>
        </w:rPr>
        <w:t>the past.</w:t>
      </w:r>
      <w:r w:rsidR="00111821" w:rsidRPr="008B1078">
        <w:rPr>
          <w:rStyle w:val="FootnoteReference"/>
          <w:rFonts w:ascii="Times New Roman" w:hAnsi="Times New Roman" w:cs="Times New Roman"/>
        </w:rPr>
        <w:footnoteReference w:id="4"/>
      </w:r>
      <w:r w:rsidR="00411D17" w:rsidRPr="008B1078">
        <w:rPr>
          <w:rFonts w:ascii="Times New Roman" w:hAnsi="Times New Roman" w:cs="Times New Roman"/>
          <w:vertAlign w:val="superscript"/>
        </w:rPr>
        <w:t>,</w:t>
      </w:r>
      <w:r w:rsidR="00411D17" w:rsidRPr="008B1078">
        <w:rPr>
          <w:rStyle w:val="FootnoteReference"/>
          <w:rFonts w:ascii="Times New Roman" w:hAnsi="Times New Roman" w:cs="Times New Roman"/>
        </w:rPr>
        <w:footnoteReference w:id="5"/>
      </w:r>
      <w:r w:rsidR="00111821" w:rsidRPr="008B1078">
        <w:rPr>
          <w:rFonts w:ascii="Times New Roman" w:hAnsi="Times New Roman" w:cs="Times New Roman"/>
        </w:rPr>
        <w:t xml:space="preserve"> </w:t>
      </w:r>
      <w:r w:rsidR="00766661" w:rsidRPr="008B1078">
        <w:rPr>
          <w:rFonts w:ascii="Times New Roman" w:hAnsi="Times New Roman" w:cs="Times New Roman"/>
        </w:rPr>
        <w:t xml:space="preserve">This exhibit ultimately, would present an opportunity for people to share their ow history with others in a way that it familiar and meaningful to them, in turn, making it more meaningful to experience and learn from as an audience member. </w:t>
      </w:r>
    </w:p>
    <w:p w14:paraId="296F5E4F" w14:textId="77777777" w:rsidR="00A8097C" w:rsidRPr="008B1078" w:rsidRDefault="00A8097C" w:rsidP="00A8097C">
      <w:pPr>
        <w:tabs>
          <w:tab w:val="num" w:pos="720"/>
        </w:tabs>
        <w:ind w:left="357"/>
        <w:rPr>
          <w:rFonts w:ascii="Times New Roman" w:hAnsi="Times New Roman" w:cs="Times New Roman"/>
        </w:rPr>
      </w:pPr>
    </w:p>
    <w:p w14:paraId="70DEB344" w14:textId="601BDE5C" w:rsidR="0054132B" w:rsidRPr="008B1078" w:rsidRDefault="00253F4E" w:rsidP="00A8097C">
      <w:pPr>
        <w:tabs>
          <w:tab w:val="num" w:pos="720"/>
        </w:tabs>
        <w:ind w:left="357"/>
        <w:rPr>
          <w:rFonts w:ascii="Times New Roman" w:hAnsi="Times New Roman" w:cs="Times New Roman"/>
        </w:rPr>
      </w:pPr>
      <w:r w:rsidRPr="008B1078">
        <w:rPr>
          <w:rFonts w:ascii="Times New Roman" w:hAnsi="Times New Roman" w:cs="Times New Roman"/>
        </w:rPr>
        <w:tab/>
      </w:r>
    </w:p>
    <w:p w14:paraId="30B02483" w14:textId="4AD67F82" w:rsidR="0016721B" w:rsidRPr="008B1078" w:rsidRDefault="0016721B">
      <w:pPr>
        <w:rPr>
          <w:rFonts w:ascii="Times New Roman" w:hAnsi="Times New Roman" w:cs="Times New Roman"/>
        </w:rPr>
      </w:pPr>
      <w:r w:rsidRPr="008B1078">
        <w:rPr>
          <w:rFonts w:ascii="Times New Roman" w:hAnsi="Times New Roman" w:cs="Times New Roman"/>
        </w:rPr>
        <w:br w:type="page"/>
      </w:r>
    </w:p>
    <w:p w14:paraId="21E6875A" w14:textId="77777777" w:rsidR="00FB7143" w:rsidRPr="008B1078" w:rsidRDefault="00FB7143" w:rsidP="00FB7143">
      <w:pPr>
        <w:rPr>
          <w:rFonts w:ascii="Times New Roman" w:hAnsi="Times New Roman" w:cs="Times New Roman"/>
        </w:rPr>
      </w:pPr>
    </w:p>
    <w:p w14:paraId="765534F8" w14:textId="18454F7B" w:rsidR="00766295" w:rsidRPr="008B1078" w:rsidRDefault="00E87AC8">
      <w:pPr>
        <w:rPr>
          <w:rFonts w:ascii="Times New Roman" w:eastAsia="Times New Roman" w:hAnsi="Times New Roman" w:cs="Times New Roman"/>
          <w:kern w:val="0"/>
          <w:u w:val="single"/>
          <w14:ligatures w14:val="none"/>
        </w:rPr>
      </w:pPr>
      <w:r w:rsidRPr="008B1078">
        <w:rPr>
          <w:rFonts w:ascii="Times New Roman" w:eastAsia="Times New Roman" w:hAnsi="Times New Roman" w:cs="Times New Roman"/>
          <w:kern w:val="0"/>
          <w:u w:val="single"/>
          <w14:ligatures w14:val="none"/>
        </w:rPr>
        <w:t>Bibliography</w:t>
      </w:r>
    </w:p>
    <w:p w14:paraId="5A486EF5" w14:textId="74ADB319" w:rsidR="00AE2E93" w:rsidRPr="008B1078" w:rsidRDefault="00AE2E93" w:rsidP="00AE2E93">
      <w:pPr>
        <w:pStyle w:val="NormalWeb"/>
        <w:ind w:left="567" w:hanging="567"/>
      </w:pPr>
      <w:r w:rsidRPr="008B1078">
        <w:t xml:space="preserve">Goldberg, Susan. “Why the Storyteller Matters as Much as the Story Itself.” </w:t>
      </w:r>
      <w:r w:rsidRPr="008B1078">
        <w:rPr>
          <w:i/>
          <w:iCs/>
        </w:rPr>
        <w:t>National Geographic</w:t>
      </w:r>
      <w:r w:rsidRPr="008B1078">
        <w:t xml:space="preserve">, February 7, 2022. </w:t>
      </w:r>
      <w:hyperlink r:id="rId9" w:history="1">
        <w:r w:rsidRPr="008B1078">
          <w:rPr>
            <w:rStyle w:val="Hyperlink"/>
          </w:rPr>
          <w:t>https://www.nationalgeographic.com/magazine/article/why-the-storyteller-matters-as-much-as-the-story-itself?loggedin=true&amp;rnd=1734123930367</w:t>
        </w:r>
      </w:hyperlink>
      <w:r w:rsidRPr="008B1078">
        <w:t xml:space="preserve">. </w:t>
      </w:r>
    </w:p>
    <w:p w14:paraId="3F976114" w14:textId="37E3FA43" w:rsidR="003F63F8" w:rsidRPr="008B1078" w:rsidRDefault="00C74568" w:rsidP="00C74568">
      <w:pPr>
        <w:pStyle w:val="NormalWeb"/>
        <w:ind w:left="567" w:hanging="567"/>
      </w:pPr>
      <w:r w:rsidRPr="008B1078">
        <w:t xml:space="preserve">Kellogg, Robert. “Literature, Nonliterature, and Oral Tradition.” </w:t>
      </w:r>
      <w:r w:rsidRPr="008B1078">
        <w:rPr>
          <w:i/>
          <w:iCs/>
        </w:rPr>
        <w:t>New Literary History</w:t>
      </w:r>
      <w:r w:rsidRPr="008B1078">
        <w:t xml:space="preserve"> 8, no. 3 (1977): 531. </w:t>
      </w:r>
      <w:hyperlink r:id="rId10" w:history="1">
        <w:r w:rsidRPr="008B1078">
          <w:rPr>
            <w:rStyle w:val="Hyperlink"/>
          </w:rPr>
          <w:t>https://doi.org/10.2307/468299</w:t>
        </w:r>
      </w:hyperlink>
      <w:r w:rsidRPr="008B1078">
        <w:t xml:space="preserve">. </w:t>
      </w:r>
    </w:p>
    <w:p w14:paraId="53E5E18A" w14:textId="6F3D4FB7" w:rsidR="007344A6" w:rsidRPr="008B1078" w:rsidRDefault="007344A6" w:rsidP="007344A6">
      <w:pPr>
        <w:pStyle w:val="NormalWeb"/>
        <w:ind w:left="567" w:hanging="567"/>
      </w:pPr>
      <w:r w:rsidRPr="008B1078">
        <w:t xml:space="preserve">Salama, Jordan. “Why Your Family’s Untold Stories Matter More than You Think.” </w:t>
      </w:r>
      <w:r w:rsidRPr="008B1078">
        <w:rPr>
          <w:i/>
          <w:iCs/>
        </w:rPr>
        <w:t>National Geographic</w:t>
      </w:r>
      <w:r w:rsidRPr="008B1078">
        <w:t xml:space="preserve">, November 26, 2024. </w:t>
      </w:r>
      <w:hyperlink r:id="rId11" w:history="1">
        <w:r w:rsidRPr="008B1078">
          <w:rPr>
            <w:rStyle w:val="Hyperlink"/>
          </w:rPr>
          <w:t>https://www.nationalgeographic.com/history/article/family-story-elder-r</w:t>
        </w:r>
        <w:r w:rsidRPr="008B1078">
          <w:rPr>
            <w:rStyle w:val="Hyperlink"/>
          </w:rPr>
          <w:t>e</w:t>
        </w:r>
        <w:r w:rsidRPr="008B1078">
          <w:rPr>
            <w:rStyle w:val="Hyperlink"/>
          </w:rPr>
          <w:t>latives</w:t>
        </w:r>
      </w:hyperlink>
      <w:r w:rsidRPr="008B1078">
        <w:t xml:space="preserve">. </w:t>
      </w:r>
    </w:p>
    <w:p w14:paraId="0253309F" w14:textId="77777777" w:rsidR="003F30DC" w:rsidRPr="008B1078" w:rsidRDefault="003F30DC" w:rsidP="003F30DC">
      <w:pPr>
        <w:pStyle w:val="NormalWeb"/>
        <w:ind w:left="567" w:hanging="567"/>
      </w:pPr>
      <w:r w:rsidRPr="008B1078">
        <w:t xml:space="preserve">Schmidt, Peter R., and Alice B. Kehoe. “Archaeologies of Listening: Beginning Thoughts.” </w:t>
      </w:r>
      <w:r w:rsidRPr="008B1078">
        <w:rPr>
          <w:i/>
          <w:iCs/>
        </w:rPr>
        <w:t>Archaeologies of Listening</w:t>
      </w:r>
      <w:r w:rsidRPr="008B1078">
        <w:t xml:space="preserve">, April 16, 2019, 1–22. </w:t>
      </w:r>
      <w:hyperlink r:id="rId12" w:history="1">
        <w:r w:rsidRPr="008B1078">
          <w:rPr>
            <w:rStyle w:val="Hyperlink"/>
          </w:rPr>
          <w:t>https://doi.org/10.5744/florida/9780813056241.003.0001</w:t>
        </w:r>
      </w:hyperlink>
      <w:r w:rsidRPr="008B1078">
        <w:t xml:space="preserve">. </w:t>
      </w:r>
    </w:p>
    <w:p w14:paraId="627B8BD6" w14:textId="15E2540A" w:rsidR="006B5C35" w:rsidRPr="008B1078" w:rsidRDefault="00DF5B4A" w:rsidP="00127C9D">
      <w:pPr>
        <w:pStyle w:val="NormalWeb"/>
        <w:ind w:left="567" w:hanging="567"/>
      </w:pPr>
      <w:r w:rsidRPr="008B1078">
        <w:t xml:space="preserve">Shanks, Michael. </w:t>
      </w:r>
      <w:r w:rsidRPr="008B1078">
        <w:rPr>
          <w:i/>
          <w:iCs/>
        </w:rPr>
        <w:t>Experiencing the past: On the character of archaeology</w:t>
      </w:r>
      <w:r w:rsidRPr="008B1078">
        <w:t>. London, NY: Routledge : Taylor &amp; Francis, 2005.</w:t>
      </w:r>
      <w:r w:rsidR="008B1078">
        <w:t xml:space="preserve"> </w:t>
      </w:r>
    </w:p>
    <w:sectPr w:rsidR="006B5C35" w:rsidRPr="008B107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468721" w14:textId="77777777" w:rsidR="00BA0BB5" w:rsidRDefault="00BA0BB5" w:rsidP="007448A9">
      <w:r>
        <w:separator/>
      </w:r>
    </w:p>
  </w:endnote>
  <w:endnote w:type="continuationSeparator" w:id="0">
    <w:p w14:paraId="35DCADB9" w14:textId="77777777" w:rsidR="00BA0BB5" w:rsidRDefault="00BA0BB5" w:rsidP="007448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FFF275" w14:textId="77777777" w:rsidR="00BA0BB5" w:rsidRDefault="00BA0BB5" w:rsidP="007448A9">
      <w:r>
        <w:separator/>
      </w:r>
    </w:p>
  </w:footnote>
  <w:footnote w:type="continuationSeparator" w:id="0">
    <w:p w14:paraId="38F52AA1" w14:textId="77777777" w:rsidR="00BA0BB5" w:rsidRDefault="00BA0BB5" w:rsidP="007448A9">
      <w:r>
        <w:continuationSeparator/>
      </w:r>
    </w:p>
  </w:footnote>
  <w:footnote w:id="1">
    <w:p w14:paraId="2C11ACBB" w14:textId="5E1EEF98" w:rsidR="007448A9" w:rsidRPr="001545D5" w:rsidRDefault="007448A9" w:rsidP="00D91DD0">
      <w:pPr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</w:pPr>
      <w:r w:rsidRPr="005A2AE0">
        <w:rPr>
          <w:rStyle w:val="FootnoteReference"/>
          <w:sz w:val="20"/>
          <w:szCs w:val="20"/>
        </w:rPr>
        <w:footnoteRef/>
      </w:r>
      <w:r w:rsidRPr="005A2AE0">
        <w:rPr>
          <w:sz w:val="20"/>
          <w:szCs w:val="20"/>
        </w:rPr>
        <w:t xml:space="preserve"> </w:t>
      </w:r>
      <w:r w:rsidR="00F13559" w:rsidRPr="001545D5">
        <w:rPr>
          <w:rFonts w:ascii="Times New Roman" w:hAnsi="Times New Roman" w:cs="Times New Roman"/>
          <w:sz w:val="20"/>
          <w:szCs w:val="20"/>
        </w:rPr>
        <w:t xml:space="preserve">Robert </w:t>
      </w:r>
      <w:r w:rsidR="00F13559" w:rsidRPr="001545D5"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  <w:t xml:space="preserve">Kellogg, “Literature, Nonliterature, and Oral Tradition.” </w:t>
      </w:r>
      <w:r w:rsidR="00F13559" w:rsidRPr="001545D5">
        <w:rPr>
          <w:rFonts w:ascii="Times New Roman" w:eastAsia="Times New Roman" w:hAnsi="Times New Roman" w:cs="Times New Roman"/>
          <w:i/>
          <w:iCs/>
          <w:kern w:val="0"/>
          <w:sz w:val="20"/>
          <w:szCs w:val="20"/>
          <w14:ligatures w14:val="none"/>
        </w:rPr>
        <w:t>New Literary History</w:t>
      </w:r>
      <w:r w:rsidR="00F13559" w:rsidRPr="001545D5"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  <w:t xml:space="preserve"> 8, no. 3 (1977): 53</w:t>
      </w:r>
      <w:r w:rsidR="00B27FAD" w:rsidRPr="001545D5"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  <w:t>1</w:t>
      </w:r>
      <w:r w:rsidR="00F13559" w:rsidRPr="001545D5"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  <w:t xml:space="preserve">. </w:t>
      </w:r>
      <w:hyperlink r:id="rId1" w:history="1">
        <w:r w:rsidR="00B27FAD" w:rsidRPr="001545D5">
          <w:rPr>
            <w:rStyle w:val="Hyperlink"/>
            <w:rFonts w:ascii="Times New Roman" w:eastAsia="Times New Roman" w:hAnsi="Times New Roman" w:cs="Times New Roman"/>
            <w:kern w:val="0"/>
            <w:sz w:val="20"/>
            <w:szCs w:val="20"/>
            <w14:ligatures w14:val="none"/>
          </w:rPr>
          <w:t>https://doi.org/10.2307/468299</w:t>
        </w:r>
      </w:hyperlink>
      <w:r w:rsidR="00F13559" w:rsidRPr="001545D5"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  <w:t>.</w:t>
      </w:r>
      <w:r w:rsidR="00D91DD0" w:rsidRPr="001545D5"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  <w:t xml:space="preserve"> </w:t>
      </w:r>
    </w:p>
  </w:footnote>
  <w:footnote w:id="2">
    <w:p w14:paraId="32432DF6" w14:textId="52E22D26" w:rsidR="003B20C2" w:rsidRPr="001545D5" w:rsidRDefault="003B20C2">
      <w:pPr>
        <w:pStyle w:val="FootnoteText"/>
        <w:rPr>
          <w:rFonts w:ascii="Times New Roman" w:hAnsi="Times New Roman" w:cs="Times New Roman"/>
        </w:rPr>
      </w:pPr>
      <w:r w:rsidRPr="001545D5">
        <w:rPr>
          <w:rStyle w:val="FootnoteReference"/>
          <w:rFonts w:ascii="Times New Roman" w:hAnsi="Times New Roman" w:cs="Times New Roman"/>
        </w:rPr>
        <w:footnoteRef/>
      </w:r>
      <w:r w:rsidRPr="001545D5">
        <w:rPr>
          <w:rFonts w:ascii="Times New Roman" w:hAnsi="Times New Roman" w:cs="Times New Roman"/>
        </w:rPr>
        <w:t xml:space="preserve"> </w:t>
      </w:r>
      <w:r w:rsidRPr="001545D5">
        <w:rPr>
          <w:rFonts w:ascii="Times New Roman" w:hAnsi="Times New Roman" w:cs="Times New Roman"/>
        </w:rPr>
        <w:t>Jordan</w:t>
      </w:r>
      <w:r w:rsidRPr="001545D5">
        <w:rPr>
          <w:rFonts w:ascii="Times New Roman" w:hAnsi="Times New Roman" w:cs="Times New Roman"/>
        </w:rPr>
        <w:t xml:space="preserve"> Salama,</w:t>
      </w:r>
      <w:r w:rsidRPr="001545D5">
        <w:rPr>
          <w:rFonts w:ascii="Times New Roman" w:hAnsi="Times New Roman" w:cs="Times New Roman"/>
        </w:rPr>
        <w:t xml:space="preserve"> “Why Your Family’s Untold Stories Matter More than You Think.” </w:t>
      </w:r>
      <w:r w:rsidRPr="001545D5">
        <w:rPr>
          <w:rFonts w:ascii="Times New Roman" w:hAnsi="Times New Roman" w:cs="Times New Roman"/>
          <w:i/>
          <w:iCs/>
        </w:rPr>
        <w:t>National Geographic</w:t>
      </w:r>
      <w:r w:rsidRPr="001545D5">
        <w:rPr>
          <w:rFonts w:ascii="Times New Roman" w:hAnsi="Times New Roman" w:cs="Times New Roman"/>
        </w:rPr>
        <w:t xml:space="preserve">, November 26, 2024. </w:t>
      </w:r>
      <w:hyperlink r:id="rId2" w:history="1">
        <w:r w:rsidRPr="001545D5">
          <w:rPr>
            <w:rStyle w:val="Hyperlink"/>
            <w:rFonts w:ascii="Times New Roman" w:hAnsi="Times New Roman" w:cs="Times New Roman"/>
          </w:rPr>
          <w:t>https://www.nationalgeographic.com/history/article/family-story-elder-relatives</w:t>
        </w:r>
      </w:hyperlink>
      <w:r w:rsidRPr="001545D5">
        <w:rPr>
          <w:rFonts w:ascii="Times New Roman" w:hAnsi="Times New Roman" w:cs="Times New Roman"/>
        </w:rPr>
        <w:t xml:space="preserve">. </w:t>
      </w:r>
    </w:p>
  </w:footnote>
  <w:footnote w:id="3">
    <w:p w14:paraId="65FDD678" w14:textId="00FFAB5C" w:rsidR="003C5B27" w:rsidRPr="001545D5" w:rsidRDefault="003C5B27">
      <w:pPr>
        <w:pStyle w:val="FootnoteText"/>
        <w:rPr>
          <w:rFonts w:ascii="Times New Roman" w:hAnsi="Times New Roman" w:cs="Times New Roman"/>
        </w:rPr>
      </w:pPr>
      <w:r w:rsidRPr="001545D5">
        <w:rPr>
          <w:rStyle w:val="FootnoteReference"/>
          <w:rFonts w:ascii="Times New Roman" w:hAnsi="Times New Roman" w:cs="Times New Roman"/>
        </w:rPr>
        <w:footnoteRef/>
      </w:r>
      <w:r w:rsidRPr="001545D5">
        <w:rPr>
          <w:rFonts w:ascii="Times New Roman" w:hAnsi="Times New Roman" w:cs="Times New Roman"/>
        </w:rPr>
        <w:t xml:space="preserve"> </w:t>
      </w:r>
      <w:r w:rsidR="008B1078" w:rsidRPr="001545D5">
        <w:rPr>
          <w:rFonts w:ascii="Times New Roman" w:hAnsi="Times New Roman" w:cs="Times New Roman"/>
        </w:rPr>
        <w:t>Susan</w:t>
      </w:r>
      <w:r w:rsidR="008B1078" w:rsidRPr="001545D5">
        <w:rPr>
          <w:rFonts w:ascii="Times New Roman" w:hAnsi="Times New Roman" w:cs="Times New Roman"/>
        </w:rPr>
        <w:t xml:space="preserve"> Goldberg,</w:t>
      </w:r>
      <w:r w:rsidR="008B1078" w:rsidRPr="001545D5">
        <w:rPr>
          <w:rFonts w:ascii="Times New Roman" w:hAnsi="Times New Roman" w:cs="Times New Roman"/>
        </w:rPr>
        <w:t xml:space="preserve"> “Why the Storyteller Matters as Much as the Story Itself.” </w:t>
      </w:r>
      <w:r w:rsidR="008B1078" w:rsidRPr="001545D5">
        <w:rPr>
          <w:rFonts w:ascii="Times New Roman" w:hAnsi="Times New Roman" w:cs="Times New Roman"/>
          <w:i/>
          <w:iCs/>
        </w:rPr>
        <w:t>National Geographic</w:t>
      </w:r>
      <w:r w:rsidR="008B1078" w:rsidRPr="001545D5">
        <w:rPr>
          <w:rFonts w:ascii="Times New Roman" w:hAnsi="Times New Roman" w:cs="Times New Roman"/>
        </w:rPr>
        <w:t xml:space="preserve">, February 7, 2022. </w:t>
      </w:r>
      <w:hyperlink r:id="rId3" w:history="1">
        <w:r w:rsidR="008B1078" w:rsidRPr="001545D5">
          <w:rPr>
            <w:rStyle w:val="Hyperlink"/>
            <w:rFonts w:ascii="Times New Roman" w:hAnsi="Times New Roman" w:cs="Times New Roman"/>
          </w:rPr>
          <w:t>https://www.nationalgeographic.com/magazine/article/why-the-storyteller-matters-as-much-as-the-story-itself?loggedin=true&amp;rnd=1734123930367</w:t>
        </w:r>
      </w:hyperlink>
      <w:r w:rsidR="008B1078" w:rsidRPr="001545D5">
        <w:rPr>
          <w:rFonts w:ascii="Times New Roman" w:hAnsi="Times New Roman" w:cs="Times New Roman"/>
        </w:rPr>
        <w:t>.</w:t>
      </w:r>
    </w:p>
  </w:footnote>
  <w:footnote w:id="4">
    <w:p w14:paraId="736A9D0B" w14:textId="3276BE25" w:rsidR="00111821" w:rsidRPr="001545D5" w:rsidRDefault="00111821">
      <w:pPr>
        <w:pStyle w:val="FootnoteText"/>
        <w:rPr>
          <w:rFonts w:ascii="Times New Roman" w:hAnsi="Times New Roman" w:cs="Times New Roman"/>
        </w:rPr>
      </w:pPr>
      <w:r w:rsidRPr="001545D5">
        <w:rPr>
          <w:rStyle w:val="FootnoteReference"/>
          <w:rFonts w:ascii="Times New Roman" w:hAnsi="Times New Roman" w:cs="Times New Roman"/>
        </w:rPr>
        <w:footnoteRef/>
      </w:r>
      <w:r w:rsidR="00411D17" w:rsidRPr="001545D5">
        <w:rPr>
          <w:rFonts w:ascii="Times New Roman" w:hAnsi="Times New Roman" w:cs="Times New Roman"/>
        </w:rPr>
        <w:t xml:space="preserve"> </w:t>
      </w:r>
      <w:r w:rsidR="00AF7A9C" w:rsidRPr="001545D5">
        <w:rPr>
          <w:rFonts w:ascii="Times New Roman" w:hAnsi="Times New Roman" w:cs="Times New Roman"/>
        </w:rPr>
        <w:t xml:space="preserve">Peter Schmidt and Alice Kehoe. “Archaeologies of Listening: Beginning Thoughts.” In </w:t>
      </w:r>
      <w:r w:rsidR="00AF7A9C" w:rsidRPr="001545D5">
        <w:rPr>
          <w:rFonts w:ascii="Times New Roman" w:hAnsi="Times New Roman" w:cs="Times New Roman"/>
          <w:i/>
          <w:iCs/>
        </w:rPr>
        <w:t>Archaeologies of Listening</w:t>
      </w:r>
      <w:r w:rsidR="00AF7A9C" w:rsidRPr="001545D5">
        <w:rPr>
          <w:rFonts w:ascii="Times New Roman" w:hAnsi="Times New Roman" w:cs="Times New Roman"/>
        </w:rPr>
        <w:t xml:space="preserve">, edited by Peter R. Schmidt and Alice B. Kehoe, 15. University Press of Florida, 2019. </w:t>
      </w:r>
      <w:hyperlink r:id="rId4" w:history="1">
        <w:r w:rsidR="00AF7A9C" w:rsidRPr="001545D5">
          <w:rPr>
            <w:rStyle w:val="Hyperlink"/>
            <w:rFonts w:ascii="Times New Roman" w:hAnsi="Times New Roman" w:cs="Times New Roman"/>
          </w:rPr>
          <w:t>https://doi.o</w:t>
        </w:r>
        <w:r w:rsidR="00AF7A9C" w:rsidRPr="001545D5">
          <w:rPr>
            <w:rStyle w:val="Hyperlink"/>
            <w:rFonts w:ascii="Times New Roman" w:hAnsi="Times New Roman" w:cs="Times New Roman"/>
          </w:rPr>
          <w:t>r</w:t>
        </w:r>
        <w:r w:rsidR="00AF7A9C" w:rsidRPr="001545D5">
          <w:rPr>
            <w:rStyle w:val="Hyperlink"/>
            <w:rFonts w:ascii="Times New Roman" w:hAnsi="Times New Roman" w:cs="Times New Roman"/>
          </w:rPr>
          <w:t>g/10.2307/j.ctvx076q8.4</w:t>
        </w:r>
      </w:hyperlink>
      <w:r w:rsidR="00AF7A9C" w:rsidRPr="001545D5">
        <w:rPr>
          <w:rFonts w:ascii="Times New Roman" w:hAnsi="Times New Roman" w:cs="Times New Roman"/>
        </w:rPr>
        <w:t xml:space="preserve">. </w:t>
      </w:r>
    </w:p>
  </w:footnote>
  <w:footnote w:id="5">
    <w:p w14:paraId="1B16BD86" w14:textId="0FEC7F59" w:rsidR="00411D17" w:rsidRPr="001545D5" w:rsidRDefault="00411D17">
      <w:pPr>
        <w:pStyle w:val="FootnoteText"/>
        <w:rPr>
          <w:rFonts w:ascii="Times New Roman" w:hAnsi="Times New Roman" w:cs="Times New Roman"/>
        </w:rPr>
      </w:pPr>
      <w:r w:rsidRPr="001545D5">
        <w:rPr>
          <w:rStyle w:val="FootnoteReference"/>
          <w:rFonts w:ascii="Times New Roman" w:hAnsi="Times New Roman" w:cs="Times New Roman"/>
        </w:rPr>
        <w:footnoteRef/>
      </w:r>
      <w:r w:rsidRPr="001545D5">
        <w:rPr>
          <w:rFonts w:ascii="Times New Roman" w:hAnsi="Times New Roman" w:cs="Times New Roman"/>
        </w:rPr>
        <w:t xml:space="preserve"> </w:t>
      </w:r>
      <w:r w:rsidR="002938B1" w:rsidRPr="001545D5">
        <w:rPr>
          <w:rFonts w:ascii="Times New Roman" w:hAnsi="Times New Roman" w:cs="Times New Roman"/>
        </w:rPr>
        <w:t xml:space="preserve">Michael Shanks, </w:t>
      </w:r>
      <w:r w:rsidR="002938B1" w:rsidRPr="001545D5">
        <w:rPr>
          <w:rFonts w:ascii="Times New Roman" w:hAnsi="Times New Roman" w:cs="Times New Roman"/>
          <w:i/>
          <w:iCs/>
        </w:rPr>
        <w:t>Experiencing the past: On the character of archaeology</w:t>
      </w:r>
      <w:r w:rsidR="002938B1" w:rsidRPr="001545D5">
        <w:rPr>
          <w:rFonts w:ascii="Times New Roman" w:hAnsi="Times New Roman" w:cs="Times New Roman"/>
        </w:rPr>
        <w:t xml:space="preserve">. London, NY: Routledge : Taylor &amp; Francis, 2005. </w:t>
      </w:r>
      <w:r w:rsidR="00496884" w:rsidRPr="001545D5">
        <w:rPr>
          <w:rFonts w:ascii="Times New Roman" w:hAnsi="Times New Roman" w:cs="Times New Roman"/>
        </w:rPr>
        <w:t xml:space="preserve">1-2.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AF0F6F"/>
    <w:multiLevelType w:val="hybridMultilevel"/>
    <w:tmpl w:val="611CF5A2"/>
    <w:lvl w:ilvl="0" w:tplc="4920AB26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B5213F0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9FEFA18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F8A6DD0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B1AEAFC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026B1A4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2AC9496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3403670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D7041D4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6131566"/>
    <w:multiLevelType w:val="hybridMultilevel"/>
    <w:tmpl w:val="1D1891DA"/>
    <w:lvl w:ilvl="0" w:tplc="FDA8B8A4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1A8B61E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812613E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1A27C36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A4A807A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1403064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BE657B4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3C287C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FE4BE9C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25637D0F"/>
    <w:multiLevelType w:val="hybridMultilevel"/>
    <w:tmpl w:val="FF087CF0"/>
    <w:lvl w:ilvl="0" w:tplc="69AC48E6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3883374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BA2BD98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3AE4788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4401252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F2CFCA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0FC1076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86E794C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7C4A1FE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42805823"/>
    <w:multiLevelType w:val="hybridMultilevel"/>
    <w:tmpl w:val="DC5A2BE6"/>
    <w:lvl w:ilvl="0" w:tplc="6B52A972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90C8698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2103B42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786D2C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7AAB5FC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5BC31E8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C18DD60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F72F94A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B722FB0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7D685AFA"/>
    <w:multiLevelType w:val="hybridMultilevel"/>
    <w:tmpl w:val="DE68EDB8"/>
    <w:lvl w:ilvl="0" w:tplc="70B667AE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5D63392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A9CAD04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A9AC53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11E1B70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24F7AC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E1E5274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AD2E6B2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39CF42E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2084526965">
    <w:abstractNumId w:val="0"/>
  </w:num>
  <w:num w:numId="2" w16cid:durableId="2037735800">
    <w:abstractNumId w:val="1"/>
  </w:num>
  <w:num w:numId="3" w16cid:durableId="424882881">
    <w:abstractNumId w:val="4"/>
  </w:num>
  <w:num w:numId="4" w16cid:durableId="1990553989">
    <w:abstractNumId w:val="3"/>
  </w:num>
  <w:num w:numId="5" w16cid:durableId="167357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352"/>
    <w:rsid w:val="00075B47"/>
    <w:rsid w:val="00077E91"/>
    <w:rsid w:val="000B086E"/>
    <w:rsid w:val="000E52F3"/>
    <w:rsid w:val="0010635F"/>
    <w:rsid w:val="00111821"/>
    <w:rsid w:val="001177A9"/>
    <w:rsid w:val="00127C9D"/>
    <w:rsid w:val="001545D5"/>
    <w:rsid w:val="0016638F"/>
    <w:rsid w:val="0016721B"/>
    <w:rsid w:val="00195BC3"/>
    <w:rsid w:val="00197827"/>
    <w:rsid w:val="001A4091"/>
    <w:rsid w:val="001D3CE9"/>
    <w:rsid w:val="001F6D79"/>
    <w:rsid w:val="00203FAE"/>
    <w:rsid w:val="00224B0F"/>
    <w:rsid w:val="00253F4E"/>
    <w:rsid w:val="002938B1"/>
    <w:rsid w:val="003013C4"/>
    <w:rsid w:val="003271AF"/>
    <w:rsid w:val="0036738F"/>
    <w:rsid w:val="00375B1E"/>
    <w:rsid w:val="003B20C2"/>
    <w:rsid w:val="003C51BE"/>
    <w:rsid w:val="003C5B27"/>
    <w:rsid w:val="003E7331"/>
    <w:rsid w:val="003F30DC"/>
    <w:rsid w:val="003F63F8"/>
    <w:rsid w:val="00411D17"/>
    <w:rsid w:val="00496884"/>
    <w:rsid w:val="004E09D9"/>
    <w:rsid w:val="004E0DEE"/>
    <w:rsid w:val="00511D29"/>
    <w:rsid w:val="0052324D"/>
    <w:rsid w:val="00523954"/>
    <w:rsid w:val="0054132B"/>
    <w:rsid w:val="005A2AE0"/>
    <w:rsid w:val="005B7C0D"/>
    <w:rsid w:val="006403BF"/>
    <w:rsid w:val="0065794E"/>
    <w:rsid w:val="006908A2"/>
    <w:rsid w:val="006B5C35"/>
    <w:rsid w:val="006D73F6"/>
    <w:rsid w:val="006F56E3"/>
    <w:rsid w:val="00704EE0"/>
    <w:rsid w:val="007344A6"/>
    <w:rsid w:val="007448A9"/>
    <w:rsid w:val="00766295"/>
    <w:rsid w:val="00766661"/>
    <w:rsid w:val="007A5224"/>
    <w:rsid w:val="007B30BB"/>
    <w:rsid w:val="007E6682"/>
    <w:rsid w:val="00800FDB"/>
    <w:rsid w:val="00806CE3"/>
    <w:rsid w:val="00850F29"/>
    <w:rsid w:val="008600AA"/>
    <w:rsid w:val="00865830"/>
    <w:rsid w:val="008B1078"/>
    <w:rsid w:val="008C2FB8"/>
    <w:rsid w:val="0090035E"/>
    <w:rsid w:val="00900F94"/>
    <w:rsid w:val="00956A87"/>
    <w:rsid w:val="00957365"/>
    <w:rsid w:val="00962352"/>
    <w:rsid w:val="0099161E"/>
    <w:rsid w:val="009D56AE"/>
    <w:rsid w:val="009E38A3"/>
    <w:rsid w:val="00A00E11"/>
    <w:rsid w:val="00A06250"/>
    <w:rsid w:val="00A218DB"/>
    <w:rsid w:val="00A333B1"/>
    <w:rsid w:val="00A35FD7"/>
    <w:rsid w:val="00A41617"/>
    <w:rsid w:val="00A53AB5"/>
    <w:rsid w:val="00A60F0D"/>
    <w:rsid w:val="00A8097C"/>
    <w:rsid w:val="00A8295B"/>
    <w:rsid w:val="00A96889"/>
    <w:rsid w:val="00AB27D5"/>
    <w:rsid w:val="00AE2E93"/>
    <w:rsid w:val="00AF125D"/>
    <w:rsid w:val="00AF54EF"/>
    <w:rsid w:val="00AF7165"/>
    <w:rsid w:val="00AF7A9C"/>
    <w:rsid w:val="00B12999"/>
    <w:rsid w:val="00B14D72"/>
    <w:rsid w:val="00B27FAD"/>
    <w:rsid w:val="00B54D55"/>
    <w:rsid w:val="00B61C6B"/>
    <w:rsid w:val="00B737B9"/>
    <w:rsid w:val="00B76DCD"/>
    <w:rsid w:val="00B824BE"/>
    <w:rsid w:val="00BA0BB5"/>
    <w:rsid w:val="00C053DB"/>
    <w:rsid w:val="00C651E9"/>
    <w:rsid w:val="00C74568"/>
    <w:rsid w:val="00C77443"/>
    <w:rsid w:val="00C85E6B"/>
    <w:rsid w:val="00CD74C8"/>
    <w:rsid w:val="00D03C2B"/>
    <w:rsid w:val="00D07125"/>
    <w:rsid w:val="00D262E1"/>
    <w:rsid w:val="00D5637A"/>
    <w:rsid w:val="00D91DD0"/>
    <w:rsid w:val="00D95B4B"/>
    <w:rsid w:val="00DC1D9F"/>
    <w:rsid w:val="00DE7B9E"/>
    <w:rsid w:val="00DF2FAB"/>
    <w:rsid w:val="00DF5B4A"/>
    <w:rsid w:val="00E03281"/>
    <w:rsid w:val="00E22C52"/>
    <w:rsid w:val="00E26FA2"/>
    <w:rsid w:val="00E70415"/>
    <w:rsid w:val="00E75D15"/>
    <w:rsid w:val="00E76A43"/>
    <w:rsid w:val="00E87AC8"/>
    <w:rsid w:val="00EE7604"/>
    <w:rsid w:val="00F077D1"/>
    <w:rsid w:val="00F13559"/>
    <w:rsid w:val="00F27448"/>
    <w:rsid w:val="00F33235"/>
    <w:rsid w:val="00F3494F"/>
    <w:rsid w:val="00F62D27"/>
    <w:rsid w:val="00F90B5A"/>
    <w:rsid w:val="00FA2332"/>
    <w:rsid w:val="00FB7143"/>
    <w:rsid w:val="00FC7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465202"/>
  <w15:chartTrackingRefBased/>
  <w15:docId w15:val="{7CE6414E-8443-E644-9189-D04F81E714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CA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23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23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235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23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235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235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235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235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235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235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235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235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235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235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23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23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23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23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235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23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235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23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235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23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23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235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235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235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2352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7456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C745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45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56E3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448A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448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448A9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70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7176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8586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4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0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6408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823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416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931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481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864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0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9337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515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4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4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8619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9361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0321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28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4800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2043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990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7184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6553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42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5385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7995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33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2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4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81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718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750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6536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00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40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08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5744/florida/9780813056241.003.0001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ationalgeographic.com/history/article/family-story-elder-relative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2307/46829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ationalgeographic.com/magazine/article/why-the-storyteller-matters-as-much-as-the-story-itself?loggedin=true&amp;rnd=1734123930367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nationalgeographic.com/magazine/article/why-the-storyteller-matters-as-much-as-the-story-itself?loggedin=true&amp;rnd=1734123930367" TargetMode="External"/><Relationship Id="rId2" Type="http://schemas.openxmlformats.org/officeDocument/2006/relationships/hyperlink" Target="https://www.nationalgeographic.com/history/article/family-story-elder-relatives" TargetMode="External"/><Relationship Id="rId1" Type="http://schemas.openxmlformats.org/officeDocument/2006/relationships/hyperlink" Target="https://doi.org/10.2307/468299" TargetMode="External"/><Relationship Id="rId4" Type="http://schemas.openxmlformats.org/officeDocument/2006/relationships/hyperlink" Target="https://doi.org/10.2307/j.ctvx076q8.4" TargetMode="Externa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0CABDE8-9B92-6C4A-AB21-C29A8629B9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705</Words>
  <Characters>4024</Characters>
  <Application>Microsoft Office Word</Application>
  <DocSecurity>0</DocSecurity>
  <Lines>33</Lines>
  <Paragraphs>9</Paragraphs>
  <ScaleCrop>false</ScaleCrop>
  <Company/>
  <LinksUpToDate>false</LinksUpToDate>
  <CharactersWithSpaces>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Ehnes-Hammel (2409336)</dc:creator>
  <cp:keywords/>
  <dc:description/>
  <cp:lastModifiedBy>Nicholas Ehnes-Hammel</cp:lastModifiedBy>
  <cp:revision>2</cp:revision>
  <dcterms:created xsi:type="dcterms:W3CDTF">2025-01-13T21:35:00Z</dcterms:created>
  <dcterms:modified xsi:type="dcterms:W3CDTF">2025-01-13T21:35:00Z</dcterms:modified>
</cp:coreProperties>
</file>