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3B430" w14:textId="29620FF8" w:rsidR="00B10CDF" w:rsidRDefault="00B10CDF">
      <w:pPr>
        <w:spacing w:before="1200" w:after="400"/>
        <w:jc w:val="center"/>
        <w:rPr>
          <w:rFonts w:ascii="Arial" w:eastAsia="Arial" w:hAnsi="Arial" w:cs="Arial"/>
          <w:b/>
          <w:bCs/>
          <w:sz w:val="28"/>
          <w:szCs w:val="28"/>
        </w:rPr>
      </w:pPr>
      <w:r>
        <w:rPr>
          <w:noProof/>
        </w:rPr>
        <w:drawing>
          <wp:inline distT="0" distB="0" distL="0" distR="0" wp14:anchorId="3D031EB8" wp14:editId="1A552244">
            <wp:extent cx="3390256" cy="1562100"/>
            <wp:effectExtent l="0" t="0" r="1270" b="0"/>
            <wp:docPr id="1647454456"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9258" cy="1575463"/>
                    </a:xfrm>
                    <a:prstGeom prst="rect">
                      <a:avLst/>
                    </a:prstGeom>
                    <a:noFill/>
                    <a:ln>
                      <a:noFill/>
                    </a:ln>
                  </pic:spPr>
                </pic:pic>
              </a:graphicData>
            </a:graphic>
          </wp:inline>
        </w:drawing>
      </w:r>
    </w:p>
    <w:p w14:paraId="6E339BEC" w14:textId="6D4D0AC9" w:rsidR="009D1D4E" w:rsidRPr="008F7DB1" w:rsidRDefault="00201EB7">
      <w:pPr>
        <w:spacing w:before="1200" w:after="400"/>
        <w:jc w:val="center"/>
      </w:pPr>
      <w:r w:rsidRPr="008F7DB1">
        <w:rPr>
          <w:rFonts w:ascii="Arial" w:eastAsia="Arial" w:hAnsi="Arial" w:cs="Arial"/>
          <w:b/>
          <w:bCs/>
          <w:sz w:val="28"/>
          <w:szCs w:val="28"/>
        </w:rPr>
        <w:t>MSc Public Health and Social Care in Practice</w:t>
      </w:r>
    </w:p>
    <w:p w14:paraId="4CF19D6D" w14:textId="77777777" w:rsidR="009D1D4E" w:rsidRPr="008F7DB1" w:rsidRDefault="00201EB7">
      <w:pPr>
        <w:spacing w:after="200"/>
        <w:jc w:val="center"/>
      </w:pPr>
      <w:r w:rsidRPr="008F7DB1">
        <w:rPr>
          <w:rFonts w:ascii="Arial" w:eastAsia="Arial" w:hAnsi="Arial" w:cs="Arial"/>
          <w:sz w:val="22"/>
          <w:szCs w:val="22"/>
        </w:rPr>
        <w:t>Module: Quality Assurance and Service Improvements (LCHS7006)</w:t>
      </w:r>
    </w:p>
    <w:p w14:paraId="6C313FA1" w14:textId="77777777" w:rsidR="009D1D4E" w:rsidRPr="008F7DB1" w:rsidRDefault="00201EB7">
      <w:pPr>
        <w:spacing w:after="200"/>
        <w:jc w:val="center"/>
      </w:pPr>
      <w:r w:rsidRPr="008F7DB1">
        <w:rPr>
          <w:rFonts w:ascii="Arial" w:eastAsia="Arial" w:hAnsi="Arial" w:cs="Arial"/>
          <w:b/>
          <w:bCs/>
          <w:sz w:val="24"/>
          <w:szCs w:val="24"/>
        </w:rPr>
        <w:t>Component 2: Service Improvement Report</w:t>
      </w:r>
    </w:p>
    <w:p w14:paraId="3862E5F2" w14:textId="77777777" w:rsidR="009D1D4E" w:rsidRPr="008F7DB1" w:rsidRDefault="00201EB7">
      <w:pPr>
        <w:spacing w:after="600"/>
        <w:jc w:val="center"/>
      </w:pPr>
      <w:r w:rsidRPr="008F7DB1">
        <w:rPr>
          <w:rFonts w:ascii="Arial" w:eastAsia="Arial" w:hAnsi="Arial" w:cs="Arial"/>
          <w:i/>
          <w:iCs/>
          <w:sz w:val="24"/>
          <w:szCs w:val="24"/>
        </w:rPr>
        <w:t>Quality Assurance Failures in the Shrewsbury and Telford Hospital NHS Trust Maternity Scandal: A Root Cause and Policy Analysis</w:t>
      </w:r>
    </w:p>
    <w:p w14:paraId="451C4277" w14:textId="77777777" w:rsidR="009D1D4E" w:rsidRPr="008F7DB1" w:rsidRDefault="00201EB7">
      <w:pPr>
        <w:spacing w:after="100"/>
        <w:jc w:val="center"/>
      </w:pPr>
      <w:r w:rsidRPr="008F7DB1">
        <w:rPr>
          <w:rFonts w:ascii="Arial" w:eastAsia="Arial" w:hAnsi="Arial" w:cs="Arial"/>
          <w:sz w:val="22"/>
          <w:szCs w:val="22"/>
        </w:rPr>
        <w:t>Student Name: MD Rimon Miah</w:t>
      </w:r>
    </w:p>
    <w:p w14:paraId="682EA8FE" w14:textId="77777777" w:rsidR="009D1D4E" w:rsidRPr="008F7DB1" w:rsidRDefault="00201EB7">
      <w:pPr>
        <w:spacing w:after="100"/>
        <w:jc w:val="center"/>
      </w:pPr>
      <w:r w:rsidRPr="008F7DB1">
        <w:rPr>
          <w:rFonts w:ascii="Arial" w:eastAsia="Arial" w:hAnsi="Arial" w:cs="Arial"/>
          <w:sz w:val="22"/>
          <w:szCs w:val="22"/>
        </w:rPr>
        <w:t>Student ID: 2509982</w:t>
      </w:r>
    </w:p>
    <w:p w14:paraId="61160957" w14:textId="77777777" w:rsidR="009D1D4E" w:rsidRPr="008F7DB1" w:rsidRDefault="00201EB7">
      <w:pPr>
        <w:spacing w:after="100"/>
        <w:jc w:val="center"/>
      </w:pPr>
      <w:r w:rsidRPr="008F7DB1">
        <w:rPr>
          <w:rFonts w:ascii="Arial" w:eastAsia="Arial" w:hAnsi="Arial" w:cs="Arial"/>
          <w:sz w:val="22"/>
          <w:szCs w:val="22"/>
        </w:rPr>
        <w:t xml:space="preserve">Lecturer: </w:t>
      </w:r>
      <w:proofErr w:type="spellStart"/>
      <w:r w:rsidRPr="008F7DB1">
        <w:rPr>
          <w:rFonts w:ascii="Arial" w:eastAsia="Arial" w:hAnsi="Arial" w:cs="Arial"/>
          <w:sz w:val="22"/>
          <w:szCs w:val="22"/>
        </w:rPr>
        <w:t>Dilhara</w:t>
      </w:r>
      <w:proofErr w:type="spellEnd"/>
      <w:r w:rsidRPr="008F7DB1">
        <w:rPr>
          <w:rFonts w:ascii="Arial" w:eastAsia="Arial" w:hAnsi="Arial" w:cs="Arial"/>
          <w:sz w:val="22"/>
          <w:szCs w:val="22"/>
        </w:rPr>
        <w:t xml:space="preserve"> </w:t>
      </w:r>
      <w:proofErr w:type="spellStart"/>
      <w:r w:rsidRPr="008F7DB1">
        <w:rPr>
          <w:rFonts w:ascii="Arial" w:eastAsia="Arial" w:hAnsi="Arial" w:cs="Arial"/>
          <w:sz w:val="22"/>
          <w:szCs w:val="22"/>
        </w:rPr>
        <w:t>Mampitiya</w:t>
      </w:r>
      <w:proofErr w:type="spellEnd"/>
    </w:p>
    <w:p w14:paraId="25712C1E" w14:textId="77777777" w:rsidR="009D1D4E" w:rsidRPr="008F7DB1" w:rsidRDefault="00201EB7">
      <w:pPr>
        <w:spacing w:after="100"/>
        <w:jc w:val="center"/>
      </w:pPr>
      <w:r w:rsidRPr="008F7DB1">
        <w:rPr>
          <w:rFonts w:ascii="Arial" w:eastAsia="Arial" w:hAnsi="Arial" w:cs="Arial"/>
          <w:sz w:val="22"/>
          <w:szCs w:val="22"/>
        </w:rPr>
        <w:t>Internal Verifier: Dr Hamdi Hussain</w:t>
      </w:r>
    </w:p>
    <w:p w14:paraId="01B648C1" w14:textId="77777777" w:rsidR="009D1D4E" w:rsidRPr="008F7DB1" w:rsidRDefault="00201EB7">
      <w:pPr>
        <w:spacing w:after="100"/>
        <w:jc w:val="center"/>
      </w:pPr>
      <w:r w:rsidRPr="008F7DB1">
        <w:rPr>
          <w:rFonts w:ascii="Arial" w:eastAsia="Arial" w:hAnsi="Arial" w:cs="Arial"/>
          <w:sz w:val="22"/>
          <w:szCs w:val="22"/>
        </w:rPr>
        <w:t>Submission Deadline: 14 August 2026</w:t>
      </w:r>
    </w:p>
    <w:p w14:paraId="529A50DE" w14:textId="77777777" w:rsidR="00B10CDF" w:rsidRDefault="00201EB7" w:rsidP="008D05BB">
      <w:pPr>
        <w:spacing w:after="100"/>
        <w:jc w:val="center"/>
        <w:rPr>
          <w:rFonts w:ascii="Arial" w:eastAsia="Arial" w:hAnsi="Arial" w:cs="Arial"/>
          <w:sz w:val="22"/>
          <w:szCs w:val="22"/>
        </w:rPr>
      </w:pPr>
      <w:r w:rsidRPr="008F7DB1">
        <w:rPr>
          <w:rFonts w:ascii="Arial" w:eastAsia="Arial" w:hAnsi="Arial" w:cs="Arial"/>
          <w:sz w:val="22"/>
          <w:szCs w:val="22"/>
        </w:rPr>
        <w:t xml:space="preserve">Word Count: </w:t>
      </w:r>
    </w:p>
    <w:p w14:paraId="4C3F7B10" w14:textId="77777777" w:rsidR="00B10CDF" w:rsidRDefault="00B10CDF" w:rsidP="008D05BB">
      <w:pPr>
        <w:spacing w:after="100"/>
        <w:jc w:val="center"/>
        <w:rPr>
          <w:rFonts w:ascii="Arial" w:eastAsia="Arial" w:hAnsi="Arial" w:cs="Arial"/>
          <w:sz w:val="22"/>
          <w:szCs w:val="22"/>
        </w:rPr>
      </w:pPr>
    </w:p>
    <w:p w14:paraId="3593389D" w14:textId="77777777" w:rsidR="00B10CDF" w:rsidRDefault="00B10CDF" w:rsidP="008D05BB">
      <w:pPr>
        <w:spacing w:after="100"/>
        <w:jc w:val="center"/>
        <w:rPr>
          <w:rFonts w:ascii="Arial" w:eastAsia="Arial" w:hAnsi="Arial" w:cs="Arial"/>
          <w:sz w:val="22"/>
          <w:szCs w:val="22"/>
        </w:rPr>
      </w:pPr>
    </w:p>
    <w:p w14:paraId="663DFEED" w14:textId="77777777" w:rsidR="00B10CDF" w:rsidRDefault="00B10CDF" w:rsidP="008D05BB">
      <w:pPr>
        <w:spacing w:after="100"/>
        <w:jc w:val="center"/>
        <w:rPr>
          <w:rFonts w:ascii="Arial" w:eastAsia="Arial" w:hAnsi="Arial" w:cs="Arial"/>
          <w:sz w:val="22"/>
          <w:szCs w:val="22"/>
        </w:rPr>
      </w:pPr>
    </w:p>
    <w:p w14:paraId="37F971E5" w14:textId="77777777" w:rsidR="00B10CDF" w:rsidRDefault="00B10CDF" w:rsidP="008D05BB">
      <w:pPr>
        <w:spacing w:after="100"/>
        <w:jc w:val="center"/>
        <w:rPr>
          <w:rFonts w:ascii="Arial" w:eastAsia="Arial" w:hAnsi="Arial" w:cs="Arial"/>
          <w:sz w:val="22"/>
          <w:szCs w:val="22"/>
        </w:rPr>
      </w:pPr>
    </w:p>
    <w:p w14:paraId="625884ED" w14:textId="77777777" w:rsidR="00B10CDF" w:rsidRDefault="00B10CDF" w:rsidP="008D05BB">
      <w:pPr>
        <w:spacing w:after="100"/>
        <w:jc w:val="center"/>
        <w:rPr>
          <w:rFonts w:ascii="Arial" w:eastAsia="Arial" w:hAnsi="Arial" w:cs="Arial"/>
          <w:sz w:val="22"/>
          <w:szCs w:val="22"/>
        </w:rPr>
      </w:pPr>
    </w:p>
    <w:p w14:paraId="396F943C" w14:textId="77777777" w:rsidR="00B10CDF" w:rsidRDefault="00B10CDF" w:rsidP="008D05BB">
      <w:pPr>
        <w:spacing w:after="100"/>
        <w:jc w:val="center"/>
        <w:rPr>
          <w:rFonts w:ascii="Arial" w:eastAsia="Arial" w:hAnsi="Arial" w:cs="Arial"/>
          <w:sz w:val="22"/>
          <w:szCs w:val="22"/>
        </w:rPr>
      </w:pPr>
    </w:p>
    <w:p w14:paraId="153989C0" w14:textId="77777777" w:rsidR="00B10CDF" w:rsidRDefault="00B10CDF" w:rsidP="008D05BB">
      <w:pPr>
        <w:spacing w:after="100"/>
        <w:jc w:val="center"/>
        <w:rPr>
          <w:rFonts w:ascii="Arial" w:eastAsia="Arial" w:hAnsi="Arial" w:cs="Arial"/>
          <w:sz w:val="22"/>
          <w:szCs w:val="22"/>
        </w:rPr>
      </w:pPr>
    </w:p>
    <w:p w14:paraId="7F98A445" w14:textId="77777777" w:rsidR="00B10CDF" w:rsidRDefault="00B10CDF" w:rsidP="008D05BB">
      <w:pPr>
        <w:spacing w:after="100"/>
        <w:jc w:val="center"/>
        <w:rPr>
          <w:rFonts w:ascii="Arial" w:eastAsia="Arial" w:hAnsi="Arial" w:cs="Arial"/>
          <w:sz w:val="22"/>
          <w:szCs w:val="22"/>
        </w:rPr>
      </w:pPr>
    </w:p>
    <w:p w14:paraId="23A81BFD" w14:textId="77777777" w:rsidR="00B10CDF" w:rsidRDefault="00B10CDF" w:rsidP="008D05BB">
      <w:pPr>
        <w:spacing w:after="100"/>
        <w:jc w:val="center"/>
        <w:rPr>
          <w:rFonts w:ascii="Arial" w:eastAsia="Arial" w:hAnsi="Arial" w:cs="Arial"/>
          <w:sz w:val="22"/>
          <w:szCs w:val="22"/>
        </w:rPr>
      </w:pPr>
    </w:p>
    <w:p w14:paraId="450E4635" w14:textId="77777777" w:rsidR="00B10CDF" w:rsidRDefault="00B10CDF" w:rsidP="008D05BB">
      <w:pPr>
        <w:spacing w:after="100"/>
        <w:jc w:val="center"/>
        <w:rPr>
          <w:rFonts w:ascii="Arial" w:eastAsia="Arial" w:hAnsi="Arial" w:cs="Arial"/>
          <w:sz w:val="22"/>
          <w:szCs w:val="22"/>
        </w:rPr>
      </w:pPr>
    </w:p>
    <w:p w14:paraId="036C98DB" w14:textId="77777777" w:rsidR="00B10CDF" w:rsidRDefault="00B10CDF" w:rsidP="008D05BB">
      <w:pPr>
        <w:spacing w:after="100"/>
        <w:jc w:val="center"/>
        <w:rPr>
          <w:rFonts w:ascii="Arial" w:eastAsia="Arial" w:hAnsi="Arial" w:cs="Arial"/>
          <w:sz w:val="22"/>
          <w:szCs w:val="22"/>
        </w:rPr>
      </w:pPr>
    </w:p>
    <w:p w14:paraId="7FA021A5" w14:textId="77777777" w:rsidR="00B10CDF" w:rsidRDefault="00B10CDF" w:rsidP="008D05BB">
      <w:pPr>
        <w:spacing w:after="100"/>
        <w:jc w:val="center"/>
        <w:rPr>
          <w:rFonts w:ascii="Arial" w:eastAsia="Arial" w:hAnsi="Arial" w:cs="Arial"/>
          <w:sz w:val="22"/>
          <w:szCs w:val="22"/>
        </w:rPr>
      </w:pPr>
    </w:p>
    <w:p w14:paraId="74C18645" w14:textId="77777777" w:rsidR="00B10CDF" w:rsidRDefault="00B10CDF" w:rsidP="008D05BB">
      <w:pPr>
        <w:spacing w:after="100"/>
        <w:jc w:val="center"/>
        <w:rPr>
          <w:rFonts w:ascii="Arial" w:eastAsia="Arial" w:hAnsi="Arial" w:cs="Arial"/>
          <w:sz w:val="22"/>
          <w:szCs w:val="22"/>
        </w:rPr>
      </w:pPr>
    </w:p>
    <w:p w14:paraId="6C092017" w14:textId="77777777" w:rsidR="00B10CDF" w:rsidRDefault="00B10CDF" w:rsidP="008D05BB">
      <w:pPr>
        <w:spacing w:after="100"/>
        <w:jc w:val="center"/>
        <w:rPr>
          <w:rFonts w:ascii="Arial" w:eastAsia="Arial" w:hAnsi="Arial" w:cs="Arial"/>
          <w:sz w:val="22"/>
          <w:szCs w:val="22"/>
        </w:rPr>
      </w:pPr>
    </w:p>
    <w:sdt>
      <w:sdtPr>
        <w:id w:val="416220474"/>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7DC66859" w14:textId="69443A0F" w:rsidR="00B10CDF" w:rsidRDefault="00B10CDF">
          <w:pPr>
            <w:pStyle w:val="TOCHeading"/>
          </w:pPr>
          <w:r>
            <w:t>Contents</w:t>
          </w:r>
        </w:p>
        <w:p w14:paraId="595FFF6C" w14:textId="3B4B53CA" w:rsidR="00B10CDF" w:rsidRDefault="00B10CDF">
          <w:pPr>
            <w:pStyle w:val="TOC1"/>
            <w:tabs>
              <w:tab w:val="right" w:leader="dot" w:pos="9016"/>
            </w:tabs>
            <w:rPr>
              <w:noProof/>
            </w:rPr>
          </w:pPr>
          <w:r>
            <w:fldChar w:fldCharType="begin"/>
          </w:r>
          <w:r>
            <w:instrText xml:space="preserve"> TOC \o "1-3" \h \z \u </w:instrText>
          </w:r>
          <w:r>
            <w:fldChar w:fldCharType="separate"/>
          </w:r>
          <w:hyperlink w:anchor="_Toc236399734" w:history="1">
            <w:r w:rsidRPr="006C3624">
              <w:rPr>
                <w:rStyle w:val="Hyperlink"/>
                <w:rFonts w:ascii="Arial" w:eastAsia="Arial" w:hAnsi="Arial" w:cs="Arial"/>
                <w:b/>
                <w:bCs/>
                <w:noProof/>
              </w:rPr>
              <w:t>1. Introduction</w:t>
            </w:r>
            <w:r>
              <w:rPr>
                <w:noProof/>
                <w:webHidden/>
              </w:rPr>
              <w:tab/>
            </w:r>
            <w:r>
              <w:rPr>
                <w:noProof/>
                <w:webHidden/>
              </w:rPr>
              <w:fldChar w:fldCharType="begin"/>
            </w:r>
            <w:r>
              <w:rPr>
                <w:noProof/>
                <w:webHidden/>
              </w:rPr>
              <w:instrText xml:space="preserve"> PAGEREF _Toc236399734 \h </w:instrText>
            </w:r>
            <w:r>
              <w:rPr>
                <w:noProof/>
                <w:webHidden/>
              </w:rPr>
            </w:r>
            <w:r>
              <w:rPr>
                <w:noProof/>
                <w:webHidden/>
              </w:rPr>
              <w:fldChar w:fldCharType="separate"/>
            </w:r>
            <w:r>
              <w:rPr>
                <w:noProof/>
                <w:webHidden/>
              </w:rPr>
              <w:t>3</w:t>
            </w:r>
            <w:r>
              <w:rPr>
                <w:noProof/>
                <w:webHidden/>
              </w:rPr>
              <w:fldChar w:fldCharType="end"/>
            </w:r>
          </w:hyperlink>
        </w:p>
        <w:p w14:paraId="52D6C699" w14:textId="741E9468" w:rsidR="00B10CDF" w:rsidRDefault="00B10CDF">
          <w:pPr>
            <w:pStyle w:val="TOC1"/>
            <w:tabs>
              <w:tab w:val="right" w:leader="dot" w:pos="9016"/>
            </w:tabs>
            <w:rPr>
              <w:noProof/>
            </w:rPr>
          </w:pPr>
          <w:hyperlink w:anchor="_Toc236399735" w:history="1">
            <w:r w:rsidRPr="006C3624">
              <w:rPr>
                <w:rStyle w:val="Hyperlink"/>
                <w:rFonts w:ascii="Arial" w:eastAsia="Arial" w:hAnsi="Arial" w:cs="Arial"/>
                <w:b/>
                <w:bCs/>
                <w:noProof/>
              </w:rPr>
              <w:t>2. Main Body: Root Cause and Policy Analysis</w:t>
            </w:r>
            <w:r>
              <w:rPr>
                <w:noProof/>
                <w:webHidden/>
              </w:rPr>
              <w:tab/>
            </w:r>
            <w:r>
              <w:rPr>
                <w:noProof/>
                <w:webHidden/>
              </w:rPr>
              <w:fldChar w:fldCharType="begin"/>
            </w:r>
            <w:r>
              <w:rPr>
                <w:noProof/>
                <w:webHidden/>
              </w:rPr>
              <w:instrText xml:space="preserve"> PAGEREF _Toc236399735 \h </w:instrText>
            </w:r>
            <w:r>
              <w:rPr>
                <w:noProof/>
                <w:webHidden/>
              </w:rPr>
            </w:r>
            <w:r>
              <w:rPr>
                <w:noProof/>
                <w:webHidden/>
              </w:rPr>
              <w:fldChar w:fldCharType="separate"/>
            </w:r>
            <w:r>
              <w:rPr>
                <w:noProof/>
                <w:webHidden/>
              </w:rPr>
              <w:t>4</w:t>
            </w:r>
            <w:r>
              <w:rPr>
                <w:noProof/>
                <w:webHidden/>
              </w:rPr>
              <w:fldChar w:fldCharType="end"/>
            </w:r>
          </w:hyperlink>
        </w:p>
        <w:p w14:paraId="148DB8CC" w14:textId="5D6650D0" w:rsidR="00B10CDF" w:rsidRDefault="00B10CDF">
          <w:pPr>
            <w:pStyle w:val="TOC2"/>
            <w:tabs>
              <w:tab w:val="right" w:leader="dot" w:pos="9016"/>
            </w:tabs>
            <w:rPr>
              <w:noProof/>
            </w:rPr>
          </w:pPr>
          <w:hyperlink w:anchor="_Toc236399736" w:history="1">
            <w:r w:rsidRPr="006C3624">
              <w:rPr>
                <w:rStyle w:val="Hyperlink"/>
                <w:rFonts w:ascii="Arial" w:eastAsia="Arial" w:hAnsi="Arial" w:cs="Arial"/>
                <w:b/>
                <w:bCs/>
                <w:noProof/>
              </w:rPr>
              <w:t>2.1 Case Study Background</w:t>
            </w:r>
            <w:r>
              <w:rPr>
                <w:noProof/>
                <w:webHidden/>
              </w:rPr>
              <w:tab/>
            </w:r>
            <w:r>
              <w:rPr>
                <w:noProof/>
                <w:webHidden/>
              </w:rPr>
              <w:fldChar w:fldCharType="begin"/>
            </w:r>
            <w:r>
              <w:rPr>
                <w:noProof/>
                <w:webHidden/>
              </w:rPr>
              <w:instrText xml:space="preserve"> PAGEREF _Toc236399736 \h </w:instrText>
            </w:r>
            <w:r>
              <w:rPr>
                <w:noProof/>
                <w:webHidden/>
              </w:rPr>
            </w:r>
            <w:r>
              <w:rPr>
                <w:noProof/>
                <w:webHidden/>
              </w:rPr>
              <w:fldChar w:fldCharType="separate"/>
            </w:r>
            <w:r>
              <w:rPr>
                <w:noProof/>
                <w:webHidden/>
              </w:rPr>
              <w:t>4</w:t>
            </w:r>
            <w:r>
              <w:rPr>
                <w:noProof/>
                <w:webHidden/>
              </w:rPr>
              <w:fldChar w:fldCharType="end"/>
            </w:r>
          </w:hyperlink>
        </w:p>
        <w:p w14:paraId="1BF71C17" w14:textId="13EBE32F" w:rsidR="00B10CDF" w:rsidRDefault="00B10CDF">
          <w:pPr>
            <w:pStyle w:val="TOC2"/>
            <w:tabs>
              <w:tab w:val="right" w:leader="dot" w:pos="9016"/>
            </w:tabs>
            <w:rPr>
              <w:noProof/>
            </w:rPr>
          </w:pPr>
          <w:hyperlink w:anchor="_Toc236399737" w:history="1">
            <w:r w:rsidRPr="006C3624">
              <w:rPr>
                <w:rStyle w:val="Hyperlink"/>
                <w:rFonts w:ascii="Arial" w:eastAsia="Arial" w:hAnsi="Arial" w:cs="Arial"/>
                <w:b/>
                <w:bCs/>
                <w:noProof/>
              </w:rPr>
              <w:t>2.2 The Swiss Cheese Model and Root Cause Analysis</w:t>
            </w:r>
            <w:r>
              <w:rPr>
                <w:noProof/>
                <w:webHidden/>
              </w:rPr>
              <w:tab/>
            </w:r>
            <w:r>
              <w:rPr>
                <w:noProof/>
                <w:webHidden/>
              </w:rPr>
              <w:fldChar w:fldCharType="begin"/>
            </w:r>
            <w:r>
              <w:rPr>
                <w:noProof/>
                <w:webHidden/>
              </w:rPr>
              <w:instrText xml:space="preserve"> PAGEREF _Toc236399737 \h </w:instrText>
            </w:r>
            <w:r>
              <w:rPr>
                <w:noProof/>
                <w:webHidden/>
              </w:rPr>
            </w:r>
            <w:r>
              <w:rPr>
                <w:noProof/>
                <w:webHidden/>
              </w:rPr>
              <w:fldChar w:fldCharType="separate"/>
            </w:r>
            <w:r>
              <w:rPr>
                <w:noProof/>
                <w:webHidden/>
              </w:rPr>
              <w:t>4</w:t>
            </w:r>
            <w:r>
              <w:rPr>
                <w:noProof/>
                <w:webHidden/>
              </w:rPr>
              <w:fldChar w:fldCharType="end"/>
            </w:r>
          </w:hyperlink>
        </w:p>
        <w:p w14:paraId="71FD57BF" w14:textId="091CFF14" w:rsidR="00B10CDF" w:rsidRDefault="00B10CDF">
          <w:pPr>
            <w:pStyle w:val="TOC2"/>
            <w:tabs>
              <w:tab w:val="right" w:leader="dot" w:pos="9016"/>
            </w:tabs>
            <w:rPr>
              <w:noProof/>
            </w:rPr>
          </w:pPr>
          <w:hyperlink w:anchor="_Toc236399738" w:history="1">
            <w:r w:rsidRPr="006C3624">
              <w:rPr>
                <w:rStyle w:val="Hyperlink"/>
                <w:rFonts w:ascii="Arial" w:eastAsia="Arial" w:hAnsi="Arial" w:cs="Arial"/>
                <w:b/>
                <w:bCs/>
                <w:noProof/>
              </w:rPr>
              <w:t>2.3 The Donabedian Structure-Process-Outcome Model</w:t>
            </w:r>
            <w:r>
              <w:rPr>
                <w:noProof/>
                <w:webHidden/>
              </w:rPr>
              <w:tab/>
            </w:r>
            <w:r>
              <w:rPr>
                <w:noProof/>
                <w:webHidden/>
              </w:rPr>
              <w:fldChar w:fldCharType="begin"/>
            </w:r>
            <w:r>
              <w:rPr>
                <w:noProof/>
                <w:webHidden/>
              </w:rPr>
              <w:instrText xml:space="preserve"> PAGEREF _Toc236399738 \h </w:instrText>
            </w:r>
            <w:r>
              <w:rPr>
                <w:noProof/>
                <w:webHidden/>
              </w:rPr>
            </w:r>
            <w:r>
              <w:rPr>
                <w:noProof/>
                <w:webHidden/>
              </w:rPr>
              <w:fldChar w:fldCharType="separate"/>
            </w:r>
            <w:r>
              <w:rPr>
                <w:noProof/>
                <w:webHidden/>
              </w:rPr>
              <w:t>5</w:t>
            </w:r>
            <w:r>
              <w:rPr>
                <w:noProof/>
                <w:webHidden/>
              </w:rPr>
              <w:fldChar w:fldCharType="end"/>
            </w:r>
          </w:hyperlink>
        </w:p>
        <w:p w14:paraId="1F1C3FD6" w14:textId="138CE001" w:rsidR="00B10CDF" w:rsidRDefault="00B10CDF">
          <w:pPr>
            <w:pStyle w:val="TOC2"/>
            <w:tabs>
              <w:tab w:val="right" w:leader="dot" w:pos="9016"/>
            </w:tabs>
            <w:rPr>
              <w:noProof/>
            </w:rPr>
          </w:pPr>
          <w:hyperlink w:anchor="_Toc236399739" w:history="1">
            <w:r w:rsidRPr="006C3624">
              <w:rPr>
                <w:rStyle w:val="Hyperlink"/>
                <w:rFonts w:ascii="Arial" w:eastAsia="Arial" w:hAnsi="Arial" w:cs="Arial"/>
                <w:b/>
                <w:bCs/>
                <w:noProof/>
              </w:rPr>
              <w:t>2.4 SWOT Analysis: Strategic Context for Reform</w:t>
            </w:r>
            <w:r>
              <w:rPr>
                <w:noProof/>
                <w:webHidden/>
              </w:rPr>
              <w:tab/>
            </w:r>
            <w:r>
              <w:rPr>
                <w:noProof/>
                <w:webHidden/>
              </w:rPr>
              <w:fldChar w:fldCharType="begin"/>
            </w:r>
            <w:r>
              <w:rPr>
                <w:noProof/>
                <w:webHidden/>
              </w:rPr>
              <w:instrText xml:space="preserve"> PAGEREF _Toc236399739 \h </w:instrText>
            </w:r>
            <w:r>
              <w:rPr>
                <w:noProof/>
                <w:webHidden/>
              </w:rPr>
            </w:r>
            <w:r>
              <w:rPr>
                <w:noProof/>
                <w:webHidden/>
              </w:rPr>
              <w:fldChar w:fldCharType="separate"/>
            </w:r>
            <w:r>
              <w:rPr>
                <w:noProof/>
                <w:webHidden/>
              </w:rPr>
              <w:t>5</w:t>
            </w:r>
            <w:r>
              <w:rPr>
                <w:noProof/>
                <w:webHidden/>
              </w:rPr>
              <w:fldChar w:fldCharType="end"/>
            </w:r>
          </w:hyperlink>
        </w:p>
        <w:p w14:paraId="19C9BB8D" w14:textId="5132287A" w:rsidR="00B10CDF" w:rsidRDefault="00B10CDF">
          <w:pPr>
            <w:pStyle w:val="TOC2"/>
            <w:tabs>
              <w:tab w:val="right" w:leader="dot" w:pos="9016"/>
            </w:tabs>
            <w:rPr>
              <w:noProof/>
            </w:rPr>
          </w:pPr>
          <w:hyperlink w:anchor="_Toc236399740" w:history="1">
            <w:r w:rsidRPr="006C3624">
              <w:rPr>
                <w:rStyle w:val="Hyperlink"/>
                <w:rFonts w:ascii="Arial" w:eastAsia="Arial" w:hAnsi="Arial" w:cs="Arial"/>
                <w:b/>
                <w:bCs/>
                <w:noProof/>
              </w:rPr>
              <w:t>2.5 Policy Analysis: Governance and Accountability Failures</w:t>
            </w:r>
            <w:r>
              <w:rPr>
                <w:noProof/>
                <w:webHidden/>
              </w:rPr>
              <w:tab/>
            </w:r>
            <w:r>
              <w:rPr>
                <w:noProof/>
                <w:webHidden/>
              </w:rPr>
              <w:fldChar w:fldCharType="begin"/>
            </w:r>
            <w:r>
              <w:rPr>
                <w:noProof/>
                <w:webHidden/>
              </w:rPr>
              <w:instrText xml:space="preserve"> PAGEREF _Toc236399740 \h </w:instrText>
            </w:r>
            <w:r>
              <w:rPr>
                <w:noProof/>
                <w:webHidden/>
              </w:rPr>
            </w:r>
            <w:r>
              <w:rPr>
                <w:noProof/>
                <w:webHidden/>
              </w:rPr>
              <w:fldChar w:fldCharType="separate"/>
            </w:r>
            <w:r>
              <w:rPr>
                <w:noProof/>
                <w:webHidden/>
              </w:rPr>
              <w:t>6</w:t>
            </w:r>
            <w:r>
              <w:rPr>
                <w:noProof/>
                <w:webHidden/>
              </w:rPr>
              <w:fldChar w:fldCharType="end"/>
            </w:r>
          </w:hyperlink>
        </w:p>
        <w:p w14:paraId="6B2CDCA6" w14:textId="3499D598" w:rsidR="00B10CDF" w:rsidRDefault="00B10CDF">
          <w:pPr>
            <w:pStyle w:val="TOC1"/>
            <w:tabs>
              <w:tab w:val="right" w:leader="dot" w:pos="9016"/>
            </w:tabs>
            <w:rPr>
              <w:noProof/>
            </w:rPr>
          </w:pPr>
          <w:hyperlink w:anchor="_Toc236399741" w:history="1">
            <w:r w:rsidRPr="006C3624">
              <w:rPr>
                <w:rStyle w:val="Hyperlink"/>
                <w:rFonts w:ascii="Arial" w:eastAsia="Arial" w:hAnsi="Arial" w:cs="Arial"/>
                <w:b/>
                <w:bCs/>
                <w:noProof/>
              </w:rPr>
              <w:t>3. Recommendations and Implementation Strategy</w:t>
            </w:r>
            <w:r>
              <w:rPr>
                <w:noProof/>
                <w:webHidden/>
              </w:rPr>
              <w:tab/>
            </w:r>
            <w:r>
              <w:rPr>
                <w:noProof/>
                <w:webHidden/>
              </w:rPr>
              <w:fldChar w:fldCharType="begin"/>
            </w:r>
            <w:r>
              <w:rPr>
                <w:noProof/>
                <w:webHidden/>
              </w:rPr>
              <w:instrText xml:space="preserve"> PAGEREF _Toc236399741 \h </w:instrText>
            </w:r>
            <w:r>
              <w:rPr>
                <w:noProof/>
                <w:webHidden/>
              </w:rPr>
            </w:r>
            <w:r>
              <w:rPr>
                <w:noProof/>
                <w:webHidden/>
              </w:rPr>
              <w:fldChar w:fldCharType="separate"/>
            </w:r>
            <w:r>
              <w:rPr>
                <w:noProof/>
                <w:webHidden/>
              </w:rPr>
              <w:t>7</w:t>
            </w:r>
            <w:r>
              <w:rPr>
                <w:noProof/>
                <w:webHidden/>
              </w:rPr>
              <w:fldChar w:fldCharType="end"/>
            </w:r>
          </w:hyperlink>
        </w:p>
        <w:p w14:paraId="3319B0A3" w14:textId="0829CB11" w:rsidR="00B10CDF" w:rsidRDefault="00B10CDF">
          <w:pPr>
            <w:pStyle w:val="TOC2"/>
            <w:tabs>
              <w:tab w:val="right" w:leader="dot" w:pos="9016"/>
            </w:tabs>
            <w:rPr>
              <w:noProof/>
            </w:rPr>
          </w:pPr>
          <w:hyperlink w:anchor="_Toc236399742" w:history="1">
            <w:r w:rsidRPr="006C3624">
              <w:rPr>
                <w:rStyle w:val="Hyperlink"/>
                <w:rFonts w:ascii="Arial" w:eastAsia="Arial" w:hAnsi="Arial" w:cs="Arial"/>
                <w:b/>
                <w:bCs/>
                <w:noProof/>
              </w:rPr>
              <w:t>3.1 Strengthen Clinical Governance</w:t>
            </w:r>
            <w:r>
              <w:rPr>
                <w:noProof/>
                <w:webHidden/>
              </w:rPr>
              <w:tab/>
            </w:r>
            <w:r>
              <w:rPr>
                <w:noProof/>
                <w:webHidden/>
              </w:rPr>
              <w:fldChar w:fldCharType="begin"/>
            </w:r>
            <w:r>
              <w:rPr>
                <w:noProof/>
                <w:webHidden/>
              </w:rPr>
              <w:instrText xml:space="preserve"> PAGEREF _Toc236399742 \h </w:instrText>
            </w:r>
            <w:r>
              <w:rPr>
                <w:noProof/>
                <w:webHidden/>
              </w:rPr>
            </w:r>
            <w:r>
              <w:rPr>
                <w:noProof/>
                <w:webHidden/>
              </w:rPr>
              <w:fldChar w:fldCharType="separate"/>
            </w:r>
            <w:r>
              <w:rPr>
                <w:noProof/>
                <w:webHidden/>
              </w:rPr>
              <w:t>7</w:t>
            </w:r>
            <w:r>
              <w:rPr>
                <w:noProof/>
                <w:webHidden/>
              </w:rPr>
              <w:fldChar w:fldCharType="end"/>
            </w:r>
          </w:hyperlink>
        </w:p>
        <w:p w14:paraId="7B9A1914" w14:textId="6EB89BCF" w:rsidR="00B10CDF" w:rsidRDefault="00B10CDF">
          <w:pPr>
            <w:pStyle w:val="TOC2"/>
            <w:tabs>
              <w:tab w:val="right" w:leader="dot" w:pos="9016"/>
            </w:tabs>
            <w:rPr>
              <w:noProof/>
            </w:rPr>
          </w:pPr>
          <w:hyperlink w:anchor="_Toc236399743" w:history="1">
            <w:r w:rsidRPr="006C3624">
              <w:rPr>
                <w:rStyle w:val="Hyperlink"/>
                <w:rFonts w:ascii="Arial" w:eastAsia="Arial" w:hAnsi="Arial" w:cs="Arial"/>
                <w:b/>
                <w:bCs/>
                <w:noProof/>
              </w:rPr>
              <w:t>3.2 Develop a Positive, Learning-Focused Safety Culture</w:t>
            </w:r>
            <w:r>
              <w:rPr>
                <w:noProof/>
                <w:webHidden/>
              </w:rPr>
              <w:tab/>
            </w:r>
            <w:r>
              <w:rPr>
                <w:noProof/>
                <w:webHidden/>
              </w:rPr>
              <w:fldChar w:fldCharType="begin"/>
            </w:r>
            <w:r>
              <w:rPr>
                <w:noProof/>
                <w:webHidden/>
              </w:rPr>
              <w:instrText xml:space="preserve"> PAGEREF _Toc236399743 \h </w:instrText>
            </w:r>
            <w:r>
              <w:rPr>
                <w:noProof/>
                <w:webHidden/>
              </w:rPr>
            </w:r>
            <w:r>
              <w:rPr>
                <w:noProof/>
                <w:webHidden/>
              </w:rPr>
              <w:fldChar w:fldCharType="separate"/>
            </w:r>
            <w:r>
              <w:rPr>
                <w:noProof/>
                <w:webHidden/>
              </w:rPr>
              <w:t>7</w:t>
            </w:r>
            <w:r>
              <w:rPr>
                <w:noProof/>
                <w:webHidden/>
              </w:rPr>
              <w:fldChar w:fldCharType="end"/>
            </w:r>
          </w:hyperlink>
        </w:p>
        <w:p w14:paraId="61C1197D" w14:textId="5D3C5300" w:rsidR="00B10CDF" w:rsidRDefault="00B10CDF">
          <w:pPr>
            <w:pStyle w:val="TOC2"/>
            <w:tabs>
              <w:tab w:val="right" w:leader="dot" w:pos="9016"/>
            </w:tabs>
            <w:rPr>
              <w:noProof/>
            </w:rPr>
          </w:pPr>
          <w:hyperlink w:anchor="_Toc236399744" w:history="1">
            <w:r w:rsidRPr="006C3624">
              <w:rPr>
                <w:rStyle w:val="Hyperlink"/>
                <w:rFonts w:ascii="Arial" w:eastAsia="Arial" w:hAnsi="Arial" w:cs="Arial"/>
                <w:b/>
                <w:bCs/>
                <w:noProof/>
              </w:rPr>
              <w:t>3.3 Improve Workforce Capability through PDSA Cycles</w:t>
            </w:r>
            <w:r>
              <w:rPr>
                <w:noProof/>
                <w:webHidden/>
              </w:rPr>
              <w:tab/>
            </w:r>
            <w:r>
              <w:rPr>
                <w:noProof/>
                <w:webHidden/>
              </w:rPr>
              <w:fldChar w:fldCharType="begin"/>
            </w:r>
            <w:r>
              <w:rPr>
                <w:noProof/>
                <w:webHidden/>
              </w:rPr>
              <w:instrText xml:space="preserve"> PAGEREF _Toc236399744 \h </w:instrText>
            </w:r>
            <w:r>
              <w:rPr>
                <w:noProof/>
                <w:webHidden/>
              </w:rPr>
            </w:r>
            <w:r>
              <w:rPr>
                <w:noProof/>
                <w:webHidden/>
              </w:rPr>
              <w:fldChar w:fldCharType="separate"/>
            </w:r>
            <w:r>
              <w:rPr>
                <w:noProof/>
                <w:webHidden/>
              </w:rPr>
              <w:t>7</w:t>
            </w:r>
            <w:r>
              <w:rPr>
                <w:noProof/>
                <w:webHidden/>
              </w:rPr>
              <w:fldChar w:fldCharType="end"/>
            </w:r>
          </w:hyperlink>
        </w:p>
        <w:p w14:paraId="47FBA8C0" w14:textId="026721A2" w:rsidR="00B10CDF" w:rsidRDefault="00B10CDF">
          <w:pPr>
            <w:pStyle w:val="TOC2"/>
            <w:tabs>
              <w:tab w:val="right" w:leader="dot" w:pos="9016"/>
            </w:tabs>
            <w:rPr>
              <w:noProof/>
            </w:rPr>
          </w:pPr>
          <w:hyperlink w:anchor="_Toc236399745" w:history="1">
            <w:r w:rsidRPr="006C3624">
              <w:rPr>
                <w:rStyle w:val="Hyperlink"/>
                <w:rFonts w:ascii="Arial" w:eastAsia="Arial" w:hAnsi="Arial" w:cs="Arial"/>
                <w:b/>
                <w:bCs/>
                <w:noProof/>
              </w:rPr>
              <w:t>3.4 Strengthen Incident Reporting and Organisational Learning through Lean and Six Sigma</w:t>
            </w:r>
            <w:r>
              <w:rPr>
                <w:noProof/>
                <w:webHidden/>
              </w:rPr>
              <w:tab/>
            </w:r>
            <w:r>
              <w:rPr>
                <w:noProof/>
                <w:webHidden/>
              </w:rPr>
              <w:fldChar w:fldCharType="begin"/>
            </w:r>
            <w:r>
              <w:rPr>
                <w:noProof/>
                <w:webHidden/>
              </w:rPr>
              <w:instrText xml:space="preserve"> PAGEREF _Toc236399745 \h </w:instrText>
            </w:r>
            <w:r>
              <w:rPr>
                <w:noProof/>
                <w:webHidden/>
              </w:rPr>
            </w:r>
            <w:r>
              <w:rPr>
                <w:noProof/>
                <w:webHidden/>
              </w:rPr>
              <w:fldChar w:fldCharType="separate"/>
            </w:r>
            <w:r>
              <w:rPr>
                <w:noProof/>
                <w:webHidden/>
              </w:rPr>
              <w:t>8</w:t>
            </w:r>
            <w:r>
              <w:rPr>
                <w:noProof/>
                <w:webHidden/>
              </w:rPr>
              <w:fldChar w:fldCharType="end"/>
            </w:r>
          </w:hyperlink>
        </w:p>
        <w:p w14:paraId="1C85AD83" w14:textId="1B41D473" w:rsidR="00B10CDF" w:rsidRDefault="00B10CDF">
          <w:pPr>
            <w:pStyle w:val="TOC2"/>
            <w:tabs>
              <w:tab w:val="right" w:leader="dot" w:pos="9016"/>
            </w:tabs>
            <w:rPr>
              <w:noProof/>
            </w:rPr>
          </w:pPr>
          <w:hyperlink w:anchor="_Toc236399746" w:history="1">
            <w:r w:rsidRPr="006C3624">
              <w:rPr>
                <w:rStyle w:val="Hyperlink"/>
                <w:rFonts w:ascii="Arial" w:eastAsia="Arial" w:hAnsi="Arial" w:cs="Arial"/>
                <w:b/>
                <w:bCs/>
                <w:noProof/>
              </w:rPr>
              <w:t>3.5 Enhance Patient-Centred Care</w:t>
            </w:r>
            <w:r>
              <w:rPr>
                <w:noProof/>
                <w:webHidden/>
              </w:rPr>
              <w:tab/>
            </w:r>
            <w:r>
              <w:rPr>
                <w:noProof/>
                <w:webHidden/>
              </w:rPr>
              <w:fldChar w:fldCharType="begin"/>
            </w:r>
            <w:r>
              <w:rPr>
                <w:noProof/>
                <w:webHidden/>
              </w:rPr>
              <w:instrText xml:space="preserve"> PAGEREF _Toc236399746 \h </w:instrText>
            </w:r>
            <w:r>
              <w:rPr>
                <w:noProof/>
                <w:webHidden/>
              </w:rPr>
            </w:r>
            <w:r>
              <w:rPr>
                <w:noProof/>
                <w:webHidden/>
              </w:rPr>
              <w:fldChar w:fldCharType="separate"/>
            </w:r>
            <w:r>
              <w:rPr>
                <w:noProof/>
                <w:webHidden/>
              </w:rPr>
              <w:t>8</w:t>
            </w:r>
            <w:r>
              <w:rPr>
                <w:noProof/>
                <w:webHidden/>
              </w:rPr>
              <w:fldChar w:fldCharType="end"/>
            </w:r>
          </w:hyperlink>
        </w:p>
        <w:p w14:paraId="4F5E334F" w14:textId="149ADFA8" w:rsidR="00B10CDF" w:rsidRDefault="00B10CDF">
          <w:pPr>
            <w:pStyle w:val="TOC2"/>
            <w:tabs>
              <w:tab w:val="right" w:leader="dot" w:pos="9016"/>
            </w:tabs>
            <w:rPr>
              <w:noProof/>
            </w:rPr>
          </w:pPr>
          <w:hyperlink w:anchor="_Toc236399747" w:history="1">
            <w:r w:rsidRPr="006C3624">
              <w:rPr>
                <w:rStyle w:val="Hyperlink"/>
                <w:rFonts w:ascii="Arial" w:eastAsia="Arial" w:hAnsi="Arial" w:cs="Arial"/>
                <w:b/>
                <w:bCs/>
                <w:noProof/>
              </w:rPr>
              <w:t>3.6 Phased Implementation Strategy</w:t>
            </w:r>
            <w:r>
              <w:rPr>
                <w:noProof/>
                <w:webHidden/>
              </w:rPr>
              <w:tab/>
            </w:r>
            <w:r>
              <w:rPr>
                <w:noProof/>
                <w:webHidden/>
              </w:rPr>
              <w:fldChar w:fldCharType="begin"/>
            </w:r>
            <w:r>
              <w:rPr>
                <w:noProof/>
                <w:webHidden/>
              </w:rPr>
              <w:instrText xml:space="preserve"> PAGEREF _Toc236399747 \h </w:instrText>
            </w:r>
            <w:r>
              <w:rPr>
                <w:noProof/>
                <w:webHidden/>
              </w:rPr>
            </w:r>
            <w:r>
              <w:rPr>
                <w:noProof/>
                <w:webHidden/>
              </w:rPr>
              <w:fldChar w:fldCharType="separate"/>
            </w:r>
            <w:r>
              <w:rPr>
                <w:noProof/>
                <w:webHidden/>
              </w:rPr>
              <w:t>8</w:t>
            </w:r>
            <w:r>
              <w:rPr>
                <w:noProof/>
                <w:webHidden/>
              </w:rPr>
              <w:fldChar w:fldCharType="end"/>
            </w:r>
          </w:hyperlink>
        </w:p>
        <w:p w14:paraId="6BE34ACB" w14:textId="7D75975A" w:rsidR="00B10CDF" w:rsidRDefault="00B10CDF">
          <w:pPr>
            <w:pStyle w:val="TOC1"/>
            <w:tabs>
              <w:tab w:val="right" w:leader="dot" w:pos="9016"/>
            </w:tabs>
            <w:rPr>
              <w:noProof/>
            </w:rPr>
          </w:pPr>
          <w:hyperlink w:anchor="_Toc236399748" w:history="1">
            <w:r w:rsidRPr="006C3624">
              <w:rPr>
                <w:rStyle w:val="Hyperlink"/>
                <w:rFonts w:ascii="Arial" w:eastAsia="Arial" w:hAnsi="Arial" w:cs="Arial"/>
                <w:b/>
                <w:bCs/>
                <w:noProof/>
              </w:rPr>
              <w:t>4. Conclusion</w:t>
            </w:r>
            <w:r>
              <w:rPr>
                <w:noProof/>
                <w:webHidden/>
              </w:rPr>
              <w:tab/>
            </w:r>
            <w:r>
              <w:rPr>
                <w:noProof/>
                <w:webHidden/>
              </w:rPr>
              <w:fldChar w:fldCharType="begin"/>
            </w:r>
            <w:r>
              <w:rPr>
                <w:noProof/>
                <w:webHidden/>
              </w:rPr>
              <w:instrText xml:space="preserve"> PAGEREF _Toc236399748 \h </w:instrText>
            </w:r>
            <w:r>
              <w:rPr>
                <w:noProof/>
                <w:webHidden/>
              </w:rPr>
            </w:r>
            <w:r>
              <w:rPr>
                <w:noProof/>
                <w:webHidden/>
              </w:rPr>
              <w:fldChar w:fldCharType="separate"/>
            </w:r>
            <w:r>
              <w:rPr>
                <w:noProof/>
                <w:webHidden/>
              </w:rPr>
              <w:t>9</w:t>
            </w:r>
            <w:r>
              <w:rPr>
                <w:noProof/>
                <w:webHidden/>
              </w:rPr>
              <w:fldChar w:fldCharType="end"/>
            </w:r>
          </w:hyperlink>
        </w:p>
        <w:p w14:paraId="09B93992" w14:textId="5A89A0F5" w:rsidR="00B10CDF" w:rsidRDefault="00B10CDF">
          <w:pPr>
            <w:pStyle w:val="TOC1"/>
            <w:tabs>
              <w:tab w:val="right" w:leader="dot" w:pos="9016"/>
            </w:tabs>
            <w:rPr>
              <w:noProof/>
            </w:rPr>
          </w:pPr>
          <w:hyperlink w:anchor="_Toc236399749" w:history="1">
            <w:r w:rsidRPr="006C3624">
              <w:rPr>
                <w:rStyle w:val="Hyperlink"/>
                <w:rFonts w:ascii="Arial" w:eastAsia="Arial" w:hAnsi="Arial" w:cs="Arial"/>
                <w:b/>
                <w:bCs/>
                <w:noProof/>
              </w:rPr>
              <w:t>Reference List</w:t>
            </w:r>
            <w:r>
              <w:rPr>
                <w:noProof/>
                <w:webHidden/>
              </w:rPr>
              <w:tab/>
            </w:r>
            <w:r>
              <w:rPr>
                <w:noProof/>
                <w:webHidden/>
              </w:rPr>
              <w:fldChar w:fldCharType="begin"/>
            </w:r>
            <w:r>
              <w:rPr>
                <w:noProof/>
                <w:webHidden/>
              </w:rPr>
              <w:instrText xml:space="preserve"> PAGEREF _Toc236399749 \h </w:instrText>
            </w:r>
            <w:r>
              <w:rPr>
                <w:noProof/>
                <w:webHidden/>
              </w:rPr>
            </w:r>
            <w:r>
              <w:rPr>
                <w:noProof/>
                <w:webHidden/>
              </w:rPr>
              <w:fldChar w:fldCharType="separate"/>
            </w:r>
            <w:r>
              <w:rPr>
                <w:noProof/>
                <w:webHidden/>
              </w:rPr>
              <w:t>11</w:t>
            </w:r>
            <w:r>
              <w:rPr>
                <w:noProof/>
                <w:webHidden/>
              </w:rPr>
              <w:fldChar w:fldCharType="end"/>
            </w:r>
          </w:hyperlink>
        </w:p>
        <w:p w14:paraId="3F9E08A8" w14:textId="6CF0B45D" w:rsidR="00B10CDF" w:rsidRDefault="00B10CDF">
          <w:r>
            <w:rPr>
              <w:b/>
              <w:bCs/>
              <w:noProof/>
            </w:rPr>
            <w:fldChar w:fldCharType="end"/>
          </w:r>
        </w:p>
      </w:sdtContent>
    </w:sdt>
    <w:p w14:paraId="50A0EBF8" w14:textId="77777777" w:rsidR="00B10CDF" w:rsidRDefault="00B10CDF" w:rsidP="00B10CDF">
      <w:pPr>
        <w:spacing w:after="100"/>
        <w:jc w:val="both"/>
        <w:rPr>
          <w:rFonts w:ascii="Arial" w:eastAsia="Arial" w:hAnsi="Arial" w:cs="Arial"/>
          <w:sz w:val="22"/>
          <w:szCs w:val="22"/>
        </w:rPr>
      </w:pPr>
    </w:p>
    <w:p w14:paraId="5AAAD0BA" w14:textId="77777777" w:rsidR="00B10CDF" w:rsidRDefault="00B10CDF" w:rsidP="008D05BB">
      <w:pPr>
        <w:spacing w:after="100"/>
        <w:jc w:val="center"/>
        <w:rPr>
          <w:rFonts w:ascii="Arial" w:eastAsia="Arial" w:hAnsi="Arial" w:cs="Arial"/>
          <w:sz w:val="22"/>
          <w:szCs w:val="22"/>
        </w:rPr>
      </w:pPr>
    </w:p>
    <w:p w14:paraId="014464B9" w14:textId="77777777" w:rsidR="00B10CDF" w:rsidRDefault="00B10CDF" w:rsidP="008D05BB">
      <w:pPr>
        <w:spacing w:after="100"/>
        <w:jc w:val="center"/>
        <w:rPr>
          <w:rFonts w:ascii="Arial" w:eastAsia="Arial" w:hAnsi="Arial" w:cs="Arial"/>
          <w:sz w:val="22"/>
          <w:szCs w:val="22"/>
        </w:rPr>
      </w:pPr>
    </w:p>
    <w:p w14:paraId="12FFD8C2" w14:textId="77777777" w:rsidR="00B10CDF" w:rsidRDefault="00B10CDF" w:rsidP="008D05BB">
      <w:pPr>
        <w:spacing w:after="100"/>
        <w:jc w:val="center"/>
        <w:rPr>
          <w:rFonts w:ascii="Arial" w:eastAsia="Arial" w:hAnsi="Arial" w:cs="Arial"/>
          <w:sz w:val="22"/>
          <w:szCs w:val="22"/>
        </w:rPr>
      </w:pPr>
    </w:p>
    <w:p w14:paraId="2187503B" w14:textId="77777777" w:rsidR="00B10CDF" w:rsidRDefault="00B10CDF" w:rsidP="008D05BB">
      <w:pPr>
        <w:spacing w:after="100"/>
        <w:jc w:val="center"/>
        <w:rPr>
          <w:rFonts w:ascii="Arial" w:eastAsia="Arial" w:hAnsi="Arial" w:cs="Arial"/>
          <w:sz w:val="22"/>
          <w:szCs w:val="22"/>
        </w:rPr>
      </w:pPr>
    </w:p>
    <w:p w14:paraId="0E3429AA" w14:textId="77777777" w:rsidR="00B10CDF" w:rsidRDefault="00B10CDF" w:rsidP="008D05BB">
      <w:pPr>
        <w:spacing w:after="100"/>
        <w:jc w:val="center"/>
        <w:rPr>
          <w:rFonts w:ascii="Arial" w:eastAsia="Arial" w:hAnsi="Arial" w:cs="Arial"/>
          <w:sz w:val="22"/>
          <w:szCs w:val="22"/>
        </w:rPr>
      </w:pPr>
    </w:p>
    <w:p w14:paraId="638D9173" w14:textId="77777777" w:rsidR="00B10CDF" w:rsidRDefault="00B10CDF" w:rsidP="008D05BB">
      <w:pPr>
        <w:spacing w:after="100"/>
        <w:jc w:val="center"/>
        <w:rPr>
          <w:rFonts w:ascii="Arial" w:eastAsia="Arial" w:hAnsi="Arial" w:cs="Arial"/>
          <w:sz w:val="22"/>
          <w:szCs w:val="22"/>
        </w:rPr>
      </w:pPr>
    </w:p>
    <w:p w14:paraId="4B46FA59" w14:textId="77777777" w:rsidR="00B10CDF" w:rsidRDefault="00B10CDF" w:rsidP="008D05BB">
      <w:pPr>
        <w:spacing w:after="100"/>
        <w:jc w:val="center"/>
        <w:rPr>
          <w:rFonts w:ascii="Arial" w:eastAsia="Arial" w:hAnsi="Arial" w:cs="Arial"/>
          <w:sz w:val="22"/>
          <w:szCs w:val="22"/>
        </w:rPr>
      </w:pPr>
    </w:p>
    <w:p w14:paraId="5C51172F" w14:textId="77777777" w:rsidR="00B10CDF" w:rsidRDefault="00B10CDF" w:rsidP="008D05BB">
      <w:pPr>
        <w:spacing w:after="100"/>
        <w:jc w:val="center"/>
        <w:rPr>
          <w:rFonts w:ascii="Arial" w:eastAsia="Arial" w:hAnsi="Arial" w:cs="Arial"/>
          <w:sz w:val="22"/>
          <w:szCs w:val="22"/>
        </w:rPr>
      </w:pPr>
    </w:p>
    <w:p w14:paraId="691E37B6" w14:textId="77777777" w:rsidR="00B10CDF" w:rsidRDefault="00B10CDF" w:rsidP="008D05BB">
      <w:pPr>
        <w:spacing w:after="100"/>
        <w:jc w:val="center"/>
        <w:rPr>
          <w:rFonts w:ascii="Arial" w:eastAsia="Arial" w:hAnsi="Arial" w:cs="Arial"/>
          <w:sz w:val="22"/>
          <w:szCs w:val="22"/>
        </w:rPr>
      </w:pPr>
    </w:p>
    <w:p w14:paraId="750581D9" w14:textId="2DF34802" w:rsidR="009D1D4E" w:rsidRPr="008F7DB1" w:rsidRDefault="00201EB7" w:rsidP="008D05BB">
      <w:pPr>
        <w:spacing w:after="100"/>
        <w:jc w:val="center"/>
      </w:pPr>
      <w:r w:rsidRPr="008F7DB1">
        <w:br w:type="page"/>
      </w:r>
    </w:p>
    <w:p w14:paraId="6F536541" w14:textId="77777777" w:rsidR="009D1D4E" w:rsidRPr="008F7DB1" w:rsidRDefault="00201EB7">
      <w:pPr>
        <w:pStyle w:val="Heading1"/>
        <w:spacing w:before="300" w:after="200" w:line="360" w:lineRule="auto"/>
      </w:pPr>
      <w:bookmarkStart w:id="0" w:name="_Toc236399734"/>
      <w:r w:rsidRPr="008F7DB1">
        <w:rPr>
          <w:rFonts w:ascii="Arial" w:eastAsia="Arial" w:hAnsi="Arial" w:cs="Arial"/>
          <w:b/>
          <w:bCs/>
          <w:sz w:val="24"/>
          <w:szCs w:val="24"/>
        </w:rPr>
        <w:lastRenderedPageBreak/>
        <w:t>1. Introduction</w:t>
      </w:r>
      <w:bookmarkEnd w:id="0"/>
    </w:p>
    <w:p w14:paraId="5D2423E2" w14:textId="77777777" w:rsidR="008D05BB" w:rsidRPr="008F7DB1" w:rsidRDefault="008D05BB" w:rsidP="008D05BB">
      <w:pPr>
        <w:spacing w:after="200" w:line="360" w:lineRule="auto"/>
        <w:jc w:val="both"/>
        <w:rPr>
          <w:rFonts w:ascii="Arial" w:eastAsia="Arial" w:hAnsi="Arial" w:cs="Arial"/>
          <w:sz w:val="22"/>
          <w:szCs w:val="22"/>
        </w:rPr>
      </w:pPr>
      <w:r w:rsidRPr="008F7DB1">
        <w:rPr>
          <w:rFonts w:ascii="Arial" w:eastAsia="Arial" w:hAnsi="Arial" w:cs="Arial"/>
          <w:sz w:val="22"/>
          <w:szCs w:val="22"/>
        </w:rPr>
        <w:t>Quality assurance (QA) is key to providing safe, effective and patient-centred health care, which involves continual monitoring, evaluation and improvement of clinical practice (World Health Organization, 2021). When QA systems don't work, the effects are not usually limited to one incident: preventable harm builds up, public trust is eroded and the learning opportunity that should arise in response to a serious incident is stifled (Care Quality Commission, 2023). The maternity and neonatal service failures at The Shrewsbury and Telford Hospital NHS Trust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are one of the greatest quality assurance failures in NHS history and are a very clear example of how weaknesses in governance, leadership and safety culture can lead to decades of catastrophic and repeat patient harm (Ockenden, 2022).</w:t>
      </w:r>
    </w:p>
    <w:p w14:paraId="4E8176E2" w14:textId="49A620A7" w:rsidR="008D05BB" w:rsidRPr="008F7DB1" w:rsidRDefault="008D05BB" w:rsidP="008D05BB">
      <w:pPr>
        <w:spacing w:after="200" w:line="360" w:lineRule="auto"/>
        <w:jc w:val="both"/>
        <w:rPr>
          <w:rFonts w:ascii="Arial" w:eastAsia="Arial" w:hAnsi="Arial" w:cs="Arial"/>
          <w:sz w:val="22"/>
          <w:szCs w:val="22"/>
        </w:rPr>
      </w:pPr>
      <w:r w:rsidRPr="008F7DB1">
        <w:rPr>
          <w:rFonts w:ascii="Arial" w:eastAsia="Arial" w:hAnsi="Arial" w:cs="Arial"/>
          <w:sz w:val="22"/>
          <w:szCs w:val="22"/>
        </w:rPr>
        <w:t xml:space="preserve">Concerns were raised by bereaved families as well as by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clinicians and an Independent Maternity Review chaired by senior midwife Donna Ockenden was established and published its Final Report in March 2022 (Ockenden, 2022). Ockenden</w:t>
      </w:r>
      <w:r w:rsidRPr="008F7DB1">
        <w:rPr>
          <w:rFonts w:ascii="Arial" w:eastAsia="Arial" w:hAnsi="Arial" w:cs="Arial"/>
          <w:sz w:val="22"/>
          <w:szCs w:val="22"/>
        </w:rPr>
        <w:t xml:space="preserve"> (</w:t>
      </w:r>
      <w:r w:rsidRPr="008F7DB1">
        <w:rPr>
          <w:rFonts w:ascii="Arial" w:eastAsia="Arial" w:hAnsi="Arial" w:cs="Arial"/>
          <w:sz w:val="22"/>
          <w:szCs w:val="22"/>
        </w:rPr>
        <w:t>2022</w:t>
      </w:r>
      <w:r w:rsidRPr="008F7DB1">
        <w:rPr>
          <w:rFonts w:ascii="Arial" w:eastAsia="Arial" w:hAnsi="Arial" w:cs="Arial"/>
          <w:sz w:val="22"/>
          <w:szCs w:val="22"/>
        </w:rPr>
        <w:t>)</w:t>
      </w:r>
      <w:r w:rsidRPr="008F7DB1">
        <w:rPr>
          <w:rFonts w:ascii="Arial" w:eastAsia="Arial" w:hAnsi="Arial" w:cs="Arial"/>
          <w:sz w:val="22"/>
          <w:szCs w:val="22"/>
        </w:rPr>
        <w:t xml:space="preserve"> reviewed 23 cases from 2017 and expanded to include 1486 families and 1592 clinical incidents between 2000 and 2019 and found that avoidable maternal deaths, stillbirths, neonatal deaths and life-changing injuries were recurring over 20 years due to a lack of investigation, learning from past errors, and effective quality assurance systems. Instead of a series of isolated clinical errors, it was the lack of staffing, poor training, weak investigation and governance and a lack of listening to families that caused the harm, as Ockenden herself summarised (2022; Royal College of Obstetricians and Gynaecologists, 2022).</w:t>
      </w:r>
    </w:p>
    <w:p w14:paraId="3CB55399" w14:textId="57BA9783" w:rsidR="008D05BB" w:rsidRPr="008F7DB1" w:rsidRDefault="008D05BB" w:rsidP="008D05BB">
      <w:pPr>
        <w:spacing w:after="200" w:line="360" w:lineRule="auto"/>
        <w:jc w:val="both"/>
      </w:pPr>
      <w:r w:rsidRPr="008F7DB1">
        <w:rPr>
          <w:rFonts w:ascii="Arial" w:eastAsia="Arial" w:hAnsi="Arial" w:cs="Arial"/>
          <w:sz w:val="22"/>
          <w:szCs w:val="22"/>
        </w:rPr>
        <w:t xml:space="preserve">This report takes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as a case study on systemic quality assurance failure, while drawing upon the root-cause and policy themes set forth in the Component 1 presentation. The main body utilises the Swiss Cheese Model of organisational accident causation (Reason, 2000) and structured Root Cause Analysis (RCA) to chart the successive failures that allowed harm to reach the patient, as well as the Donabedian (1966) structure-process-outcome model to assess the quality of care provided and a SWOT analysis to place these findings in the context of the capacity of the Trust and the wider NHS maternity service for reform. The report then critically examines the failures in national policy that allowed these local weaknesses to remain (such as gaps in clinical governance, Duty of Candour and Freedom to Speak Up arrangements) (Scally and Donaldson, 1998; National Guardian's Office, 2023). Finally, based on this analysis the recommendations have been proposed based on PDSA and Lean/Six Sigma quality-improvement methodology and the policy changes required to establish a truly open and learning environment and culture for safety, aligned to NHS England's (2023) </w:t>
      </w:r>
      <w:proofErr w:type="gramStart"/>
      <w:r w:rsidRPr="008F7DB1">
        <w:rPr>
          <w:rFonts w:ascii="Arial" w:eastAsia="Arial" w:hAnsi="Arial" w:cs="Arial"/>
          <w:sz w:val="22"/>
          <w:szCs w:val="22"/>
        </w:rPr>
        <w:t>Three Year</w:t>
      </w:r>
      <w:proofErr w:type="gramEnd"/>
      <w:r w:rsidRPr="008F7DB1">
        <w:rPr>
          <w:rFonts w:ascii="Arial" w:eastAsia="Arial" w:hAnsi="Arial" w:cs="Arial"/>
          <w:sz w:val="22"/>
          <w:szCs w:val="22"/>
        </w:rPr>
        <w:t xml:space="preserve"> Delivery Plan for Maternity and Neonatal Services.</w:t>
      </w:r>
    </w:p>
    <w:p w14:paraId="3F5F0E14" w14:textId="02DB9F90" w:rsidR="009D1D4E" w:rsidRPr="008F7DB1" w:rsidRDefault="00201EB7">
      <w:pPr>
        <w:pStyle w:val="Heading1"/>
        <w:spacing w:before="300" w:after="200" w:line="360" w:lineRule="auto"/>
      </w:pPr>
      <w:bookmarkStart w:id="1" w:name="_Toc236399735"/>
      <w:r w:rsidRPr="008F7DB1">
        <w:rPr>
          <w:rFonts w:ascii="Arial" w:eastAsia="Arial" w:hAnsi="Arial" w:cs="Arial"/>
          <w:b/>
          <w:bCs/>
          <w:sz w:val="24"/>
          <w:szCs w:val="24"/>
        </w:rPr>
        <w:lastRenderedPageBreak/>
        <w:t>2.</w:t>
      </w:r>
      <w:r w:rsidR="008F7DB1" w:rsidRPr="008F7DB1">
        <w:rPr>
          <w:rFonts w:ascii="Arial" w:eastAsia="Arial" w:hAnsi="Arial" w:cs="Arial"/>
          <w:b/>
          <w:bCs/>
          <w:sz w:val="24"/>
          <w:szCs w:val="24"/>
        </w:rPr>
        <w:t xml:space="preserve"> Main Body:</w:t>
      </w:r>
      <w:r w:rsidRPr="008F7DB1">
        <w:rPr>
          <w:rFonts w:ascii="Arial" w:eastAsia="Arial" w:hAnsi="Arial" w:cs="Arial"/>
          <w:b/>
          <w:bCs/>
          <w:sz w:val="24"/>
          <w:szCs w:val="24"/>
        </w:rPr>
        <w:t xml:space="preserve"> </w:t>
      </w:r>
      <w:r w:rsidRPr="008F7DB1">
        <w:rPr>
          <w:rFonts w:ascii="Arial" w:eastAsia="Arial" w:hAnsi="Arial" w:cs="Arial"/>
          <w:b/>
          <w:bCs/>
          <w:sz w:val="24"/>
          <w:szCs w:val="24"/>
        </w:rPr>
        <w:t>Root Cause and Policy Analysis</w:t>
      </w:r>
      <w:bookmarkEnd w:id="1"/>
    </w:p>
    <w:p w14:paraId="3CABF925" w14:textId="77777777" w:rsidR="009D1D4E" w:rsidRPr="008F7DB1" w:rsidRDefault="00201EB7">
      <w:pPr>
        <w:pStyle w:val="Heading2"/>
        <w:spacing w:before="300" w:after="200" w:line="360" w:lineRule="auto"/>
        <w:rPr>
          <w:sz w:val="24"/>
          <w:szCs w:val="24"/>
        </w:rPr>
      </w:pPr>
      <w:bookmarkStart w:id="2" w:name="_Toc236399736"/>
      <w:r w:rsidRPr="008F7DB1">
        <w:rPr>
          <w:rFonts w:ascii="Arial" w:eastAsia="Arial" w:hAnsi="Arial" w:cs="Arial"/>
          <w:b/>
          <w:bCs/>
          <w:sz w:val="24"/>
          <w:szCs w:val="24"/>
        </w:rPr>
        <w:t>2.1 Case Study Background</w:t>
      </w:r>
      <w:bookmarkEnd w:id="2"/>
    </w:p>
    <w:p w14:paraId="344D3B51" w14:textId="67EF9A2B" w:rsidR="008D05BB" w:rsidRPr="008F7DB1" w:rsidRDefault="008D05BB">
      <w:pPr>
        <w:spacing w:after="200" w:line="360" w:lineRule="auto"/>
        <w:jc w:val="both"/>
      </w:pPr>
      <w:r w:rsidRPr="008F7DB1">
        <w:rPr>
          <w:rFonts w:ascii="Arial" w:eastAsia="Arial" w:hAnsi="Arial" w:cs="Arial"/>
          <w:sz w:val="22"/>
          <w:szCs w:val="22"/>
        </w:rPr>
        <w:t xml:space="preserve">Between the 1970s and 2019,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has faced severe and ongoing failures in maternity services that have led to avoidable maternal and neonatal deaths, stillbirths, brain injuries and long-term harm to hundreds of families (Ockenden, 2022). Many of these poor outcomes were avoidable and could have been prevented had the organisation been better, not because of any individual incident, but due to systemic weaknesses in its organisation (Ockenden, 2022). The difference between isolated error and systemic failure is the analytical starting point for the frameworks below.</w:t>
      </w:r>
    </w:p>
    <w:p w14:paraId="0D5AA56D" w14:textId="77777777" w:rsidR="009D1D4E" w:rsidRPr="008F7DB1" w:rsidRDefault="00201EB7">
      <w:pPr>
        <w:pStyle w:val="Heading2"/>
        <w:spacing w:before="300" w:after="200" w:line="360" w:lineRule="auto"/>
        <w:rPr>
          <w:sz w:val="24"/>
          <w:szCs w:val="24"/>
        </w:rPr>
      </w:pPr>
      <w:bookmarkStart w:id="3" w:name="_Toc236399737"/>
      <w:r w:rsidRPr="008F7DB1">
        <w:rPr>
          <w:rFonts w:ascii="Arial" w:eastAsia="Arial" w:hAnsi="Arial" w:cs="Arial"/>
          <w:b/>
          <w:bCs/>
          <w:sz w:val="24"/>
          <w:szCs w:val="24"/>
        </w:rPr>
        <w:t>2.2 The Swiss Cheese Model and Root Cause Analysis</w:t>
      </w:r>
      <w:bookmarkEnd w:id="3"/>
    </w:p>
    <w:p w14:paraId="21C6AC6F" w14:textId="77777777" w:rsidR="008D05BB" w:rsidRPr="008F7DB1" w:rsidRDefault="008D05BB" w:rsidP="008D05BB">
      <w:pPr>
        <w:spacing w:after="200" w:line="360" w:lineRule="auto"/>
        <w:jc w:val="both"/>
        <w:rPr>
          <w:rFonts w:ascii="Arial" w:eastAsia="Arial" w:hAnsi="Arial" w:cs="Arial"/>
          <w:sz w:val="22"/>
          <w:szCs w:val="22"/>
        </w:rPr>
      </w:pPr>
      <w:r w:rsidRPr="008F7DB1">
        <w:rPr>
          <w:rFonts w:ascii="Arial" w:eastAsia="Arial" w:hAnsi="Arial" w:cs="Arial"/>
          <w:sz w:val="22"/>
          <w:szCs w:val="22"/>
        </w:rPr>
        <w:t xml:space="preserve">According to Swiss Cheese Model, by James Reason (2000), patient harm is due to an alignment of multiple organisational layers, each of which has some 'holes' that allows a hazard to penetrate and cause harm. In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the pattern of failures identified in the Ockenden (2022) report can be directly traced to this model: clinical governance was ineffective in uncovering patterns of harm; leadership and organisational culture failed to foster openness and defensiveness was fostered more than learning; clinical practice was inadequate in relation to </w:t>
      </w:r>
      <w:proofErr w:type="spellStart"/>
      <w:r w:rsidRPr="008F7DB1">
        <w:rPr>
          <w:rFonts w:ascii="Arial" w:eastAsia="Arial" w:hAnsi="Arial" w:cs="Arial"/>
          <w:sz w:val="22"/>
          <w:szCs w:val="22"/>
        </w:rPr>
        <w:t>fetal</w:t>
      </w:r>
      <w:proofErr w:type="spellEnd"/>
      <w:r w:rsidRPr="008F7DB1">
        <w:rPr>
          <w:rFonts w:ascii="Arial" w:eastAsia="Arial" w:hAnsi="Arial" w:cs="Arial"/>
          <w:sz w:val="22"/>
          <w:szCs w:val="22"/>
        </w:rPr>
        <w:t xml:space="preserve"> monitoring, including the interpretation of </w:t>
      </w:r>
      <w:proofErr w:type="spellStart"/>
      <w:r w:rsidRPr="008F7DB1">
        <w:rPr>
          <w:rFonts w:ascii="Arial" w:eastAsia="Arial" w:hAnsi="Arial" w:cs="Arial"/>
          <w:sz w:val="22"/>
          <w:szCs w:val="22"/>
        </w:rPr>
        <w:t>fetal</w:t>
      </w:r>
      <w:proofErr w:type="spellEnd"/>
      <w:r w:rsidRPr="008F7DB1">
        <w:rPr>
          <w:rFonts w:ascii="Arial" w:eastAsia="Arial" w:hAnsi="Arial" w:cs="Arial"/>
          <w:sz w:val="22"/>
          <w:szCs w:val="22"/>
        </w:rPr>
        <w:t xml:space="preserve"> heart rates, and the failure to escalate deteriorating women; clinical practice was inadequate with respect to clinical governance and management of incidents without learning; and, most significantly, patients suffered injury or death (Ockenden, 2022; Reason, 2000).</w:t>
      </w:r>
    </w:p>
    <w:p w14:paraId="7A1B70AE" w14:textId="25BD4C1E" w:rsidR="00B10CDF" w:rsidRPr="00B10CDF" w:rsidRDefault="008D05BB" w:rsidP="008D05BB">
      <w:pPr>
        <w:spacing w:after="200" w:line="360" w:lineRule="auto"/>
        <w:jc w:val="both"/>
        <w:rPr>
          <w:rFonts w:ascii="Arial" w:eastAsia="Arial" w:hAnsi="Arial" w:cs="Arial"/>
          <w:sz w:val="22"/>
          <w:szCs w:val="22"/>
        </w:rPr>
      </w:pPr>
      <w:r w:rsidRPr="008F7DB1">
        <w:rPr>
          <w:rFonts w:ascii="Arial" w:eastAsia="Arial" w:hAnsi="Arial" w:cs="Arial"/>
          <w:sz w:val="22"/>
          <w:szCs w:val="22"/>
        </w:rPr>
        <w:t xml:space="preserve">How Ockenden's review identified the layers is through a structured approach to understanding the root causes of the issues, rather than </w:t>
      </w:r>
      <w:r w:rsidRPr="008F7DB1">
        <w:rPr>
          <w:rFonts w:ascii="Arial" w:eastAsia="Arial" w:hAnsi="Arial" w:cs="Arial"/>
          <w:sz w:val="22"/>
          <w:szCs w:val="22"/>
        </w:rPr>
        <w:t>focusing</w:t>
      </w:r>
      <w:r w:rsidRPr="008F7DB1">
        <w:rPr>
          <w:rFonts w:ascii="Arial" w:eastAsia="Arial" w:hAnsi="Arial" w:cs="Arial"/>
          <w:sz w:val="22"/>
          <w:szCs w:val="22"/>
        </w:rPr>
        <w:t xml:space="preserve"> on individual blame, known as Root Cause Analysis (RCA) (NHS England, 2022). The underlying issues identified are in five interacting groups: leadership and governance; workforce (people); clinical processes; communication; and organisational culture (Ockenden, 2022). But there are known drawbacks to RCA. In health care, RCA is often implemented without adaptations from its development in high-risk sectors like aviation, and can lead to investigations that end too soon with just one apparent cause, investigations of varying quality, and poorly designed or not acted-on action plans (Peerally et al., 2017). Similarly, in a review of the evidence base for the effectiveness of RCA, </w:t>
      </w:r>
      <w:proofErr w:type="spellStart"/>
      <w:r w:rsidRPr="008F7DB1">
        <w:rPr>
          <w:rFonts w:ascii="Arial" w:eastAsia="Arial" w:hAnsi="Arial" w:cs="Arial"/>
          <w:sz w:val="22"/>
          <w:szCs w:val="22"/>
        </w:rPr>
        <w:t>Percarpio</w:t>
      </w:r>
      <w:proofErr w:type="spellEnd"/>
      <w:r w:rsidRPr="008F7DB1">
        <w:rPr>
          <w:rFonts w:ascii="Arial" w:eastAsia="Arial" w:hAnsi="Arial" w:cs="Arial"/>
          <w:sz w:val="22"/>
          <w:szCs w:val="22"/>
        </w:rPr>
        <w:t xml:space="preserve">, Watts and Weeks (2008) identified no controlled studies that showed that RCA is effective and consistently </w:t>
      </w:r>
      <w:r w:rsidRPr="008F7DB1">
        <w:rPr>
          <w:rFonts w:ascii="Arial" w:eastAsia="Arial" w:hAnsi="Arial" w:cs="Arial"/>
          <w:sz w:val="22"/>
          <w:szCs w:val="22"/>
        </w:rPr>
        <w:t>impacts</w:t>
      </w:r>
      <w:r w:rsidRPr="008F7DB1">
        <w:rPr>
          <w:rFonts w:ascii="Arial" w:eastAsia="Arial" w:hAnsi="Arial" w:cs="Arial"/>
          <w:sz w:val="22"/>
          <w:szCs w:val="22"/>
        </w:rPr>
        <w:t xml:space="preserve"> patient safety outcomes, although there was anecdotal evidence. That these criticisms are directly relevant to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is evidenced by the fact that Ockenden (2022), in his own internal investigation, concluded that for many years the </w:t>
      </w:r>
      <w:r w:rsidRPr="008F7DB1">
        <w:rPr>
          <w:rFonts w:ascii="Arial" w:eastAsia="Arial" w:hAnsi="Arial" w:cs="Arial"/>
          <w:sz w:val="22"/>
          <w:szCs w:val="22"/>
        </w:rPr>
        <w:lastRenderedPageBreak/>
        <w:t>Trust had either not investigated or, if it was investigating, failed to uncover the systemic error that was picked up by the external reviewers, a sign of the superficial and single-cause investigation that Peerally et al. (2017) warn against.</w:t>
      </w:r>
    </w:p>
    <w:p w14:paraId="11012A78" w14:textId="77777777" w:rsidR="009D1D4E" w:rsidRPr="008F7DB1" w:rsidRDefault="00201EB7">
      <w:pPr>
        <w:pStyle w:val="Heading2"/>
        <w:spacing w:before="300" w:after="200" w:line="360" w:lineRule="auto"/>
        <w:rPr>
          <w:sz w:val="24"/>
          <w:szCs w:val="24"/>
        </w:rPr>
      </w:pPr>
      <w:bookmarkStart w:id="4" w:name="_Toc236399738"/>
      <w:r w:rsidRPr="008F7DB1">
        <w:rPr>
          <w:rFonts w:ascii="Arial" w:eastAsia="Arial" w:hAnsi="Arial" w:cs="Arial"/>
          <w:b/>
          <w:bCs/>
          <w:sz w:val="24"/>
          <w:szCs w:val="24"/>
        </w:rPr>
        <w:t>2.3 The Donabedian Structure-Process-Outcome Model</w:t>
      </w:r>
      <w:bookmarkEnd w:id="4"/>
    </w:p>
    <w:p w14:paraId="53B6FECF" w14:textId="6580268F" w:rsidR="008D05BB" w:rsidRPr="008F7DB1" w:rsidRDefault="008D05BB">
      <w:pPr>
        <w:spacing w:after="200" w:line="360" w:lineRule="auto"/>
        <w:jc w:val="both"/>
      </w:pPr>
      <w:r w:rsidRPr="008F7DB1">
        <w:rPr>
          <w:rFonts w:ascii="Arial" w:eastAsia="Arial" w:hAnsi="Arial" w:cs="Arial"/>
          <w:sz w:val="22"/>
          <w:szCs w:val="22"/>
        </w:rPr>
        <w:t>The Donabedian (1966) model brings in three domains of quality that interact: structure (the resources, facilities, and staffing that help to achieve quality); process (the clinical interactions between staff and patient or recipients); and outcomes (the effects on health that are generated as a result of the process). (</w:t>
      </w:r>
      <w:proofErr w:type="spellStart"/>
      <w:r w:rsidRPr="008F7DB1">
        <w:rPr>
          <w:rFonts w:ascii="Arial" w:eastAsia="Arial" w:hAnsi="Arial" w:cs="Arial"/>
          <w:sz w:val="22"/>
          <w:szCs w:val="22"/>
        </w:rPr>
        <w:t>Tossaint-Schoenmakers</w:t>
      </w:r>
      <w:proofErr w:type="spellEnd"/>
      <w:r w:rsidRPr="008F7DB1">
        <w:rPr>
          <w:rFonts w:ascii="Arial" w:eastAsia="Arial" w:hAnsi="Arial" w:cs="Arial"/>
          <w:sz w:val="22"/>
          <w:szCs w:val="22"/>
        </w:rPr>
        <w:t xml:space="preserve"> et al., 2021). Structural deficits at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comprised chronic understaffing and having </w:t>
      </w:r>
      <w:r w:rsidRPr="008F7DB1">
        <w:rPr>
          <w:rFonts w:ascii="Arial" w:eastAsia="Arial" w:hAnsi="Arial" w:cs="Arial"/>
          <w:sz w:val="22"/>
          <w:szCs w:val="22"/>
        </w:rPr>
        <w:t xml:space="preserve">an </w:t>
      </w:r>
      <w:r w:rsidRPr="008F7DB1">
        <w:rPr>
          <w:rFonts w:ascii="Arial" w:eastAsia="Arial" w:hAnsi="Arial" w:cs="Arial"/>
          <w:sz w:val="22"/>
          <w:szCs w:val="22"/>
        </w:rPr>
        <w:t xml:space="preserve">inconsistent skill mix in midwifery and obstetric teams (Ockenden, 2022). Ockenden (2022) reported a sustained lack of correct interpretation of </w:t>
      </w:r>
      <w:proofErr w:type="spellStart"/>
      <w:r w:rsidRPr="008F7DB1">
        <w:rPr>
          <w:rFonts w:ascii="Arial" w:eastAsia="Arial" w:hAnsi="Arial" w:cs="Arial"/>
          <w:sz w:val="22"/>
          <w:szCs w:val="22"/>
        </w:rPr>
        <w:t>fetal</w:t>
      </w:r>
      <w:proofErr w:type="spellEnd"/>
      <w:r w:rsidRPr="008F7DB1">
        <w:rPr>
          <w:rFonts w:ascii="Arial" w:eastAsia="Arial" w:hAnsi="Arial" w:cs="Arial"/>
          <w:sz w:val="22"/>
          <w:szCs w:val="22"/>
        </w:rPr>
        <w:t xml:space="preserve"> heart-rate traces; failure to escalate when a mother's and baby's condition was deteriorating to senior clinicians; and variation in the use of national intrapartum care guidance (National Institute for Health and Care Excellence, 2023) across the process. These failures of structure and process resulted in measurable outcome harm: preventable stillbirths, neonatal deaths, hypoxic-ischaemic brain injury and maternal deaths since the review started (Ockenden, 2022). Thus, the Donabedian model clearly shows that it is not enough to say that </w:t>
      </w:r>
      <w:proofErr w:type="spellStart"/>
      <w:r w:rsidRPr="008F7DB1">
        <w:rPr>
          <w:rFonts w:ascii="Arial" w:eastAsia="Arial" w:hAnsi="Arial" w:cs="Arial"/>
          <w:sz w:val="22"/>
          <w:szCs w:val="22"/>
        </w:rPr>
        <w:t>SaTH's</w:t>
      </w:r>
      <w:proofErr w:type="spellEnd"/>
      <w:r w:rsidRPr="008F7DB1">
        <w:rPr>
          <w:rFonts w:ascii="Arial" w:eastAsia="Arial" w:hAnsi="Arial" w:cs="Arial"/>
          <w:sz w:val="22"/>
          <w:szCs w:val="22"/>
        </w:rPr>
        <w:t xml:space="preserve"> outcome failures were due to process weakness alone, as it is indicative of a structural weakness that failed to support safe </w:t>
      </w:r>
      <w:r w:rsidRPr="008F7DB1">
        <w:rPr>
          <w:rFonts w:ascii="Arial" w:eastAsia="Arial" w:hAnsi="Arial" w:cs="Arial"/>
          <w:sz w:val="22"/>
          <w:szCs w:val="22"/>
        </w:rPr>
        <w:t>processes</w:t>
      </w:r>
      <w:r w:rsidRPr="008F7DB1">
        <w:rPr>
          <w:rFonts w:ascii="Arial" w:eastAsia="Arial" w:hAnsi="Arial" w:cs="Arial"/>
          <w:sz w:val="22"/>
          <w:szCs w:val="22"/>
        </w:rPr>
        <w:t xml:space="preserve"> for 20 years.</w:t>
      </w:r>
    </w:p>
    <w:p w14:paraId="0D88A352" w14:textId="77777777" w:rsidR="009D1D4E" w:rsidRPr="008F7DB1" w:rsidRDefault="00201EB7">
      <w:pPr>
        <w:pStyle w:val="Heading2"/>
        <w:spacing w:before="300" w:after="200" w:line="360" w:lineRule="auto"/>
        <w:rPr>
          <w:sz w:val="24"/>
          <w:szCs w:val="24"/>
        </w:rPr>
      </w:pPr>
      <w:bookmarkStart w:id="5" w:name="_Toc236399739"/>
      <w:r w:rsidRPr="008F7DB1">
        <w:rPr>
          <w:rFonts w:ascii="Arial" w:eastAsia="Arial" w:hAnsi="Arial" w:cs="Arial"/>
          <w:b/>
          <w:bCs/>
          <w:sz w:val="24"/>
          <w:szCs w:val="24"/>
        </w:rPr>
        <w:t>2.4 SWOT Analysis: Strategic Context for Reform</w:t>
      </w:r>
      <w:bookmarkEnd w:id="5"/>
    </w:p>
    <w:p w14:paraId="6ABD8D06" w14:textId="2E080878" w:rsidR="00B10CDF" w:rsidRPr="00B10CDF" w:rsidRDefault="008D05BB" w:rsidP="00B10CDF">
      <w:pPr>
        <w:spacing w:after="200" w:line="360" w:lineRule="auto"/>
        <w:jc w:val="both"/>
        <w:rPr>
          <w:rFonts w:ascii="Arial" w:eastAsia="Arial" w:hAnsi="Arial" w:cs="Arial"/>
          <w:sz w:val="22"/>
          <w:szCs w:val="22"/>
        </w:rPr>
      </w:pPr>
      <w:r w:rsidRPr="008F7DB1">
        <w:rPr>
          <w:rFonts w:ascii="Arial" w:eastAsia="Arial" w:hAnsi="Arial" w:cs="Arial"/>
          <w:sz w:val="22"/>
          <w:szCs w:val="22"/>
        </w:rPr>
        <w:t xml:space="preserve">A SWOT analysis puts these root causes in the context of the current capability of the Trust and the system to respond. They are the depth of evidence and family evidence that has been collected during the Ockenden review itself, leading to a very detailed evidence base for reform; and clarity of national policy commitment in NHS England's (2023) </w:t>
      </w:r>
      <w:proofErr w:type="gramStart"/>
      <w:r w:rsidRPr="008F7DB1">
        <w:rPr>
          <w:rFonts w:ascii="Arial" w:eastAsia="Arial" w:hAnsi="Arial" w:cs="Arial"/>
          <w:sz w:val="22"/>
          <w:szCs w:val="22"/>
        </w:rPr>
        <w:t>Three Year</w:t>
      </w:r>
      <w:proofErr w:type="gramEnd"/>
      <w:r w:rsidRPr="008F7DB1">
        <w:rPr>
          <w:rFonts w:ascii="Arial" w:eastAsia="Arial" w:hAnsi="Arial" w:cs="Arial"/>
          <w:sz w:val="22"/>
          <w:szCs w:val="22"/>
        </w:rPr>
        <w:t xml:space="preserve"> Delivery Plan for Maternity and Neonatal Services. The failings are the ongoing national lack of midwives to be able to resource safe staffing even when there is the desire to do so (Royal College of Midwives, 2024) and the historically poor culture of incident investigation</w:t>
      </w:r>
      <w:r w:rsidRPr="008F7DB1">
        <w:rPr>
          <w:rFonts w:ascii="Arial" w:eastAsia="Arial" w:hAnsi="Arial" w:cs="Arial"/>
          <w:sz w:val="22"/>
          <w:szCs w:val="22"/>
        </w:rPr>
        <w:t>,</w:t>
      </w:r>
      <w:r w:rsidRPr="008F7DB1">
        <w:rPr>
          <w:rFonts w:ascii="Arial" w:eastAsia="Arial" w:hAnsi="Arial" w:cs="Arial"/>
          <w:sz w:val="22"/>
          <w:szCs w:val="22"/>
        </w:rPr>
        <w:t xml:space="preserve"> which Ockenden (2022) identified as rife throughout RCA practice more generally. The opportunities include the national roll-out of the Patient Safety Incident Response Framework (PSIRF), which will, instead of the defensive investigations that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used to undertake, embed a more proportionate and learning approach to incidents, and strengthened Freedom to Speak Up arrangements (National Guardian's Office, 2023). Threats are </w:t>
      </w:r>
      <w:r w:rsidRPr="008F7DB1">
        <w:rPr>
          <w:rFonts w:ascii="Arial" w:eastAsia="Arial" w:hAnsi="Arial" w:cs="Arial"/>
          <w:sz w:val="22"/>
          <w:szCs w:val="22"/>
        </w:rPr>
        <w:t>that</w:t>
      </w:r>
      <w:r w:rsidRPr="008F7DB1">
        <w:rPr>
          <w:rFonts w:ascii="Arial" w:eastAsia="Arial" w:hAnsi="Arial" w:cs="Arial"/>
          <w:sz w:val="22"/>
          <w:szCs w:val="22"/>
        </w:rPr>
        <w:t xml:space="preserve"> high-profile national reviews may lead to a culture change that is </w:t>
      </w:r>
      <w:r w:rsidRPr="008F7DB1">
        <w:rPr>
          <w:rFonts w:ascii="Arial" w:eastAsia="Arial" w:hAnsi="Arial" w:cs="Arial"/>
          <w:sz w:val="22"/>
          <w:szCs w:val="22"/>
        </w:rPr>
        <w:t>short-term</w:t>
      </w:r>
      <w:r w:rsidRPr="008F7DB1">
        <w:rPr>
          <w:rFonts w:ascii="Arial" w:eastAsia="Arial" w:hAnsi="Arial" w:cs="Arial"/>
          <w:sz w:val="22"/>
          <w:szCs w:val="22"/>
        </w:rPr>
        <w:t xml:space="preserve"> rather than </w:t>
      </w:r>
      <w:r w:rsidRPr="008F7DB1">
        <w:rPr>
          <w:rFonts w:ascii="Arial" w:eastAsia="Arial" w:hAnsi="Arial" w:cs="Arial"/>
          <w:sz w:val="22"/>
          <w:szCs w:val="22"/>
        </w:rPr>
        <w:t>long-term,</w:t>
      </w:r>
      <w:r w:rsidRPr="008F7DB1">
        <w:rPr>
          <w:rFonts w:ascii="Arial" w:eastAsia="Arial" w:hAnsi="Arial" w:cs="Arial"/>
          <w:sz w:val="22"/>
          <w:szCs w:val="22"/>
        </w:rPr>
        <w:t xml:space="preserve"> given that Ockenden (2022) found the long-term cultural change was the real need and not just a </w:t>
      </w:r>
      <w:r w:rsidRPr="008F7DB1">
        <w:rPr>
          <w:rFonts w:ascii="Arial" w:eastAsia="Arial" w:hAnsi="Arial" w:cs="Arial"/>
          <w:sz w:val="22"/>
          <w:szCs w:val="22"/>
        </w:rPr>
        <w:lastRenderedPageBreak/>
        <w:t>compliance exercise and the ongoing financial and staffing challenges facing NHS maternity services nationally.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83"/>
        <w:gridCol w:w="7343"/>
      </w:tblGrid>
      <w:tr w:rsidR="00B10CDF" w:rsidRPr="00B10CDF" w14:paraId="0D5D02C3" w14:textId="77777777">
        <w:trPr>
          <w:tblHeader/>
        </w:trPr>
        <w:tc>
          <w:tcPr>
            <w:tcW w:w="1600" w:type="dxa"/>
            <w:tcBorders>
              <w:top w:val="single" w:sz="4" w:space="0" w:color="BFBFBF"/>
              <w:left w:val="single" w:sz="4" w:space="0" w:color="BFBFBF"/>
              <w:bottom w:val="single" w:sz="4" w:space="0" w:color="BFBFBF"/>
              <w:right w:val="single" w:sz="4" w:space="0" w:color="BFBFBF"/>
            </w:tcBorders>
            <w:shd w:val="clear" w:color="auto" w:fill="2E5B8A"/>
            <w:tcMar>
              <w:top w:w="100" w:type="dxa"/>
              <w:left w:w="120" w:type="dxa"/>
              <w:bottom w:w="100" w:type="dxa"/>
              <w:right w:w="120" w:type="dxa"/>
            </w:tcMar>
            <w:vAlign w:val="center"/>
            <w:hideMark/>
          </w:tcPr>
          <w:p w14:paraId="04D80563"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b/>
                <w:bCs/>
                <w:sz w:val="22"/>
                <w:szCs w:val="22"/>
              </w:rPr>
              <w:t>Factor</w:t>
            </w:r>
          </w:p>
        </w:tc>
        <w:tc>
          <w:tcPr>
            <w:tcW w:w="7426" w:type="dxa"/>
            <w:tcBorders>
              <w:top w:val="single" w:sz="4" w:space="0" w:color="BFBFBF"/>
              <w:left w:val="single" w:sz="4" w:space="0" w:color="BFBFBF"/>
              <w:bottom w:val="single" w:sz="4" w:space="0" w:color="BFBFBF"/>
              <w:right w:val="single" w:sz="4" w:space="0" w:color="BFBFBF"/>
            </w:tcBorders>
            <w:shd w:val="clear" w:color="auto" w:fill="2E5B8A"/>
            <w:tcMar>
              <w:top w:w="100" w:type="dxa"/>
              <w:left w:w="120" w:type="dxa"/>
              <w:bottom w:w="100" w:type="dxa"/>
              <w:right w:w="120" w:type="dxa"/>
            </w:tcMar>
            <w:vAlign w:val="center"/>
            <w:hideMark/>
          </w:tcPr>
          <w:p w14:paraId="6E535126"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b/>
                <w:bCs/>
                <w:sz w:val="22"/>
                <w:szCs w:val="22"/>
              </w:rPr>
              <w:t>Summary</w:t>
            </w:r>
          </w:p>
        </w:tc>
      </w:tr>
      <w:tr w:rsidR="00B10CDF" w:rsidRPr="00B10CDF" w14:paraId="01091DFB" w14:textId="77777777">
        <w:tc>
          <w:tcPr>
            <w:tcW w:w="1600" w:type="dxa"/>
            <w:tcBorders>
              <w:top w:val="single" w:sz="4" w:space="0" w:color="BFBFBF"/>
              <w:left w:val="single" w:sz="4" w:space="0" w:color="BFBFBF"/>
              <w:bottom w:val="single" w:sz="4" w:space="0" w:color="BFBFBF"/>
              <w:right w:val="single" w:sz="4" w:space="0" w:color="BFBFBF"/>
            </w:tcBorders>
            <w:shd w:val="clear" w:color="auto" w:fill="E8F0FA"/>
            <w:tcMar>
              <w:top w:w="100" w:type="dxa"/>
              <w:left w:w="120" w:type="dxa"/>
              <w:bottom w:w="100" w:type="dxa"/>
              <w:right w:w="120" w:type="dxa"/>
            </w:tcMar>
            <w:vAlign w:val="center"/>
            <w:hideMark/>
          </w:tcPr>
          <w:p w14:paraId="443FB24E"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b/>
                <w:bCs/>
                <w:sz w:val="22"/>
                <w:szCs w:val="22"/>
              </w:rPr>
              <w:t>Strengths</w:t>
            </w:r>
          </w:p>
        </w:tc>
        <w:tc>
          <w:tcPr>
            <w:tcW w:w="7426"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5AA82E67"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sz w:val="22"/>
                <w:szCs w:val="22"/>
              </w:rPr>
              <w:t xml:space="preserve">Detailed evidence base and family testimony from the Ockenden review; clear national policy commitment via the NHS </w:t>
            </w:r>
            <w:proofErr w:type="gramStart"/>
            <w:r w:rsidRPr="00B10CDF">
              <w:rPr>
                <w:rFonts w:ascii="Arial" w:hAnsi="Arial" w:cs="Arial"/>
                <w:sz w:val="22"/>
                <w:szCs w:val="22"/>
              </w:rPr>
              <w:t>Three Year</w:t>
            </w:r>
            <w:proofErr w:type="gramEnd"/>
            <w:r w:rsidRPr="00B10CDF">
              <w:rPr>
                <w:rFonts w:ascii="Arial" w:hAnsi="Arial" w:cs="Arial"/>
                <w:sz w:val="22"/>
                <w:szCs w:val="22"/>
              </w:rPr>
              <w:t xml:space="preserve"> Delivery Plan.</w:t>
            </w:r>
          </w:p>
        </w:tc>
      </w:tr>
      <w:tr w:rsidR="00B10CDF" w:rsidRPr="00B10CDF" w14:paraId="2664467D" w14:textId="77777777">
        <w:tc>
          <w:tcPr>
            <w:tcW w:w="1600" w:type="dxa"/>
            <w:tcBorders>
              <w:top w:val="single" w:sz="4" w:space="0" w:color="BFBFBF"/>
              <w:left w:val="single" w:sz="4" w:space="0" w:color="BFBFBF"/>
              <w:bottom w:val="single" w:sz="4" w:space="0" w:color="BFBFBF"/>
              <w:right w:val="single" w:sz="4" w:space="0" w:color="BFBFBF"/>
            </w:tcBorders>
            <w:shd w:val="clear" w:color="auto" w:fill="E8F0FA"/>
            <w:tcMar>
              <w:top w:w="100" w:type="dxa"/>
              <w:left w:w="120" w:type="dxa"/>
              <w:bottom w:w="100" w:type="dxa"/>
              <w:right w:w="120" w:type="dxa"/>
            </w:tcMar>
            <w:vAlign w:val="center"/>
            <w:hideMark/>
          </w:tcPr>
          <w:p w14:paraId="55CFE3A0"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b/>
                <w:bCs/>
                <w:sz w:val="22"/>
                <w:szCs w:val="22"/>
              </w:rPr>
              <w:t>Weaknesses</w:t>
            </w:r>
          </w:p>
        </w:tc>
        <w:tc>
          <w:tcPr>
            <w:tcW w:w="7426"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235C48DF"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sz w:val="22"/>
                <w:szCs w:val="22"/>
              </w:rPr>
              <w:t>Persistent national midwifery shortage constraining local staffing; historically weak incident-investigation culture and methodologically limited RCA practice.</w:t>
            </w:r>
          </w:p>
        </w:tc>
      </w:tr>
      <w:tr w:rsidR="00B10CDF" w:rsidRPr="00B10CDF" w14:paraId="623B441D" w14:textId="77777777">
        <w:tc>
          <w:tcPr>
            <w:tcW w:w="1600" w:type="dxa"/>
            <w:tcBorders>
              <w:top w:val="single" w:sz="4" w:space="0" w:color="BFBFBF"/>
              <w:left w:val="single" w:sz="4" w:space="0" w:color="BFBFBF"/>
              <w:bottom w:val="single" w:sz="4" w:space="0" w:color="BFBFBF"/>
              <w:right w:val="single" w:sz="4" w:space="0" w:color="BFBFBF"/>
            </w:tcBorders>
            <w:shd w:val="clear" w:color="auto" w:fill="E8F0FA"/>
            <w:tcMar>
              <w:top w:w="100" w:type="dxa"/>
              <w:left w:w="120" w:type="dxa"/>
              <w:bottom w:w="100" w:type="dxa"/>
              <w:right w:w="120" w:type="dxa"/>
            </w:tcMar>
            <w:vAlign w:val="center"/>
            <w:hideMark/>
          </w:tcPr>
          <w:p w14:paraId="6FF0FB14"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b/>
                <w:bCs/>
                <w:sz w:val="22"/>
                <w:szCs w:val="22"/>
              </w:rPr>
              <w:t>Opportunities</w:t>
            </w:r>
          </w:p>
        </w:tc>
        <w:tc>
          <w:tcPr>
            <w:tcW w:w="7426"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0ADD2E06"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sz w:val="22"/>
                <w:szCs w:val="22"/>
              </w:rPr>
              <w:t>National roll-out of PSIRF for proportionate, learning-focused incident response; strengthened Freedom to Speak Up arrangements.</w:t>
            </w:r>
          </w:p>
        </w:tc>
      </w:tr>
      <w:tr w:rsidR="00B10CDF" w:rsidRPr="00B10CDF" w14:paraId="2320CAA8" w14:textId="77777777">
        <w:tc>
          <w:tcPr>
            <w:tcW w:w="1600" w:type="dxa"/>
            <w:tcBorders>
              <w:top w:val="single" w:sz="4" w:space="0" w:color="BFBFBF"/>
              <w:left w:val="single" w:sz="4" w:space="0" w:color="BFBFBF"/>
              <w:bottom w:val="single" w:sz="4" w:space="0" w:color="BFBFBF"/>
              <w:right w:val="single" w:sz="4" w:space="0" w:color="BFBFBF"/>
            </w:tcBorders>
            <w:shd w:val="clear" w:color="auto" w:fill="E8F0FA"/>
            <w:tcMar>
              <w:top w:w="100" w:type="dxa"/>
              <w:left w:w="120" w:type="dxa"/>
              <w:bottom w:w="100" w:type="dxa"/>
              <w:right w:w="120" w:type="dxa"/>
            </w:tcMar>
            <w:vAlign w:val="center"/>
            <w:hideMark/>
          </w:tcPr>
          <w:p w14:paraId="16B1059F"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b/>
                <w:bCs/>
                <w:sz w:val="22"/>
                <w:szCs w:val="22"/>
              </w:rPr>
              <w:t>Threats</w:t>
            </w:r>
          </w:p>
        </w:tc>
        <w:tc>
          <w:tcPr>
            <w:tcW w:w="7426"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20316C9F" w14:textId="77777777" w:rsidR="00B10CDF" w:rsidRPr="00B10CDF" w:rsidRDefault="00B10CDF" w:rsidP="00B10CDF">
            <w:pPr>
              <w:spacing w:after="200" w:line="360" w:lineRule="auto"/>
              <w:jc w:val="center"/>
              <w:rPr>
                <w:rFonts w:ascii="Arial" w:hAnsi="Arial" w:cs="Arial"/>
                <w:sz w:val="22"/>
                <w:szCs w:val="22"/>
              </w:rPr>
            </w:pPr>
            <w:r w:rsidRPr="00B10CDF">
              <w:rPr>
                <w:rFonts w:ascii="Arial" w:hAnsi="Arial" w:cs="Arial"/>
                <w:sz w:val="22"/>
                <w:szCs w:val="22"/>
              </w:rPr>
              <w:t>Risk of short-term compliance activity without deeper cultural change; continuing national workforce and funding pressures.</w:t>
            </w:r>
          </w:p>
        </w:tc>
      </w:tr>
    </w:tbl>
    <w:p w14:paraId="167A13EB" w14:textId="5056B447" w:rsidR="00B10CDF" w:rsidRPr="00B10CDF" w:rsidRDefault="00B10CDF" w:rsidP="00B10CDF">
      <w:pPr>
        <w:spacing w:after="200" w:line="360" w:lineRule="auto"/>
        <w:jc w:val="center"/>
        <w:rPr>
          <w:rFonts w:ascii="Arial" w:hAnsi="Arial" w:cs="Arial"/>
          <w:sz w:val="22"/>
          <w:szCs w:val="22"/>
        </w:rPr>
      </w:pPr>
      <w:proofErr w:type="gramStart"/>
      <w:r w:rsidRPr="00B10CDF">
        <w:rPr>
          <w:rFonts w:ascii="Arial" w:hAnsi="Arial" w:cs="Arial"/>
          <w:i/>
          <w:iCs/>
          <w:sz w:val="22"/>
          <w:szCs w:val="22"/>
        </w:rPr>
        <w:t>Table :</w:t>
      </w:r>
      <w:proofErr w:type="gramEnd"/>
      <w:r w:rsidRPr="00B10CDF">
        <w:rPr>
          <w:rFonts w:ascii="Arial" w:hAnsi="Arial" w:cs="Arial"/>
          <w:i/>
          <w:iCs/>
          <w:sz w:val="22"/>
          <w:szCs w:val="22"/>
        </w:rPr>
        <w:t xml:space="preserve"> SWOT analysis of </w:t>
      </w:r>
      <w:proofErr w:type="spellStart"/>
      <w:r w:rsidRPr="00B10CDF">
        <w:rPr>
          <w:rFonts w:ascii="Arial" w:hAnsi="Arial" w:cs="Arial"/>
          <w:i/>
          <w:iCs/>
          <w:sz w:val="22"/>
          <w:szCs w:val="22"/>
        </w:rPr>
        <w:t>SaTH's</w:t>
      </w:r>
      <w:proofErr w:type="spellEnd"/>
      <w:r w:rsidRPr="00B10CDF">
        <w:rPr>
          <w:rFonts w:ascii="Arial" w:hAnsi="Arial" w:cs="Arial"/>
          <w:i/>
          <w:iCs/>
          <w:sz w:val="22"/>
          <w:szCs w:val="22"/>
        </w:rPr>
        <w:t xml:space="preserve"> and the wider NHS maternity system's capacity for reform.</w:t>
      </w:r>
    </w:p>
    <w:p w14:paraId="4685E44E" w14:textId="77777777" w:rsidR="009D1D4E" w:rsidRPr="008F7DB1" w:rsidRDefault="00201EB7">
      <w:pPr>
        <w:pStyle w:val="Heading2"/>
        <w:spacing w:before="300" w:after="200" w:line="360" w:lineRule="auto"/>
        <w:rPr>
          <w:sz w:val="24"/>
          <w:szCs w:val="24"/>
        </w:rPr>
      </w:pPr>
      <w:bookmarkStart w:id="6" w:name="_Toc236399740"/>
      <w:r w:rsidRPr="008F7DB1">
        <w:rPr>
          <w:rFonts w:ascii="Arial" w:eastAsia="Arial" w:hAnsi="Arial" w:cs="Arial"/>
          <w:b/>
          <w:bCs/>
          <w:sz w:val="24"/>
          <w:szCs w:val="24"/>
        </w:rPr>
        <w:t>2.5 Policy Analysis: Governance and Accountability Failures</w:t>
      </w:r>
      <w:bookmarkEnd w:id="6"/>
    </w:p>
    <w:p w14:paraId="61976C5C" w14:textId="759B5BAF" w:rsidR="008D05BB" w:rsidRPr="008F7DB1" w:rsidRDefault="008D05BB">
      <w:pPr>
        <w:spacing w:after="200" w:line="360" w:lineRule="auto"/>
        <w:jc w:val="both"/>
      </w:pPr>
      <w:proofErr w:type="spellStart"/>
      <w:r w:rsidRPr="008F7DB1">
        <w:rPr>
          <w:rFonts w:ascii="Arial" w:eastAsia="Arial" w:hAnsi="Arial" w:cs="Arial"/>
          <w:sz w:val="22"/>
          <w:szCs w:val="22"/>
        </w:rPr>
        <w:t>SaTH's</w:t>
      </w:r>
      <w:proofErr w:type="spellEnd"/>
      <w:r w:rsidRPr="008F7DB1">
        <w:rPr>
          <w:rFonts w:ascii="Arial" w:eastAsia="Arial" w:hAnsi="Arial" w:cs="Arial"/>
          <w:sz w:val="22"/>
          <w:szCs w:val="22"/>
        </w:rPr>
        <w:t xml:space="preserve"> weaknesses at the local level were permitted to endure for quite a while due to a combination of policy failures at the national level. Firstly, clinical governance arrangements, set up since the late 90s to ensure NHS organisations are directly responsible for continually enhancing the quality of the services they provide, were inadequate with regard to monitoring, investigating incidents and holding anyone to account (Scally and Donaldson, 1998; Ockenden, 2022). Second, although there is national guidance for maternity safety, including guidance on </w:t>
      </w:r>
      <w:proofErr w:type="spellStart"/>
      <w:r w:rsidRPr="008F7DB1">
        <w:rPr>
          <w:rFonts w:ascii="Arial" w:eastAsia="Arial" w:hAnsi="Arial" w:cs="Arial"/>
          <w:sz w:val="22"/>
          <w:szCs w:val="22"/>
        </w:rPr>
        <w:t>fetal</w:t>
      </w:r>
      <w:proofErr w:type="spellEnd"/>
      <w:r w:rsidRPr="008F7DB1">
        <w:rPr>
          <w:rFonts w:ascii="Arial" w:eastAsia="Arial" w:hAnsi="Arial" w:cs="Arial"/>
          <w:sz w:val="22"/>
          <w:szCs w:val="22"/>
        </w:rPr>
        <w:t xml:space="preserve"> monitoring, guidelines on risk assessment or timely escalation of care were not consistently followed in practice (NHS England, 2023; National Institute for Health and Care Excellence, 2023). Third, the statutory Duty of Candour – obligations on organisations to be open and honest with families about avoidable harm – was not consistently fulfilled: many families were not told openly at the time of adverse events that they had occurred (Ockenden, 2022). Fourth, there were arrangements in place to enable staff to raise concerns about safeguarding without risk of repercussions (Freedom to Speak Up arrangements), but they were not routinely followed because of a culture defensive towards staff concerns in the organisation (Care Quality Commission, 2023; National Guardian's Office, 2023). These policy </w:t>
      </w:r>
      <w:r w:rsidRPr="008F7DB1">
        <w:rPr>
          <w:rFonts w:ascii="Arial" w:eastAsia="Arial" w:hAnsi="Arial" w:cs="Arial"/>
          <w:sz w:val="22"/>
          <w:szCs w:val="22"/>
        </w:rPr>
        <w:lastRenderedPageBreak/>
        <w:t xml:space="preserve">shortcomings show that </w:t>
      </w:r>
      <w:proofErr w:type="spellStart"/>
      <w:r w:rsidRPr="008F7DB1">
        <w:rPr>
          <w:rFonts w:ascii="Arial" w:eastAsia="Arial" w:hAnsi="Arial" w:cs="Arial"/>
          <w:sz w:val="22"/>
          <w:szCs w:val="22"/>
        </w:rPr>
        <w:t>SaTH's</w:t>
      </w:r>
      <w:proofErr w:type="spellEnd"/>
      <w:r w:rsidRPr="008F7DB1">
        <w:rPr>
          <w:rFonts w:ascii="Arial" w:eastAsia="Arial" w:hAnsi="Arial" w:cs="Arial"/>
          <w:sz w:val="22"/>
          <w:szCs w:val="22"/>
        </w:rPr>
        <w:t xml:space="preserve"> shortcomings were not only the result of poor implementation at local level but also of a lack of implementation at Trust level through national quality assurance policy.</w:t>
      </w:r>
    </w:p>
    <w:p w14:paraId="6D7A642C" w14:textId="77777777" w:rsidR="009D1D4E" w:rsidRPr="008F7DB1" w:rsidRDefault="00201EB7">
      <w:pPr>
        <w:pStyle w:val="Heading1"/>
        <w:spacing w:before="300" w:after="200" w:line="360" w:lineRule="auto"/>
      </w:pPr>
      <w:bookmarkStart w:id="7" w:name="_Toc236399741"/>
      <w:r w:rsidRPr="008F7DB1">
        <w:rPr>
          <w:rFonts w:ascii="Arial" w:eastAsia="Arial" w:hAnsi="Arial" w:cs="Arial"/>
          <w:b/>
          <w:bCs/>
          <w:sz w:val="24"/>
          <w:szCs w:val="24"/>
        </w:rPr>
        <w:t>3. Recommendations and Implementation Strategy</w:t>
      </w:r>
      <w:bookmarkEnd w:id="7"/>
    </w:p>
    <w:p w14:paraId="5BE6B2E1" w14:textId="426DBA3A" w:rsidR="008D05BB" w:rsidRPr="008F7DB1" w:rsidRDefault="008D05BB">
      <w:pPr>
        <w:spacing w:after="200" w:line="360" w:lineRule="auto"/>
        <w:jc w:val="both"/>
      </w:pPr>
      <w:r w:rsidRPr="008F7DB1">
        <w:rPr>
          <w:rFonts w:ascii="Arial" w:eastAsia="Arial" w:hAnsi="Arial" w:cs="Arial"/>
          <w:sz w:val="22"/>
          <w:szCs w:val="22"/>
        </w:rPr>
        <w:t xml:space="preserve">The recommendations outlined below target the interlinked root causes identified in Section 2 (Governance and leadership, Workforce capability, Incident learning, Organisational culture) and are actioned through a phased quality-improvement approach, which includes policy-level reform, PDSA cycles and Lean/Six Sigma process redesign. </w:t>
      </w:r>
    </w:p>
    <w:p w14:paraId="41E07689" w14:textId="77777777" w:rsidR="009D1D4E" w:rsidRPr="008F7DB1" w:rsidRDefault="00201EB7">
      <w:pPr>
        <w:pStyle w:val="Heading2"/>
        <w:spacing w:before="300" w:after="200" w:line="360" w:lineRule="auto"/>
        <w:rPr>
          <w:sz w:val="24"/>
          <w:szCs w:val="24"/>
        </w:rPr>
      </w:pPr>
      <w:bookmarkStart w:id="8" w:name="_Toc236399742"/>
      <w:r w:rsidRPr="008F7DB1">
        <w:rPr>
          <w:rFonts w:ascii="Arial" w:eastAsia="Arial" w:hAnsi="Arial" w:cs="Arial"/>
          <w:b/>
          <w:bCs/>
          <w:sz w:val="24"/>
          <w:szCs w:val="24"/>
        </w:rPr>
        <w:t>3.1 Strengthen Clinical Governance</w:t>
      </w:r>
      <w:bookmarkEnd w:id="8"/>
    </w:p>
    <w:p w14:paraId="58C3BB50" w14:textId="138C0F06" w:rsidR="008D05BB" w:rsidRPr="008F7DB1" w:rsidRDefault="008D05BB">
      <w:pPr>
        <w:spacing w:after="200" w:line="360" w:lineRule="auto"/>
        <w:jc w:val="both"/>
      </w:pP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and its replacement governance systems must have strong clinical governance mechanisms with accountability for patient safety and quality improvement at all organisation levels from ward to Board (Scally and Donaldson, 1998). This should include a combined structure-process-outcome dashboard, which is required to be reviewed at Board level, where the number of staff, compliance with intrapartum care guidance and the rates of hypoxic-ischaemic encephalopathy, stillbirths and other outcome indicators are never reviewed separately (Donabedian, 1966).</w:t>
      </w:r>
    </w:p>
    <w:p w14:paraId="65DCABA4" w14:textId="77777777" w:rsidR="009D1D4E" w:rsidRPr="008F7DB1" w:rsidRDefault="00201EB7">
      <w:pPr>
        <w:pStyle w:val="Heading2"/>
        <w:spacing w:before="300" w:after="200" w:line="360" w:lineRule="auto"/>
        <w:rPr>
          <w:sz w:val="24"/>
          <w:szCs w:val="24"/>
        </w:rPr>
      </w:pPr>
      <w:bookmarkStart w:id="9" w:name="_Toc236399743"/>
      <w:r w:rsidRPr="008F7DB1">
        <w:rPr>
          <w:rFonts w:ascii="Arial" w:eastAsia="Arial" w:hAnsi="Arial" w:cs="Arial"/>
          <w:b/>
          <w:bCs/>
          <w:sz w:val="24"/>
          <w:szCs w:val="24"/>
        </w:rPr>
        <w:t>3.2 Develop a Positive, Learning-Focused Safety Culture</w:t>
      </w:r>
      <w:bookmarkEnd w:id="9"/>
    </w:p>
    <w:p w14:paraId="06BB6C7C" w14:textId="788B8040" w:rsidR="008D05BB" w:rsidRPr="008F7DB1" w:rsidRDefault="008F7DB1">
      <w:pPr>
        <w:spacing w:after="200" w:line="360" w:lineRule="auto"/>
        <w:jc w:val="both"/>
      </w:pPr>
      <w:r w:rsidRPr="008F7DB1">
        <w:rPr>
          <w:rFonts w:ascii="Arial" w:eastAsia="Arial" w:hAnsi="Arial" w:cs="Arial"/>
          <w:sz w:val="22"/>
          <w:szCs w:val="22"/>
        </w:rPr>
        <w:t xml:space="preserve">An open, transparent, blame-free culture, where staff and families can raise concerns without fear, is the most significant root cause identified by Ockenden (2022), which needs to be developed within the Trust. This involves the full use of the Patient Safety Incident Response Framework (PSIRF), which means that an investigation is conducted on every serious maternity incident, is proportionate, is competent and is a family matter, which is a common problem in the practice of RCA, as described by Peerally et al. (2017) and </w:t>
      </w:r>
      <w:proofErr w:type="spellStart"/>
      <w:r w:rsidRPr="008F7DB1">
        <w:rPr>
          <w:rFonts w:ascii="Arial" w:eastAsia="Arial" w:hAnsi="Arial" w:cs="Arial"/>
          <w:sz w:val="22"/>
          <w:szCs w:val="22"/>
        </w:rPr>
        <w:t>Percarpio</w:t>
      </w:r>
      <w:proofErr w:type="spellEnd"/>
      <w:r w:rsidRPr="008F7DB1">
        <w:rPr>
          <w:rFonts w:ascii="Arial" w:eastAsia="Arial" w:hAnsi="Arial" w:cs="Arial"/>
          <w:sz w:val="22"/>
          <w:szCs w:val="22"/>
        </w:rPr>
        <w:t>, Watts and Weeks (2008). The Duty of Candour and Freedom to Speak Up Guardians should not just be acknowledged as in place but actively monitored (National Guardian's Office, 2023).</w:t>
      </w:r>
    </w:p>
    <w:p w14:paraId="04BFD8DC" w14:textId="77777777" w:rsidR="009D1D4E" w:rsidRPr="008F7DB1" w:rsidRDefault="00201EB7">
      <w:pPr>
        <w:pStyle w:val="Heading2"/>
        <w:spacing w:before="300" w:after="200" w:line="360" w:lineRule="auto"/>
        <w:rPr>
          <w:sz w:val="24"/>
          <w:szCs w:val="24"/>
        </w:rPr>
      </w:pPr>
      <w:bookmarkStart w:id="10" w:name="_Toc236399744"/>
      <w:r w:rsidRPr="008F7DB1">
        <w:rPr>
          <w:rFonts w:ascii="Arial" w:eastAsia="Arial" w:hAnsi="Arial" w:cs="Arial"/>
          <w:b/>
          <w:bCs/>
          <w:sz w:val="24"/>
          <w:szCs w:val="24"/>
        </w:rPr>
        <w:t>3.3 Improve Workforce Capability through PDSA Cycles</w:t>
      </w:r>
      <w:bookmarkEnd w:id="10"/>
    </w:p>
    <w:p w14:paraId="479BD9B2" w14:textId="5850698C" w:rsidR="008D05BB" w:rsidRPr="008F7DB1" w:rsidRDefault="008F7DB1">
      <w:pPr>
        <w:spacing w:after="200" w:line="360" w:lineRule="auto"/>
        <w:jc w:val="both"/>
      </w:pPr>
      <w:r w:rsidRPr="008F7DB1">
        <w:rPr>
          <w:rFonts w:ascii="Arial" w:eastAsia="Arial" w:hAnsi="Arial" w:cs="Arial"/>
          <w:sz w:val="22"/>
          <w:szCs w:val="22"/>
        </w:rPr>
        <w:t xml:space="preserve">The Plan-Do-Study-Act (PDSA) cycle allows teams to implement a change on a smaller scale, learn from the outcomes and then make improvements before rolling it out on a wider scale, rather than implementing an untested policy change trust-wide (Langley et al., 2009; NHS England and NHS Improvement, 2021). When developing a new protocol for escalation, such as a structured ‘SBAR' based escalation script for suspected </w:t>
      </w:r>
      <w:proofErr w:type="spellStart"/>
      <w:r w:rsidRPr="008F7DB1">
        <w:rPr>
          <w:rFonts w:ascii="Arial" w:eastAsia="Arial" w:hAnsi="Arial" w:cs="Arial"/>
          <w:sz w:val="22"/>
          <w:szCs w:val="22"/>
        </w:rPr>
        <w:t>fetal</w:t>
      </w:r>
      <w:proofErr w:type="spellEnd"/>
      <w:r w:rsidRPr="008F7DB1">
        <w:rPr>
          <w:rFonts w:ascii="Arial" w:eastAsia="Arial" w:hAnsi="Arial" w:cs="Arial"/>
          <w:sz w:val="22"/>
          <w:szCs w:val="22"/>
        </w:rPr>
        <w:t xml:space="preserve"> deterioration', it is </w:t>
      </w:r>
      <w:r w:rsidRPr="008F7DB1">
        <w:rPr>
          <w:rFonts w:ascii="Arial" w:eastAsia="Arial" w:hAnsi="Arial" w:cs="Arial"/>
          <w:sz w:val="22"/>
          <w:szCs w:val="22"/>
        </w:rPr>
        <w:lastRenderedPageBreak/>
        <w:t>recommended that maternity services conduct a single ward pilot before wider roll out of the protocol, making sure predictions and outcome measures are clearly identified and tested against delivery outcomes. (Langley et al., 2009) To ensure that PDSA cycles are carried out in the best way and are well documented, a dedicated role would be needed for a facilitator specifically to support front-line maternity teams to work through the cycle in that way, rather than informally. (McNicholas et al., 2019)</w:t>
      </w:r>
      <w:r w:rsidRPr="008F7DB1">
        <w:rPr>
          <w:rFonts w:ascii="Arial" w:eastAsia="Arial" w:hAnsi="Arial" w:cs="Arial"/>
          <w:sz w:val="22"/>
          <w:szCs w:val="22"/>
        </w:rPr>
        <w:t>.</w:t>
      </w:r>
    </w:p>
    <w:p w14:paraId="45BB0269" w14:textId="77777777" w:rsidR="009D1D4E" w:rsidRPr="008F7DB1" w:rsidRDefault="00201EB7">
      <w:pPr>
        <w:pStyle w:val="Heading2"/>
        <w:spacing w:before="300" w:after="200" w:line="360" w:lineRule="auto"/>
        <w:rPr>
          <w:sz w:val="24"/>
          <w:szCs w:val="24"/>
        </w:rPr>
      </w:pPr>
      <w:bookmarkStart w:id="11" w:name="_Toc236399745"/>
      <w:r w:rsidRPr="008F7DB1">
        <w:rPr>
          <w:rFonts w:ascii="Arial" w:eastAsia="Arial" w:hAnsi="Arial" w:cs="Arial"/>
          <w:b/>
          <w:bCs/>
          <w:sz w:val="24"/>
          <w:szCs w:val="24"/>
        </w:rPr>
        <w:t>3.4 Strengthen Incident Reporting and Organisational Learning through Lean and Six Sigma</w:t>
      </w:r>
      <w:bookmarkEnd w:id="11"/>
    </w:p>
    <w:p w14:paraId="6474AEB6" w14:textId="09CFA1A4" w:rsidR="008D05BB" w:rsidRPr="008F7DB1" w:rsidRDefault="008F7DB1">
      <w:pPr>
        <w:spacing w:after="200" w:line="360" w:lineRule="auto"/>
        <w:jc w:val="both"/>
      </w:pPr>
      <w:r w:rsidRPr="008F7DB1">
        <w:rPr>
          <w:rFonts w:ascii="Arial" w:eastAsia="Arial" w:hAnsi="Arial" w:cs="Arial"/>
          <w:sz w:val="22"/>
          <w:szCs w:val="22"/>
        </w:rPr>
        <w:t>Lean and Six Sigma methods are more appropriate when trying to eliminate unnecessary variation in higher-volume and higher-risk processes like triage and escalation pathways (</w:t>
      </w:r>
      <w:proofErr w:type="spellStart"/>
      <w:r w:rsidRPr="008F7DB1">
        <w:rPr>
          <w:rFonts w:ascii="Arial" w:eastAsia="Arial" w:hAnsi="Arial" w:cs="Arial"/>
          <w:sz w:val="22"/>
          <w:szCs w:val="22"/>
        </w:rPr>
        <w:t>Niñerola</w:t>
      </w:r>
      <w:proofErr w:type="spellEnd"/>
      <w:r w:rsidRPr="008F7DB1">
        <w:rPr>
          <w:rFonts w:ascii="Arial" w:eastAsia="Arial" w:hAnsi="Arial" w:cs="Arial"/>
          <w:sz w:val="22"/>
          <w:szCs w:val="22"/>
        </w:rPr>
        <w:t>, Sánchez-</w:t>
      </w:r>
      <w:proofErr w:type="spellStart"/>
      <w:r w:rsidRPr="008F7DB1">
        <w:rPr>
          <w:rFonts w:ascii="Arial" w:eastAsia="Arial" w:hAnsi="Arial" w:cs="Arial"/>
          <w:sz w:val="22"/>
          <w:szCs w:val="22"/>
        </w:rPr>
        <w:t>Rebull</w:t>
      </w:r>
      <w:proofErr w:type="spellEnd"/>
      <w:r w:rsidRPr="008F7DB1">
        <w:rPr>
          <w:rFonts w:ascii="Arial" w:eastAsia="Arial" w:hAnsi="Arial" w:cs="Arial"/>
          <w:sz w:val="22"/>
          <w:szCs w:val="22"/>
        </w:rPr>
        <w:t xml:space="preserve"> and Hernández-Lara, 2020), whereas changes in PDSA are more appropriate for discrete changes. A value stream mapping exercise should take place to identify and eliminate non-value adding delay in the pathway between recognition of clinical deterioration and senior clinical review, specifically designed to close the gaps in the Swiss Cheese Model's 'defensive layers' of the pathway (Reason, 2000). It should be done at the right time for all serious incidents but done with the methodological rigour that Peerally et al. (2017) argue has been lacking; including proper facilitation, multi-disciplinary involvement, and structured </w:t>
      </w:r>
      <w:r w:rsidRPr="008F7DB1">
        <w:rPr>
          <w:rFonts w:ascii="Arial" w:eastAsia="Arial" w:hAnsi="Arial" w:cs="Arial"/>
          <w:sz w:val="22"/>
          <w:szCs w:val="22"/>
        </w:rPr>
        <w:t>follow-up</w:t>
      </w:r>
      <w:r w:rsidRPr="008F7DB1">
        <w:rPr>
          <w:rFonts w:ascii="Arial" w:eastAsia="Arial" w:hAnsi="Arial" w:cs="Arial"/>
          <w:sz w:val="22"/>
          <w:szCs w:val="22"/>
        </w:rPr>
        <w:t xml:space="preserve"> on the resulting action plans should not be seen as the end point of learning, but the starting point.</w:t>
      </w:r>
    </w:p>
    <w:p w14:paraId="001E3271" w14:textId="77777777" w:rsidR="009D1D4E" w:rsidRPr="008F7DB1" w:rsidRDefault="00201EB7">
      <w:pPr>
        <w:pStyle w:val="Heading2"/>
        <w:spacing w:before="300" w:after="200" w:line="360" w:lineRule="auto"/>
        <w:rPr>
          <w:sz w:val="24"/>
          <w:szCs w:val="24"/>
        </w:rPr>
      </w:pPr>
      <w:bookmarkStart w:id="12" w:name="_Toc236399746"/>
      <w:r w:rsidRPr="008F7DB1">
        <w:rPr>
          <w:rFonts w:ascii="Arial" w:eastAsia="Arial" w:hAnsi="Arial" w:cs="Arial"/>
          <w:b/>
          <w:bCs/>
          <w:sz w:val="24"/>
          <w:szCs w:val="24"/>
        </w:rPr>
        <w:t>3.5 Enhance Patient-Centred Care</w:t>
      </w:r>
      <w:bookmarkEnd w:id="12"/>
    </w:p>
    <w:p w14:paraId="6F29EF15" w14:textId="6FCAFCA4" w:rsidR="008D05BB" w:rsidRPr="008F7DB1" w:rsidRDefault="008F7DB1">
      <w:pPr>
        <w:spacing w:after="200" w:line="360" w:lineRule="auto"/>
        <w:jc w:val="both"/>
      </w:pPr>
      <w:r w:rsidRPr="008F7DB1">
        <w:rPr>
          <w:rFonts w:ascii="Arial" w:eastAsia="Arial" w:hAnsi="Arial" w:cs="Arial"/>
          <w:sz w:val="22"/>
          <w:szCs w:val="22"/>
        </w:rPr>
        <w:t>Communication, informed consent and feedback mechanisms should be enhanced to restore the trust between maternity services and families (WHO, 2021). This involves implementing Duty of Candour effectively and in a timely manner following any incident, putting in place schemes to involve families in ongoing improvement of local safety in real-time and not just via formal complaints and the recommendations from the Royal College of Obstetricians and Gynaecologists (2022) which followed the final Ockenden review.</w:t>
      </w:r>
    </w:p>
    <w:p w14:paraId="088AEB82" w14:textId="77777777" w:rsidR="009D1D4E" w:rsidRPr="008F7DB1" w:rsidRDefault="00201EB7">
      <w:pPr>
        <w:pStyle w:val="Heading2"/>
        <w:spacing w:before="300" w:after="200" w:line="360" w:lineRule="auto"/>
        <w:rPr>
          <w:sz w:val="24"/>
          <w:szCs w:val="24"/>
        </w:rPr>
      </w:pPr>
      <w:bookmarkStart w:id="13" w:name="_Toc236399747"/>
      <w:r w:rsidRPr="008F7DB1">
        <w:rPr>
          <w:rFonts w:ascii="Arial" w:eastAsia="Arial" w:hAnsi="Arial" w:cs="Arial"/>
          <w:b/>
          <w:bCs/>
          <w:sz w:val="24"/>
          <w:szCs w:val="24"/>
        </w:rPr>
        <w:t>3.6 Phased Implementation Strategy</w:t>
      </w:r>
      <w:bookmarkEnd w:id="13"/>
    </w:p>
    <w:p w14:paraId="2B26F551" w14:textId="27941EE6" w:rsidR="008F7DB1" w:rsidRPr="00B10CDF" w:rsidRDefault="008F7DB1">
      <w:pPr>
        <w:spacing w:after="200" w:line="360" w:lineRule="auto"/>
        <w:jc w:val="both"/>
        <w:rPr>
          <w:rFonts w:ascii="Arial" w:eastAsia="Arial" w:hAnsi="Arial" w:cs="Arial"/>
          <w:sz w:val="22"/>
          <w:szCs w:val="22"/>
        </w:rPr>
      </w:pPr>
      <w:r w:rsidRPr="008F7DB1">
        <w:rPr>
          <w:rFonts w:ascii="Arial" w:eastAsia="Arial" w:hAnsi="Arial" w:cs="Arial"/>
          <w:sz w:val="22"/>
          <w:szCs w:val="22"/>
        </w:rPr>
        <w:t xml:space="preserve">In the short-term (0-6 months), Trusts should undertake any outstanding Ockenden essential actions, appoint or confirm Board-level maternity safety champions, and commence with initial PDSA cycles on escalation protocols within one unit. Medium term (6 to 18 months) PDSA changes should be standardised and cascaded throughout the trust through Lean value-stream mapping, with robust monitoring of Freedom to Speak Up in place, and then full PSIRF </w:t>
      </w:r>
      <w:r w:rsidRPr="008F7DB1">
        <w:rPr>
          <w:rFonts w:ascii="Arial" w:eastAsia="Arial" w:hAnsi="Arial" w:cs="Arial"/>
          <w:sz w:val="22"/>
          <w:szCs w:val="22"/>
        </w:rPr>
        <w:lastRenderedPageBreak/>
        <w:t>should be implemented. In the longer term (18 to 36 months) a culture of continuous improvement should be established, where PDSA and Lean/Six Sigma activity, learning from incidents and involvement of the family is a normal part of governance, not a response to an external enquiry and progress is assured independently by inspection by the Care Quality Commission (Care Quality Commission, 2023).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800"/>
        <w:gridCol w:w="5426"/>
      </w:tblGrid>
      <w:tr w:rsidR="00B10CDF" w:rsidRPr="00B10CDF" w14:paraId="7D3A4F1F" w14:textId="77777777">
        <w:trPr>
          <w:tblHeader/>
        </w:trPr>
        <w:tc>
          <w:tcPr>
            <w:tcW w:w="1800" w:type="dxa"/>
            <w:tcBorders>
              <w:top w:val="single" w:sz="4" w:space="0" w:color="BFBFBF"/>
              <w:left w:val="single" w:sz="4" w:space="0" w:color="BFBFBF"/>
              <w:bottom w:val="single" w:sz="4" w:space="0" w:color="BFBFBF"/>
              <w:right w:val="single" w:sz="4" w:space="0" w:color="BFBFBF"/>
            </w:tcBorders>
            <w:shd w:val="clear" w:color="auto" w:fill="2E5B8A"/>
            <w:tcMar>
              <w:top w:w="100" w:type="dxa"/>
              <w:left w:w="120" w:type="dxa"/>
              <w:bottom w:w="100" w:type="dxa"/>
              <w:right w:w="120" w:type="dxa"/>
            </w:tcMar>
            <w:vAlign w:val="center"/>
            <w:hideMark/>
          </w:tcPr>
          <w:p w14:paraId="115B6FA9"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b/>
                <w:bCs/>
                <w:sz w:val="22"/>
                <w:szCs w:val="22"/>
              </w:rPr>
              <w:t>Phase</w:t>
            </w:r>
          </w:p>
        </w:tc>
        <w:tc>
          <w:tcPr>
            <w:tcW w:w="1800" w:type="dxa"/>
            <w:tcBorders>
              <w:top w:val="single" w:sz="4" w:space="0" w:color="BFBFBF"/>
              <w:left w:val="single" w:sz="4" w:space="0" w:color="BFBFBF"/>
              <w:bottom w:val="single" w:sz="4" w:space="0" w:color="BFBFBF"/>
              <w:right w:val="single" w:sz="4" w:space="0" w:color="BFBFBF"/>
            </w:tcBorders>
            <w:shd w:val="clear" w:color="auto" w:fill="2E5B8A"/>
            <w:tcMar>
              <w:top w:w="100" w:type="dxa"/>
              <w:left w:w="120" w:type="dxa"/>
              <w:bottom w:w="100" w:type="dxa"/>
              <w:right w:w="120" w:type="dxa"/>
            </w:tcMar>
            <w:vAlign w:val="center"/>
            <w:hideMark/>
          </w:tcPr>
          <w:p w14:paraId="7BD766D4"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b/>
                <w:bCs/>
                <w:sz w:val="22"/>
                <w:szCs w:val="22"/>
              </w:rPr>
              <w:t>Timeframe</w:t>
            </w:r>
          </w:p>
        </w:tc>
        <w:tc>
          <w:tcPr>
            <w:tcW w:w="5426" w:type="dxa"/>
            <w:tcBorders>
              <w:top w:val="single" w:sz="4" w:space="0" w:color="BFBFBF"/>
              <w:left w:val="single" w:sz="4" w:space="0" w:color="BFBFBF"/>
              <w:bottom w:val="single" w:sz="4" w:space="0" w:color="BFBFBF"/>
              <w:right w:val="single" w:sz="4" w:space="0" w:color="BFBFBF"/>
            </w:tcBorders>
            <w:shd w:val="clear" w:color="auto" w:fill="2E5B8A"/>
            <w:tcMar>
              <w:top w:w="100" w:type="dxa"/>
              <w:left w:w="120" w:type="dxa"/>
              <w:bottom w:w="100" w:type="dxa"/>
              <w:right w:w="120" w:type="dxa"/>
            </w:tcMar>
            <w:vAlign w:val="center"/>
            <w:hideMark/>
          </w:tcPr>
          <w:p w14:paraId="1190DB50"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b/>
                <w:bCs/>
                <w:sz w:val="22"/>
                <w:szCs w:val="22"/>
              </w:rPr>
              <w:t>Key Actions</w:t>
            </w:r>
          </w:p>
        </w:tc>
      </w:tr>
      <w:tr w:rsidR="00B10CDF" w:rsidRPr="00B10CDF" w14:paraId="31EE84E5" w14:textId="77777777">
        <w:tc>
          <w:tcPr>
            <w:tcW w:w="18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40FA47E8"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b/>
                <w:bCs/>
                <w:sz w:val="22"/>
                <w:szCs w:val="22"/>
              </w:rPr>
              <w:t>Short term</w:t>
            </w:r>
          </w:p>
        </w:tc>
        <w:tc>
          <w:tcPr>
            <w:tcW w:w="18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5CA55BA2"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sz w:val="22"/>
                <w:szCs w:val="22"/>
              </w:rPr>
              <w:t>0–6 months</w:t>
            </w:r>
          </w:p>
        </w:tc>
        <w:tc>
          <w:tcPr>
            <w:tcW w:w="5426"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4EB93336"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sz w:val="22"/>
                <w:szCs w:val="22"/>
              </w:rPr>
              <w:t>Complete outstanding Ockenden essential actions; confirm Board-level maternity safety champions; launch initial PDSA cycles on escalation protocols in a single unit.</w:t>
            </w:r>
          </w:p>
        </w:tc>
      </w:tr>
      <w:tr w:rsidR="00B10CDF" w:rsidRPr="00B10CDF" w14:paraId="63E76078" w14:textId="77777777">
        <w:tc>
          <w:tcPr>
            <w:tcW w:w="18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266D1CB6"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b/>
                <w:bCs/>
                <w:sz w:val="22"/>
                <w:szCs w:val="22"/>
              </w:rPr>
              <w:t>Medium term</w:t>
            </w:r>
          </w:p>
        </w:tc>
        <w:tc>
          <w:tcPr>
            <w:tcW w:w="18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42F32B96"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sz w:val="22"/>
                <w:szCs w:val="22"/>
              </w:rPr>
              <w:t>6–18 months</w:t>
            </w:r>
          </w:p>
        </w:tc>
        <w:tc>
          <w:tcPr>
            <w:tcW w:w="5426"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05DBFF8C"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sz w:val="22"/>
                <w:szCs w:val="22"/>
              </w:rPr>
              <w:t>Standardise successful PDSA changes trust-wide using Lean value-stream mapping; complete PSIRF implementation; strengthen Freedom to Speak Up monitoring.</w:t>
            </w:r>
          </w:p>
        </w:tc>
      </w:tr>
      <w:tr w:rsidR="00B10CDF" w:rsidRPr="00B10CDF" w14:paraId="62914098" w14:textId="77777777">
        <w:tc>
          <w:tcPr>
            <w:tcW w:w="18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3E6CC7CA"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b/>
                <w:bCs/>
                <w:sz w:val="22"/>
                <w:szCs w:val="22"/>
              </w:rPr>
              <w:t>Long term</w:t>
            </w:r>
          </w:p>
        </w:tc>
        <w:tc>
          <w:tcPr>
            <w:tcW w:w="18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6E39754F"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sz w:val="22"/>
                <w:szCs w:val="22"/>
              </w:rPr>
              <w:t>18–36 months</w:t>
            </w:r>
          </w:p>
        </w:tc>
        <w:tc>
          <w:tcPr>
            <w:tcW w:w="5426"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vAlign w:val="center"/>
            <w:hideMark/>
          </w:tcPr>
          <w:p w14:paraId="2D564B3D" w14:textId="77777777" w:rsidR="00B10CDF" w:rsidRPr="00B10CDF" w:rsidRDefault="00B10CDF" w:rsidP="00B10CDF">
            <w:pPr>
              <w:spacing w:after="200" w:line="360" w:lineRule="auto"/>
              <w:jc w:val="center"/>
              <w:rPr>
                <w:rFonts w:ascii="Arial" w:eastAsia="Arial" w:hAnsi="Arial" w:cs="Arial"/>
                <w:sz w:val="22"/>
                <w:szCs w:val="22"/>
              </w:rPr>
            </w:pPr>
            <w:r w:rsidRPr="00B10CDF">
              <w:rPr>
                <w:rFonts w:ascii="Arial" w:eastAsia="Arial" w:hAnsi="Arial" w:cs="Arial"/>
                <w:sz w:val="22"/>
                <w:szCs w:val="22"/>
              </w:rPr>
              <w:t>Embed continuous-improvement culture with routine PDSA/Lean-Six Sigma activity, transparent incident learning and family involvement; independent CQC assurance.</w:t>
            </w:r>
          </w:p>
        </w:tc>
      </w:tr>
    </w:tbl>
    <w:p w14:paraId="7967F476" w14:textId="13E3DCA3" w:rsidR="00B10CDF" w:rsidRPr="00B10CDF" w:rsidRDefault="00B10CDF" w:rsidP="00B10CDF">
      <w:pPr>
        <w:spacing w:after="200" w:line="360" w:lineRule="auto"/>
        <w:jc w:val="center"/>
        <w:rPr>
          <w:rFonts w:ascii="Arial" w:eastAsia="Arial" w:hAnsi="Arial" w:cs="Arial"/>
          <w:sz w:val="22"/>
          <w:szCs w:val="22"/>
        </w:rPr>
      </w:pPr>
      <w:proofErr w:type="gramStart"/>
      <w:r w:rsidRPr="00B10CDF">
        <w:rPr>
          <w:rFonts w:ascii="Arial" w:eastAsia="Arial" w:hAnsi="Arial" w:cs="Arial"/>
          <w:i/>
          <w:iCs/>
          <w:sz w:val="22"/>
          <w:szCs w:val="22"/>
        </w:rPr>
        <w:t>Table :</w:t>
      </w:r>
      <w:proofErr w:type="gramEnd"/>
      <w:r w:rsidRPr="00B10CDF">
        <w:rPr>
          <w:rFonts w:ascii="Arial" w:eastAsia="Arial" w:hAnsi="Arial" w:cs="Arial"/>
          <w:i/>
          <w:iCs/>
          <w:sz w:val="22"/>
          <w:szCs w:val="22"/>
        </w:rPr>
        <w:t xml:space="preserve"> Phased implementation strategy for embedding sustainable quality improvement at </w:t>
      </w:r>
      <w:proofErr w:type="spellStart"/>
      <w:r w:rsidRPr="00B10CDF">
        <w:rPr>
          <w:rFonts w:ascii="Arial" w:eastAsia="Arial" w:hAnsi="Arial" w:cs="Arial"/>
          <w:i/>
          <w:iCs/>
          <w:sz w:val="22"/>
          <w:szCs w:val="22"/>
        </w:rPr>
        <w:t>SaTH</w:t>
      </w:r>
      <w:proofErr w:type="spellEnd"/>
      <w:r w:rsidRPr="00B10CDF">
        <w:rPr>
          <w:rFonts w:ascii="Arial" w:eastAsia="Arial" w:hAnsi="Arial" w:cs="Arial"/>
          <w:i/>
          <w:iCs/>
          <w:sz w:val="22"/>
          <w:szCs w:val="22"/>
        </w:rPr>
        <w:t>.</w:t>
      </w:r>
    </w:p>
    <w:p w14:paraId="13426127" w14:textId="77777777" w:rsidR="008F7DB1" w:rsidRPr="008F7DB1" w:rsidRDefault="008F7DB1">
      <w:pPr>
        <w:spacing w:after="200" w:line="360" w:lineRule="auto"/>
        <w:jc w:val="both"/>
        <w:rPr>
          <w:rFonts w:ascii="Arial" w:eastAsia="Arial" w:hAnsi="Arial" w:cs="Arial"/>
        </w:rPr>
      </w:pPr>
    </w:p>
    <w:p w14:paraId="3216C9EA" w14:textId="77777777" w:rsidR="008F7DB1" w:rsidRPr="008F7DB1" w:rsidRDefault="008F7DB1">
      <w:pPr>
        <w:spacing w:after="200" w:line="360" w:lineRule="auto"/>
        <w:jc w:val="both"/>
        <w:rPr>
          <w:rFonts w:ascii="Arial" w:eastAsia="Arial" w:hAnsi="Arial" w:cs="Arial"/>
        </w:rPr>
      </w:pPr>
    </w:p>
    <w:p w14:paraId="35386DE7" w14:textId="77777777" w:rsidR="008F7DB1" w:rsidRPr="008F7DB1" w:rsidRDefault="008F7DB1">
      <w:pPr>
        <w:spacing w:after="200" w:line="360" w:lineRule="auto"/>
        <w:jc w:val="both"/>
        <w:rPr>
          <w:rFonts w:ascii="Arial" w:eastAsia="Arial" w:hAnsi="Arial" w:cs="Arial"/>
        </w:rPr>
      </w:pPr>
    </w:p>
    <w:p w14:paraId="49C7CBF2" w14:textId="77777777" w:rsidR="008F7DB1" w:rsidRPr="008F7DB1" w:rsidRDefault="008F7DB1">
      <w:pPr>
        <w:spacing w:after="200" w:line="360" w:lineRule="auto"/>
        <w:jc w:val="both"/>
        <w:rPr>
          <w:rFonts w:ascii="Arial" w:eastAsia="Arial" w:hAnsi="Arial" w:cs="Arial"/>
        </w:rPr>
      </w:pPr>
    </w:p>
    <w:p w14:paraId="28A27A15" w14:textId="77777777" w:rsidR="008F7DB1" w:rsidRPr="008F7DB1" w:rsidRDefault="008F7DB1">
      <w:pPr>
        <w:spacing w:after="200" w:line="360" w:lineRule="auto"/>
        <w:jc w:val="both"/>
        <w:rPr>
          <w:rFonts w:ascii="Arial" w:eastAsia="Arial" w:hAnsi="Arial" w:cs="Arial"/>
        </w:rPr>
      </w:pPr>
    </w:p>
    <w:p w14:paraId="33FFE136" w14:textId="77777777" w:rsidR="008F7DB1" w:rsidRDefault="008F7DB1">
      <w:pPr>
        <w:spacing w:after="200" w:line="360" w:lineRule="auto"/>
        <w:jc w:val="both"/>
        <w:rPr>
          <w:rFonts w:ascii="Arial" w:eastAsia="Arial" w:hAnsi="Arial" w:cs="Arial"/>
        </w:rPr>
      </w:pPr>
    </w:p>
    <w:p w14:paraId="7EF690C4" w14:textId="77777777" w:rsidR="00B10CDF" w:rsidRDefault="00B10CDF">
      <w:pPr>
        <w:spacing w:after="200" w:line="360" w:lineRule="auto"/>
        <w:jc w:val="both"/>
        <w:rPr>
          <w:rFonts w:ascii="Arial" w:eastAsia="Arial" w:hAnsi="Arial" w:cs="Arial"/>
        </w:rPr>
      </w:pPr>
    </w:p>
    <w:p w14:paraId="692095F1" w14:textId="77777777" w:rsidR="00B10CDF" w:rsidRPr="008F7DB1" w:rsidRDefault="00B10CDF">
      <w:pPr>
        <w:spacing w:after="200" w:line="360" w:lineRule="auto"/>
        <w:jc w:val="both"/>
        <w:rPr>
          <w:sz w:val="18"/>
          <w:szCs w:val="18"/>
        </w:rPr>
      </w:pPr>
    </w:p>
    <w:p w14:paraId="57BC52DC" w14:textId="77777777" w:rsidR="009D1D4E" w:rsidRPr="008F7DB1" w:rsidRDefault="00201EB7">
      <w:pPr>
        <w:pStyle w:val="Heading1"/>
        <w:spacing w:before="300" w:after="200" w:line="360" w:lineRule="auto"/>
        <w:rPr>
          <w:sz w:val="28"/>
          <w:szCs w:val="28"/>
        </w:rPr>
      </w:pPr>
      <w:bookmarkStart w:id="14" w:name="_Toc236399748"/>
      <w:r w:rsidRPr="008F7DB1">
        <w:rPr>
          <w:rFonts w:ascii="Arial" w:eastAsia="Arial" w:hAnsi="Arial" w:cs="Arial"/>
          <w:b/>
          <w:bCs/>
          <w:sz w:val="24"/>
          <w:szCs w:val="24"/>
        </w:rPr>
        <w:lastRenderedPageBreak/>
        <w:t>4. Conclusion</w:t>
      </w:r>
      <w:bookmarkEnd w:id="14"/>
    </w:p>
    <w:p w14:paraId="5E643C41" w14:textId="77777777" w:rsidR="008F7DB1" w:rsidRPr="008F7DB1" w:rsidRDefault="008F7DB1" w:rsidP="008F7DB1">
      <w:pPr>
        <w:spacing w:line="360" w:lineRule="auto"/>
        <w:jc w:val="both"/>
        <w:rPr>
          <w:rFonts w:ascii="Arial" w:eastAsia="Arial" w:hAnsi="Arial" w:cs="Arial"/>
          <w:sz w:val="22"/>
          <w:szCs w:val="22"/>
        </w:rPr>
      </w:pPr>
      <w:r w:rsidRPr="008F7DB1">
        <w:rPr>
          <w:rFonts w:ascii="Arial" w:eastAsia="Arial" w:hAnsi="Arial" w:cs="Arial"/>
          <w:sz w:val="22"/>
          <w:szCs w:val="22"/>
        </w:rPr>
        <w:t xml:space="preserve">The Shrewsbury and Telford Hospital NHS Trust </w:t>
      </w:r>
      <w:proofErr w:type="gramStart"/>
      <w:r w:rsidRPr="008F7DB1">
        <w:rPr>
          <w:rFonts w:ascii="Arial" w:eastAsia="Arial" w:hAnsi="Arial" w:cs="Arial"/>
          <w:sz w:val="22"/>
          <w:szCs w:val="22"/>
        </w:rPr>
        <w:t>has</w:t>
      </w:r>
      <w:proofErr w:type="gramEnd"/>
      <w:r w:rsidRPr="008F7DB1">
        <w:rPr>
          <w:rFonts w:ascii="Arial" w:eastAsia="Arial" w:hAnsi="Arial" w:cs="Arial"/>
          <w:sz w:val="22"/>
          <w:szCs w:val="22"/>
        </w:rPr>
        <w:t xml:space="preserve"> been used as the case study in this report to analyse failures of maternity and neonatal services as an example of the systemic failure of quality assurance. The Swiss Cheese Model and Root Cause Analysis identified that patient harm occurred due to the alignment of multiple organisational defensive actions and failures, rather than isolated clinical failures in governance, clinical process and incident learning (Reason, 2000; Ockenden, 2022). The Donabedian model revealed that the failures stemmed from a failure to </w:t>
      </w:r>
      <w:proofErr w:type="spellStart"/>
      <w:r w:rsidRPr="008F7DB1">
        <w:rPr>
          <w:rFonts w:ascii="Arial" w:eastAsia="Arial" w:hAnsi="Arial" w:cs="Arial"/>
          <w:sz w:val="22"/>
          <w:szCs w:val="22"/>
        </w:rPr>
        <w:t>resourcesthe</w:t>
      </w:r>
      <w:proofErr w:type="spellEnd"/>
      <w:r w:rsidRPr="008F7DB1">
        <w:rPr>
          <w:rFonts w:ascii="Arial" w:eastAsia="Arial" w:hAnsi="Arial" w:cs="Arial"/>
          <w:sz w:val="22"/>
          <w:szCs w:val="22"/>
        </w:rPr>
        <w:t xml:space="preserve"> system structurally which impaired the clinical process and ultimately resulted in unnecessary harm to the outcomes, and the SWOT analysis placed these failures within a national strategic conversation of a genuine, but incomplete national reform. Further critical engagement with the literature from the RCA showed that the investigative processes which were put in place to prevent such failures were often substandard, both nationally (Peerally et al., 2017; </w:t>
      </w:r>
      <w:proofErr w:type="spellStart"/>
      <w:r w:rsidRPr="008F7DB1">
        <w:rPr>
          <w:rFonts w:ascii="Arial" w:eastAsia="Arial" w:hAnsi="Arial" w:cs="Arial"/>
          <w:sz w:val="22"/>
          <w:szCs w:val="22"/>
        </w:rPr>
        <w:t>Percarpio</w:t>
      </w:r>
      <w:proofErr w:type="spellEnd"/>
      <w:r w:rsidRPr="008F7DB1">
        <w:rPr>
          <w:rFonts w:ascii="Arial" w:eastAsia="Arial" w:hAnsi="Arial" w:cs="Arial"/>
          <w:sz w:val="22"/>
          <w:szCs w:val="22"/>
        </w:rPr>
        <w:t xml:space="preserve">, Watts and Weeks, 2008) and at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(Ockenden, 2022).</w:t>
      </w:r>
    </w:p>
    <w:p w14:paraId="61A44ECD" w14:textId="466876EF" w:rsidR="009D1D4E" w:rsidRPr="008F7DB1" w:rsidRDefault="008F7DB1" w:rsidP="008F7DB1">
      <w:pPr>
        <w:spacing w:line="360" w:lineRule="auto"/>
        <w:jc w:val="both"/>
        <w:rPr>
          <w:sz w:val="18"/>
          <w:szCs w:val="18"/>
        </w:rPr>
      </w:pPr>
      <w:r w:rsidRPr="008F7DB1">
        <w:rPr>
          <w:rFonts w:ascii="Arial" w:eastAsia="Arial" w:hAnsi="Arial" w:cs="Arial"/>
          <w:sz w:val="22"/>
          <w:szCs w:val="22"/>
        </w:rPr>
        <w:t xml:space="preserve">The policy analysis revealed that national strengths in the implementation of clinical governance, Duty of Candour and Freedom to Speak Up were at an equal level of weakness with </w:t>
      </w:r>
      <w:proofErr w:type="spellStart"/>
      <w:r w:rsidRPr="008F7DB1">
        <w:rPr>
          <w:rFonts w:ascii="Arial" w:eastAsia="Arial" w:hAnsi="Arial" w:cs="Arial"/>
          <w:sz w:val="22"/>
          <w:szCs w:val="22"/>
        </w:rPr>
        <w:t>SaTH</w:t>
      </w:r>
      <w:proofErr w:type="spellEnd"/>
      <w:r w:rsidRPr="008F7DB1">
        <w:rPr>
          <w:rFonts w:ascii="Arial" w:eastAsia="Arial" w:hAnsi="Arial" w:cs="Arial"/>
          <w:sz w:val="22"/>
          <w:szCs w:val="22"/>
        </w:rPr>
        <w:t xml:space="preserve"> and that improvements must go beyond any one Trust if sustainable improvements are to be made. There are consequently recommendations for a combination of structural, cultural and methodological change: enhanced governance and accountability; iterative testing of clinical and escalation pathways using PDSA; standardisation of high-risk processes using Lean and Six Sigma; and a truly open and family centred safety culture. It is essential that lessons are learnt from the maternity scandal in Shrewsbury and Telford, which not only should help to ensure that it does not happen again in the local area, but also to build on the quality assurance systems that should help protect mothers and babies from other NHS maternity services more generally.</w:t>
      </w:r>
      <w:r w:rsidR="00201EB7" w:rsidRPr="008F7DB1">
        <w:rPr>
          <w:sz w:val="18"/>
          <w:szCs w:val="18"/>
        </w:rPr>
        <w:br w:type="page"/>
      </w:r>
    </w:p>
    <w:p w14:paraId="776FF712" w14:textId="77777777" w:rsidR="009D1D4E" w:rsidRPr="008F7DB1" w:rsidRDefault="00201EB7">
      <w:pPr>
        <w:pStyle w:val="Heading1"/>
        <w:spacing w:before="300" w:after="200" w:line="360" w:lineRule="auto"/>
        <w:rPr>
          <w:sz w:val="28"/>
          <w:szCs w:val="28"/>
        </w:rPr>
      </w:pPr>
      <w:bookmarkStart w:id="15" w:name="_Toc236399749"/>
      <w:r w:rsidRPr="008F7DB1">
        <w:rPr>
          <w:rFonts w:ascii="Arial" w:eastAsia="Arial" w:hAnsi="Arial" w:cs="Arial"/>
          <w:b/>
          <w:bCs/>
          <w:sz w:val="24"/>
          <w:szCs w:val="24"/>
        </w:rPr>
        <w:lastRenderedPageBreak/>
        <w:t>Reference List</w:t>
      </w:r>
      <w:bookmarkEnd w:id="15"/>
    </w:p>
    <w:p w14:paraId="1D665D42" w14:textId="77777777" w:rsidR="009D1D4E" w:rsidRPr="00B10CDF" w:rsidRDefault="00201EB7">
      <w:pPr>
        <w:spacing w:after="160" w:line="360" w:lineRule="auto"/>
        <w:ind w:left="720" w:hanging="720"/>
      </w:pPr>
      <w:r w:rsidRPr="00B10CDF">
        <w:rPr>
          <w:rFonts w:ascii="Arial" w:eastAsia="Arial" w:hAnsi="Arial" w:cs="Arial"/>
          <w:sz w:val="22"/>
          <w:szCs w:val="22"/>
        </w:rPr>
        <w:t>Care Quality Commission (2023) Freedom to Speak Up: Raising Concerns. London: Care Quality Commission.</w:t>
      </w:r>
    </w:p>
    <w:p w14:paraId="7B148038" w14:textId="77777777" w:rsidR="009D1D4E" w:rsidRPr="00B10CDF" w:rsidRDefault="00201EB7">
      <w:pPr>
        <w:spacing w:after="160" w:line="360" w:lineRule="auto"/>
        <w:ind w:left="720" w:hanging="720"/>
      </w:pPr>
      <w:r w:rsidRPr="00B10CDF">
        <w:rPr>
          <w:rFonts w:ascii="Arial" w:eastAsia="Arial" w:hAnsi="Arial" w:cs="Arial"/>
          <w:sz w:val="22"/>
          <w:szCs w:val="22"/>
        </w:rPr>
        <w:t>Donabedian, A. (1966) 'Evaluating the quality of medical care', Milbank Memorial Fund Quarterly, 44(3), Part 2, pp. 166–206.</w:t>
      </w:r>
    </w:p>
    <w:p w14:paraId="5C87DCFA" w14:textId="77777777" w:rsidR="009D1D4E" w:rsidRPr="00B10CDF" w:rsidRDefault="00201EB7">
      <w:pPr>
        <w:spacing w:after="160" w:line="360" w:lineRule="auto"/>
        <w:ind w:left="720" w:hanging="720"/>
      </w:pPr>
      <w:r w:rsidRPr="00B10CDF">
        <w:rPr>
          <w:rFonts w:ascii="Arial" w:eastAsia="Arial" w:hAnsi="Arial" w:cs="Arial"/>
          <w:sz w:val="22"/>
          <w:szCs w:val="22"/>
        </w:rPr>
        <w:t>Institute of Medicine (2001) Crossing the Quality Chasm: A New Health System for the 21st Century. Washington, DC: National Academies Press.</w:t>
      </w:r>
    </w:p>
    <w:p w14:paraId="63354DBE" w14:textId="77777777" w:rsidR="009D1D4E" w:rsidRPr="00B10CDF" w:rsidRDefault="00201EB7">
      <w:pPr>
        <w:spacing w:after="160" w:line="360" w:lineRule="auto"/>
        <w:ind w:left="720" w:hanging="720"/>
      </w:pPr>
      <w:r w:rsidRPr="00B10CDF">
        <w:rPr>
          <w:rFonts w:ascii="Arial" w:eastAsia="Arial" w:hAnsi="Arial" w:cs="Arial"/>
          <w:sz w:val="22"/>
          <w:szCs w:val="22"/>
        </w:rPr>
        <w:t xml:space="preserve">Langley, G.J., Nolan, K.M., Nolan, T.W., Norman, C.L. and Provost, L.P. (2009) The Improvement Guide: A Practical Approach to Enhancing Organizational Performance. 2nd </w:t>
      </w:r>
      <w:proofErr w:type="spellStart"/>
      <w:r w:rsidRPr="00B10CDF">
        <w:rPr>
          <w:rFonts w:ascii="Arial" w:eastAsia="Arial" w:hAnsi="Arial" w:cs="Arial"/>
          <w:sz w:val="22"/>
          <w:szCs w:val="22"/>
        </w:rPr>
        <w:t>edn</w:t>
      </w:r>
      <w:proofErr w:type="spellEnd"/>
      <w:r w:rsidRPr="00B10CDF">
        <w:rPr>
          <w:rFonts w:ascii="Arial" w:eastAsia="Arial" w:hAnsi="Arial" w:cs="Arial"/>
          <w:sz w:val="22"/>
          <w:szCs w:val="22"/>
        </w:rPr>
        <w:t>. San Francisco, CA: Jossey-Bass.</w:t>
      </w:r>
    </w:p>
    <w:p w14:paraId="0EF45395" w14:textId="77777777" w:rsidR="009D1D4E" w:rsidRPr="00B10CDF" w:rsidRDefault="00201EB7">
      <w:pPr>
        <w:spacing w:after="160" w:line="360" w:lineRule="auto"/>
        <w:ind w:left="720" w:hanging="720"/>
      </w:pPr>
      <w:r w:rsidRPr="00B10CDF">
        <w:rPr>
          <w:rFonts w:ascii="Arial" w:eastAsia="Arial" w:hAnsi="Arial" w:cs="Arial"/>
          <w:sz w:val="22"/>
          <w:szCs w:val="22"/>
        </w:rPr>
        <w:t>McNicholas, C., Lennox, L., Woodcock, T., Bell, D. and Reed, J.E. (2019) 'Evolving quality improvement support strategies to improve Plan–Do–Study–Act cycle fidelity: a retrospective mixed-methods study', BMJ Quality &amp; Safety, 28(5), pp. 356–365.</w:t>
      </w:r>
    </w:p>
    <w:p w14:paraId="4E3741A3" w14:textId="77777777" w:rsidR="009D1D4E" w:rsidRPr="00B10CDF" w:rsidRDefault="00201EB7">
      <w:pPr>
        <w:spacing w:after="160" w:line="360" w:lineRule="auto"/>
        <w:ind w:left="720" w:hanging="720"/>
      </w:pPr>
      <w:r w:rsidRPr="00B10CDF">
        <w:rPr>
          <w:rFonts w:ascii="Arial" w:eastAsia="Arial" w:hAnsi="Arial" w:cs="Arial"/>
          <w:sz w:val="22"/>
          <w:szCs w:val="22"/>
        </w:rPr>
        <w:t>National Guardian's Office (2023) Freedom to Speak Up: Guidance for Organisations. London: National Guardian's Office.</w:t>
      </w:r>
    </w:p>
    <w:p w14:paraId="38DDE122" w14:textId="77777777" w:rsidR="009D1D4E" w:rsidRPr="00B10CDF" w:rsidRDefault="00201EB7">
      <w:pPr>
        <w:spacing w:after="160" w:line="360" w:lineRule="auto"/>
        <w:ind w:left="720" w:hanging="720"/>
      </w:pPr>
      <w:r w:rsidRPr="00B10CDF">
        <w:rPr>
          <w:rFonts w:ascii="Arial" w:eastAsia="Arial" w:hAnsi="Arial" w:cs="Arial"/>
          <w:sz w:val="22"/>
          <w:szCs w:val="22"/>
        </w:rPr>
        <w:t>National Institute for Health and Care Excellence (2023) Intrapartum Care. NICE Guideline [NG235]. London: NICE.</w:t>
      </w:r>
    </w:p>
    <w:p w14:paraId="3312A3CD" w14:textId="77777777" w:rsidR="009D1D4E" w:rsidRPr="00B10CDF" w:rsidRDefault="00201EB7">
      <w:pPr>
        <w:spacing w:after="160" w:line="360" w:lineRule="auto"/>
        <w:ind w:left="720" w:hanging="720"/>
      </w:pPr>
      <w:r w:rsidRPr="00B10CDF">
        <w:rPr>
          <w:rFonts w:ascii="Arial" w:eastAsia="Arial" w:hAnsi="Arial" w:cs="Arial"/>
          <w:sz w:val="22"/>
          <w:szCs w:val="22"/>
        </w:rPr>
        <w:t>NHS England (2022) Patient Safety Incident Response Framework (PSIRF): Supporting Guidance. London: NHS England.</w:t>
      </w:r>
    </w:p>
    <w:p w14:paraId="6D22D021" w14:textId="77777777" w:rsidR="009D1D4E" w:rsidRPr="00B10CDF" w:rsidRDefault="00201EB7">
      <w:pPr>
        <w:spacing w:after="160" w:line="360" w:lineRule="auto"/>
        <w:ind w:left="720" w:hanging="720"/>
      </w:pPr>
      <w:r w:rsidRPr="00B10CDF">
        <w:rPr>
          <w:rFonts w:ascii="Arial" w:eastAsia="Arial" w:hAnsi="Arial" w:cs="Arial"/>
          <w:sz w:val="22"/>
          <w:szCs w:val="22"/>
        </w:rPr>
        <w:t xml:space="preserve">NHS England (2023) </w:t>
      </w:r>
      <w:proofErr w:type="gramStart"/>
      <w:r w:rsidRPr="00B10CDF">
        <w:rPr>
          <w:rFonts w:ascii="Arial" w:eastAsia="Arial" w:hAnsi="Arial" w:cs="Arial"/>
          <w:sz w:val="22"/>
          <w:szCs w:val="22"/>
        </w:rPr>
        <w:t>Three Year</w:t>
      </w:r>
      <w:proofErr w:type="gramEnd"/>
      <w:r w:rsidRPr="00B10CDF">
        <w:rPr>
          <w:rFonts w:ascii="Arial" w:eastAsia="Arial" w:hAnsi="Arial" w:cs="Arial"/>
          <w:sz w:val="22"/>
          <w:szCs w:val="22"/>
        </w:rPr>
        <w:t xml:space="preserve"> Delivery Plan for Maternity and Neonatal Services. London: NHS England.</w:t>
      </w:r>
    </w:p>
    <w:p w14:paraId="6B9767F7" w14:textId="77777777" w:rsidR="009D1D4E" w:rsidRPr="00B10CDF" w:rsidRDefault="00201EB7">
      <w:pPr>
        <w:spacing w:after="160" w:line="360" w:lineRule="auto"/>
        <w:ind w:left="720" w:hanging="720"/>
      </w:pPr>
      <w:r w:rsidRPr="00B10CDF">
        <w:rPr>
          <w:rFonts w:ascii="Arial" w:eastAsia="Arial" w:hAnsi="Arial" w:cs="Arial"/>
          <w:sz w:val="22"/>
          <w:szCs w:val="22"/>
        </w:rPr>
        <w:t>NHS England and NHS Improvement (2021) Plan, Do, Study, Act (PDSA) Cycles and the Model for Improvement. Online Library of Quality, Service Improvement and Redesign Tools. Available at: https://www.england.nhs.uk (Accessed: 31 July 2026).</w:t>
      </w:r>
    </w:p>
    <w:p w14:paraId="2A7C50D0" w14:textId="77777777" w:rsidR="009D1D4E" w:rsidRPr="00B10CDF" w:rsidRDefault="00201EB7">
      <w:pPr>
        <w:spacing w:after="160" w:line="360" w:lineRule="auto"/>
        <w:ind w:left="720" w:hanging="720"/>
      </w:pPr>
      <w:proofErr w:type="spellStart"/>
      <w:r w:rsidRPr="00B10CDF">
        <w:rPr>
          <w:rFonts w:ascii="Arial" w:eastAsia="Arial" w:hAnsi="Arial" w:cs="Arial"/>
          <w:sz w:val="22"/>
          <w:szCs w:val="22"/>
        </w:rPr>
        <w:t>Niñerola</w:t>
      </w:r>
      <w:proofErr w:type="spellEnd"/>
      <w:r w:rsidRPr="00B10CDF">
        <w:rPr>
          <w:rFonts w:ascii="Arial" w:eastAsia="Arial" w:hAnsi="Arial" w:cs="Arial"/>
          <w:sz w:val="22"/>
          <w:szCs w:val="22"/>
        </w:rPr>
        <w:t>, A., Sánchez-</w:t>
      </w:r>
      <w:proofErr w:type="spellStart"/>
      <w:r w:rsidRPr="00B10CDF">
        <w:rPr>
          <w:rFonts w:ascii="Arial" w:eastAsia="Arial" w:hAnsi="Arial" w:cs="Arial"/>
          <w:sz w:val="22"/>
          <w:szCs w:val="22"/>
        </w:rPr>
        <w:t>Rebull</w:t>
      </w:r>
      <w:proofErr w:type="spellEnd"/>
      <w:r w:rsidRPr="00B10CDF">
        <w:rPr>
          <w:rFonts w:ascii="Arial" w:eastAsia="Arial" w:hAnsi="Arial" w:cs="Arial"/>
          <w:sz w:val="22"/>
          <w:szCs w:val="22"/>
        </w:rPr>
        <w:t>, M.V. and Hernández-Lara, A.B. (2020) 'Quality improvement in healthcare: Six Sigma systematic review', Health Policy, 124(4), pp. 438–445.</w:t>
      </w:r>
    </w:p>
    <w:p w14:paraId="7E350C8E" w14:textId="77777777" w:rsidR="009D1D4E" w:rsidRPr="00B10CDF" w:rsidRDefault="00201EB7">
      <w:pPr>
        <w:spacing w:after="160" w:line="360" w:lineRule="auto"/>
        <w:ind w:left="720" w:hanging="720"/>
      </w:pPr>
      <w:r w:rsidRPr="00B10CDF">
        <w:rPr>
          <w:rFonts w:ascii="Arial" w:eastAsia="Arial" w:hAnsi="Arial" w:cs="Arial"/>
          <w:sz w:val="22"/>
          <w:szCs w:val="22"/>
        </w:rPr>
        <w:t>Ockenden, D. (2022) Findings, Conclusions and Essential Actions from the Independent Review of Maternity Services at The Shrewsbury and Telford Hospital NHS Trust. London: Crown Copyright.</w:t>
      </w:r>
    </w:p>
    <w:p w14:paraId="542FB159" w14:textId="77777777" w:rsidR="009D1D4E" w:rsidRPr="00B10CDF" w:rsidRDefault="00201EB7">
      <w:pPr>
        <w:spacing w:after="160" w:line="360" w:lineRule="auto"/>
        <w:ind w:left="720" w:hanging="720"/>
      </w:pPr>
      <w:r w:rsidRPr="00B10CDF">
        <w:rPr>
          <w:rFonts w:ascii="Arial" w:eastAsia="Arial" w:hAnsi="Arial" w:cs="Arial"/>
          <w:sz w:val="22"/>
          <w:szCs w:val="22"/>
        </w:rPr>
        <w:t>Peerally, M.F., Carr, S., Waring, J. and Dixon-Woods, M. (2017) 'The problem with root cause analysis', BMJ Quality &amp; Safety, 26(5), pp. 417–422.</w:t>
      </w:r>
    </w:p>
    <w:p w14:paraId="44B396A6" w14:textId="77777777" w:rsidR="009D1D4E" w:rsidRPr="00B10CDF" w:rsidRDefault="00201EB7">
      <w:pPr>
        <w:spacing w:after="160" w:line="360" w:lineRule="auto"/>
        <w:ind w:left="720" w:hanging="720"/>
      </w:pPr>
      <w:proofErr w:type="spellStart"/>
      <w:r w:rsidRPr="00B10CDF">
        <w:rPr>
          <w:rFonts w:ascii="Arial" w:eastAsia="Arial" w:hAnsi="Arial" w:cs="Arial"/>
          <w:sz w:val="22"/>
          <w:szCs w:val="22"/>
        </w:rPr>
        <w:lastRenderedPageBreak/>
        <w:t>Percarpio</w:t>
      </w:r>
      <w:proofErr w:type="spellEnd"/>
      <w:r w:rsidRPr="00B10CDF">
        <w:rPr>
          <w:rFonts w:ascii="Arial" w:eastAsia="Arial" w:hAnsi="Arial" w:cs="Arial"/>
          <w:sz w:val="22"/>
          <w:szCs w:val="22"/>
        </w:rPr>
        <w:t>, K.B., Watts, B.V. and Weeks, W.B. (2008) 'The effectiveness of root cause analysis: what does the literature tell us?', Joint Commission Journal on Quality and Patient Safety, 34(7), pp. 391–398.</w:t>
      </w:r>
    </w:p>
    <w:p w14:paraId="38A726B0" w14:textId="77777777" w:rsidR="009D1D4E" w:rsidRPr="00B10CDF" w:rsidRDefault="00201EB7">
      <w:pPr>
        <w:spacing w:after="160" w:line="360" w:lineRule="auto"/>
        <w:ind w:left="720" w:hanging="720"/>
      </w:pPr>
      <w:r w:rsidRPr="00B10CDF">
        <w:rPr>
          <w:rFonts w:ascii="Arial" w:eastAsia="Arial" w:hAnsi="Arial" w:cs="Arial"/>
          <w:sz w:val="22"/>
          <w:szCs w:val="22"/>
        </w:rPr>
        <w:t>Reason, J. (2000) 'Human error: models and management', BMJ, 320(7237), pp. 768–770.</w:t>
      </w:r>
    </w:p>
    <w:p w14:paraId="7F83F33E" w14:textId="77777777" w:rsidR="009D1D4E" w:rsidRPr="00B10CDF" w:rsidRDefault="00201EB7">
      <w:pPr>
        <w:spacing w:after="160" w:line="360" w:lineRule="auto"/>
        <w:ind w:left="720" w:hanging="720"/>
      </w:pPr>
      <w:r w:rsidRPr="00B10CDF">
        <w:rPr>
          <w:rFonts w:ascii="Arial" w:eastAsia="Arial" w:hAnsi="Arial" w:cs="Arial"/>
          <w:sz w:val="22"/>
          <w:szCs w:val="22"/>
        </w:rPr>
        <w:t>Royal College of Midwives (2024) Midwives Give 100,000 Hours of Free Labour to the NHS Per Week to Keep England's Maternity Services Safe. London: Royal College of Midwives.</w:t>
      </w:r>
    </w:p>
    <w:p w14:paraId="04179267" w14:textId="77777777" w:rsidR="009D1D4E" w:rsidRPr="00B10CDF" w:rsidRDefault="00201EB7">
      <w:pPr>
        <w:spacing w:after="160" w:line="360" w:lineRule="auto"/>
        <w:ind w:left="720" w:hanging="720"/>
      </w:pPr>
      <w:r w:rsidRPr="00B10CDF">
        <w:rPr>
          <w:rFonts w:ascii="Arial" w:eastAsia="Arial" w:hAnsi="Arial" w:cs="Arial"/>
          <w:sz w:val="22"/>
          <w:szCs w:val="22"/>
        </w:rPr>
        <w:t>Royal College of Obstetricians and Gynaecologists (2022) Dark Day for Maternity Services as RCOG Responds to the Final Ockenden Review. London: Royal College of Obstetricians and Gynaecologists.</w:t>
      </w:r>
    </w:p>
    <w:p w14:paraId="17583D15" w14:textId="77777777" w:rsidR="009D1D4E" w:rsidRPr="00B10CDF" w:rsidRDefault="00201EB7">
      <w:pPr>
        <w:spacing w:after="160" w:line="360" w:lineRule="auto"/>
        <w:ind w:left="720" w:hanging="720"/>
      </w:pPr>
      <w:r w:rsidRPr="00B10CDF">
        <w:rPr>
          <w:rFonts w:ascii="Arial" w:eastAsia="Arial" w:hAnsi="Arial" w:cs="Arial"/>
          <w:sz w:val="22"/>
          <w:szCs w:val="22"/>
        </w:rPr>
        <w:t>Scally, G. and Donaldson, L.J. (1998) 'Clinical governance and the drive for quality improvement in the new NHS in England', BMJ, 317(7150), pp. 61–65.</w:t>
      </w:r>
    </w:p>
    <w:p w14:paraId="2F2C02EE" w14:textId="77777777" w:rsidR="009D1D4E" w:rsidRPr="00B10CDF" w:rsidRDefault="00201EB7">
      <w:pPr>
        <w:spacing w:after="160" w:line="360" w:lineRule="auto"/>
        <w:ind w:left="720" w:hanging="720"/>
      </w:pPr>
      <w:proofErr w:type="spellStart"/>
      <w:r w:rsidRPr="00B10CDF">
        <w:rPr>
          <w:rFonts w:ascii="Arial" w:eastAsia="Arial" w:hAnsi="Arial" w:cs="Arial"/>
          <w:sz w:val="22"/>
          <w:szCs w:val="22"/>
        </w:rPr>
        <w:t>Tossaint-Schoenmakers</w:t>
      </w:r>
      <w:proofErr w:type="spellEnd"/>
      <w:r w:rsidRPr="00B10CDF">
        <w:rPr>
          <w:rFonts w:ascii="Arial" w:eastAsia="Arial" w:hAnsi="Arial" w:cs="Arial"/>
          <w:sz w:val="22"/>
          <w:szCs w:val="22"/>
        </w:rPr>
        <w:t xml:space="preserve">, R., Versluis, A., Chavannes, N., </w:t>
      </w:r>
      <w:proofErr w:type="spellStart"/>
      <w:r w:rsidRPr="00B10CDF">
        <w:rPr>
          <w:rFonts w:ascii="Arial" w:eastAsia="Arial" w:hAnsi="Arial" w:cs="Arial"/>
          <w:sz w:val="22"/>
          <w:szCs w:val="22"/>
        </w:rPr>
        <w:t>Talboom</w:t>
      </w:r>
      <w:proofErr w:type="spellEnd"/>
      <w:r w:rsidRPr="00B10CDF">
        <w:rPr>
          <w:rFonts w:ascii="Arial" w:eastAsia="Arial" w:hAnsi="Arial" w:cs="Arial"/>
          <w:sz w:val="22"/>
          <w:szCs w:val="22"/>
        </w:rPr>
        <w:t xml:space="preserve">-Kamp, E. and </w:t>
      </w:r>
      <w:proofErr w:type="spellStart"/>
      <w:r w:rsidRPr="00B10CDF">
        <w:rPr>
          <w:rFonts w:ascii="Arial" w:eastAsia="Arial" w:hAnsi="Arial" w:cs="Arial"/>
          <w:sz w:val="22"/>
          <w:szCs w:val="22"/>
        </w:rPr>
        <w:t>Kasteleyn</w:t>
      </w:r>
      <w:proofErr w:type="spellEnd"/>
      <w:r w:rsidRPr="00B10CDF">
        <w:rPr>
          <w:rFonts w:ascii="Arial" w:eastAsia="Arial" w:hAnsi="Arial" w:cs="Arial"/>
          <w:sz w:val="22"/>
          <w:szCs w:val="22"/>
        </w:rPr>
        <w:t>, M. (2021) 'The challenge of integrating eHealth into health care: systematic literature review of the Donabedian model of structure, process, and outcome', Journal of Medical Internet Research, 23(5), e27180.</w:t>
      </w:r>
    </w:p>
    <w:p w14:paraId="4679360F" w14:textId="77777777" w:rsidR="009D1D4E" w:rsidRPr="00B10CDF" w:rsidRDefault="00201EB7">
      <w:pPr>
        <w:spacing w:after="160" w:line="360" w:lineRule="auto"/>
        <w:ind w:left="720" w:hanging="720"/>
      </w:pPr>
      <w:r w:rsidRPr="00B10CDF">
        <w:rPr>
          <w:rFonts w:ascii="Arial" w:eastAsia="Arial" w:hAnsi="Arial" w:cs="Arial"/>
          <w:sz w:val="22"/>
          <w:szCs w:val="22"/>
        </w:rPr>
        <w:t>World Health Organization (2021) Global Patient Safety Action Plan 2021–2030: Towards Eliminating Avoidable Harm in Health Care. Geneva: WHO.</w:t>
      </w:r>
    </w:p>
    <w:p w14:paraId="331BAFDF" w14:textId="77777777" w:rsidR="009D1D4E" w:rsidRPr="00B10CDF" w:rsidRDefault="00201EB7">
      <w:pPr>
        <w:spacing w:after="160" w:line="360" w:lineRule="auto"/>
        <w:ind w:left="720" w:hanging="720"/>
      </w:pPr>
      <w:r w:rsidRPr="00B10CDF">
        <w:rPr>
          <w:rFonts w:ascii="Arial" w:eastAsia="Arial" w:hAnsi="Arial" w:cs="Arial"/>
          <w:sz w:val="22"/>
          <w:szCs w:val="22"/>
        </w:rPr>
        <w:t>World Health Organization (2023) Patient Safety. Geneva: WHO.</w:t>
      </w:r>
    </w:p>
    <w:p w14:paraId="4836D05C" w14:textId="77777777" w:rsidR="009D1D4E" w:rsidRPr="00B10CDF" w:rsidRDefault="00201EB7">
      <w:pPr>
        <w:spacing w:after="160" w:line="360" w:lineRule="auto"/>
        <w:ind w:left="720" w:hanging="720"/>
      </w:pPr>
      <w:r w:rsidRPr="00B10CDF">
        <w:rPr>
          <w:rFonts w:ascii="Arial" w:eastAsia="Arial" w:hAnsi="Arial" w:cs="Arial"/>
          <w:sz w:val="22"/>
          <w:szCs w:val="22"/>
        </w:rPr>
        <w:t>World Health Organization (2024) Quality of Care. Geneva: WHO.</w:t>
      </w:r>
    </w:p>
    <w:sectPr w:rsidR="009D1D4E" w:rsidRPr="00B10CDF">
      <w:headerReference w:type="default" r:id="rId9"/>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CF37B" w14:textId="77777777" w:rsidR="00201EB7" w:rsidRDefault="00201EB7">
      <w:r>
        <w:separator/>
      </w:r>
    </w:p>
  </w:endnote>
  <w:endnote w:type="continuationSeparator" w:id="0">
    <w:p w14:paraId="3F59481D" w14:textId="77777777" w:rsidR="00201EB7" w:rsidRDefault="00201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74347" w14:textId="77777777" w:rsidR="009D1D4E" w:rsidRDefault="00201EB7">
    <w:pPr>
      <w:jc w:val="center"/>
    </w:pPr>
    <w:r>
      <w:rPr>
        <w:rFonts w:ascii="Arial" w:eastAsia="Arial" w:hAnsi="Arial" w:cs="Arial"/>
        <w:sz w:val="18"/>
        <w:szCs w:val="18"/>
      </w:rPr>
      <w:t xml:space="preserve">Page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8D05BB">
      <w:rPr>
        <w:rFonts w:ascii="Arial" w:eastAsia="Arial" w:hAnsi="Arial" w:cs="Arial"/>
        <w:noProof/>
        <w:sz w:val="18"/>
        <w:szCs w:val="18"/>
      </w:rPr>
      <w:t>1</w:t>
    </w:r>
    <w:r>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2221B" w14:textId="77777777" w:rsidR="00201EB7" w:rsidRDefault="00201EB7">
      <w:r>
        <w:separator/>
      </w:r>
    </w:p>
  </w:footnote>
  <w:footnote w:type="continuationSeparator" w:id="0">
    <w:p w14:paraId="55E08393" w14:textId="77777777" w:rsidR="00201EB7" w:rsidRDefault="00201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A990" w14:textId="657BF113" w:rsidR="009D1D4E" w:rsidRDefault="009D1D4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71903"/>
    <w:multiLevelType w:val="hybridMultilevel"/>
    <w:tmpl w:val="1BEE0200"/>
    <w:lvl w:ilvl="0" w:tplc="1806E864">
      <w:start w:val="1"/>
      <w:numFmt w:val="bullet"/>
      <w:lvlText w:val="●"/>
      <w:lvlJc w:val="left"/>
      <w:pPr>
        <w:ind w:left="720" w:hanging="360"/>
      </w:pPr>
    </w:lvl>
    <w:lvl w:ilvl="1" w:tplc="D670FFFC">
      <w:start w:val="1"/>
      <w:numFmt w:val="bullet"/>
      <w:lvlText w:val="○"/>
      <w:lvlJc w:val="left"/>
      <w:pPr>
        <w:ind w:left="1440" w:hanging="360"/>
      </w:pPr>
    </w:lvl>
    <w:lvl w:ilvl="2" w:tplc="35767D68">
      <w:start w:val="1"/>
      <w:numFmt w:val="bullet"/>
      <w:lvlText w:val="■"/>
      <w:lvlJc w:val="left"/>
      <w:pPr>
        <w:ind w:left="2160" w:hanging="360"/>
      </w:pPr>
    </w:lvl>
    <w:lvl w:ilvl="3" w:tplc="7C0EA1EE">
      <w:start w:val="1"/>
      <w:numFmt w:val="bullet"/>
      <w:lvlText w:val="●"/>
      <w:lvlJc w:val="left"/>
      <w:pPr>
        <w:ind w:left="2880" w:hanging="360"/>
      </w:pPr>
    </w:lvl>
    <w:lvl w:ilvl="4" w:tplc="B0589846">
      <w:start w:val="1"/>
      <w:numFmt w:val="bullet"/>
      <w:lvlText w:val="○"/>
      <w:lvlJc w:val="left"/>
      <w:pPr>
        <w:ind w:left="3600" w:hanging="360"/>
      </w:pPr>
    </w:lvl>
    <w:lvl w:ilvl="5" w:tplc="4016DEF8">
      <w:start w:val="1"/>
      <w:numFmt w:val="bullet"/>
      <w:lvlText w:val="■"/>
      <w:lvlJc w:val="left"/>
      <w:pPr>
        <w:ind w:left="4320" w:hanging="360"/>
      </w:pPr>
    </w:lvl>
    <w:lvl w:ilvl="6" w:tplc="4A8C29B6">
      <w:start w:val="1"/>
      <w:numFmt w:val="bullet"/>
      <w:lvlText w:val="●"/>
      <w:lvlJc w:val="left"/>
      <w:pPr>
        <w:ind w:left="5040" w:hanging="360"/>
      </w:pPr>
    </w:lvl>
    <w:lvl w:ilvl="7" w:tplc="8716BFEC">
      <w:start w:val="1"/>
      <w:numFmt w:val="bullet"/>
      <w:lvlText w:val="●"/>
      <w:lvlJc w:val="left"/>
      <w:pPr>
        <w:ind w:left="5760" w:hanging="360"/>
      </w:pPr>
    </w:lvl>
    <w:lvl w:ilvl="8" w:tplc="528412D8">
      <w:start w:val="1"/>
      <w:numFmt w:val="bullet"/>
      <w:lvlText w:val="●"/>
      <w:lvlJc w:val="left"/>
      <w:pPr>
        <w:ind w:left="6480" w:hanging="360"/>
      </w:pPr>
    </w:lvl>
  </w:abstractNum>
  <w:num w:numId="1" w16cid:durableId="4764559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D4E"/>
    <w:rsid w:val="00201EB7"/>
    <w:rsid w:val="00850C96"/>
    <w:rsid w:val="008D05BB"/>
    <w:rsid w:val="008F7DB1"/>
    <w:rsid w:val="009D1D4E"/>
    <w:rsid w:val="00B10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F2699"/>
  <w15:docId w15:val="{565F44C8-D15D-470A-B622-A71A5E4EB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D05BB"/>
    <w:pPr>
      <w:tabs>
        <w:tab w:val="center" w:pos="4513"/>
        <w:tab w:val="right" w:pos="9026"/>
      </w:tabs>
    </w:pPr>
  </w:style>
  <w:style w:type="character" w:customStyle="1" w:styleId="HeaderChar">
    <w:name w:val="Header Char"/>
    <w:basedOn w:val="DefaultParagraphFont"/>
    <w:link w:val="Header"/>
    <w:uiPriority w:val="99"/>
    <w:rsid w:val="008D05BB"/>
  </w:style>
  <w:style w:type="paragraph" w:styleId="Footer">
    <w:name w:val="footer"/>
    <w:basedOn w:val="Normal"/>
    <w:link w:val="FooterChar"/>
    <w:uiPriority w:val="99"/>
    <w:unhideWhenUsed/>
    <w:rsid w:val="008D05BB"/>
    <w:pPr>
      <w:tabs>
        <w:tab w:val="center" w:pos="4513"/>
        <w:tab w:val="right" w:pos="9026"/>
      </w:tabs>
    </w:pPr>
  </w:style>
  <w:style w:type="character" w:customStyle="1" w:styleId="FooterChar">
    <w:name w:val="Footer Char"/>
    <w:basedOn w:val="DefaultParagraphFont"/>
    <w:link w:val="Footer"/>
    <w:uiPriority w:val="99"/>
    <w:rsid w:val="008D05BB"/>
  </w:style>
  <w:style w:type="paragraph" w:styleId="TOCHeading">
    <w:name w:val="TOC Heading"/>
    <w:basedOn w:val="Heading1"/>
    <w:next w:val="Normal"/>
    <w:uiPriority w:val="39"/>
    <w:unhideWhenUsed/>
    <w:qFormat/>
    <w:rsid w:val="00B10CDF"/>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B10CDF"/>
    <w:pPr>
      <w:spacing w:after="100"/>
    </w:pPr>
  </w:style>
  <w:style w:type="paragraph" w:styleId="TOC2">
    <w:name w:val="toc 2"/>
    <w:basedOn w:val="Normal"/>
    <w:next w:val="Normal"/>
    <w:autoRedefine/>
    <w:uiPriority w:val="39"/>
    <w:unhideWhenUsed/>
    <w:rsid w:val="00B10CDF"/>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AF9F7-74FA-45B6-9B52-F7F7C097E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3679</Words>
  <Characters>20971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Sumaiya Samanta</cp:lastModifiedBy>
  <cp:revision>2</cp:revision>
  <dcterms:created xsi:type="dcterms:W3CDTF">2026-07-31T08:19:00Z</dcterms:created>
  <dcterms:modified xsi:type="dcterms:W3CDTF">2026-07-31T08:19:00Z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b0a35774-03bb-4b39-8f1d-3e8cbcfad58b</vt:lpwstr>
  </property>
</Properties>
</file>