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8EE45" w14:textId="77777777" w:rsidR="005106B1" w:rsidRDefault="005106B1" w:rsidP="005106B1">
      <w:pPr>
        <w:jc w:val="both"/>
        <w:rPr>
          <w:lang w:val="en-US"/>
        </w:rPr>
      </w:pPr>
      <w:r>
        <w:rPr>
          <w:noProof/>
        </w:rPr>
        <w:drawing>
          <wp:inline distT="0" distB="0" distL="0" distR="0" wp14:anchorId="5A31954E" wp14:editId="70ADA5AC">
            <wp:extent cx="2095500" cy="695325"/>
            <wp:effectExtent l="0" t="0" r="0" b="9525"/>
            <wp:docPr id="144565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65519" name="Picture 144565519"/>
                    <pic:cNvPicPr/>
                  </pic:nvPicPr>
                  <pic:blipFill>
                    <a:blip r:embed="rId6">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1389A2CA" w14:textId="6EA0480F" w:rsidR="005106B1" w:rsidRDefault="005106B1" w:rsidP="005106B1">
      <w:pPr>
        <w:jc w:val="both"/>
        <w:rPr>
          <w:rFonts w:ascii="Arial Black" w:hAnsi="Arial Black"/>
          <w:b/>
          <w:bCs/>
          <w:sz w:val="32"/>
          <w:szCs w:val="32"/>
          <w:lang w:val="en-US"/>
        </w:rPr>
      </w:pPr>
      <w:r>
        <w:rPr>
          <w:rFonts w:ascii="Arial Black" w:hAnsi="Arial Black"/>
          <w:b/>
          <w:bCs/>
          <w:sz w:val="32"/>
          <w:szCs w:val="32"/>
          <w:lang w:val="en-US"/>
        </w:rPr>
        <w:t xml:space="preserve">Student name: </w:t>
      </w:r>
      <w:r>
        <w:rPr>
          <w:rFonts w:ascii="Arial Black" w:hAnsi="Arial Black"/>
          <w:b/>
          <w:bCs/>
          <w:sz w:val="32"/>
          <w:szCs w:val="32"/>
          <w:lang w:val="en-US"/>
        </w:rPr>
        <w:t xml:space="preserve">Jitesh </w:t>
      </w:r>
      <w:proofErr w:type="spellStart"/>
      <w:r>
        <w:rPr>
          <w:rFonts w:ascii="Arial Black" w:hAnsi="Arial Black"/>
          <w:b/>
          <w:bCs/>
          <w:sz w:val="32"/>
          <w:szCs w:val="32"/>
          <w:lang w:val="en-US"/>
        </w:rPr>
        <w:t>Bhupendrabhai</w:t>
      </w:r>
      <w:proofErr w:type="spellEnd"/>
      <w:r>
        <w:rPr>
          <w:rFonts w:ascii="Arial Black" w:hAnsi="Arial Black"/>
          <w:b/>
          <w:bCs/>
          <w:sz w:val="32"/>
          <w:szCs w:val="32"/>
          <w:lang w:val="en-US"/>
        </w:rPr>
        <w:t xml:space="preserve"> Patel</w:t>
      </w:r>
    </w:p>
    <w:p w14:paraId="2236CB11" w14:textId="65100454" w:rsidR="005106B1" w:rsidRDefault="005106B1" w:rsidP="005106B1">
      <w:pPr>
        <w:jc w:val="both"/>
        <w:rPr>
          <w:rFonts w:ascii="Arial Black" w:hAnsi="Arial Black"/>
          <w:b/>
          <w:bCs/>
          <w:sz w:val="32"/>
          <w:szCs w:val="32"/>
          <w:lang w:val="en-US"/>
        </w:rPr>
      </w:pPr>
      <w:r>
        <w:rPr>
          <w:rFonts w:ascii="Arial Black" w:hAnsi="Arial Black"/>
          <w:b/>
          <w:bCs/>
          <w:sz w:val="32"/>
          <w:szCs w:val="32"/>
          <w:lang w:val="en-US"/>
        </w:rPr>
        <w:t>Student ID number: 224</w:t>
      </w:r>
      <w:r>
        <w:rPr>
          <w:rFonts w:ascii="Arial Black" w:hAnsi="Arial Black"/>
          <w:b/>
          <w:bCs/>
          <w:sz w:val="32"/>
          <w:szCs w:val="32"/>
          <w:lang w:val="en-US"/>
        </w:rPr>
        <w:t>5307</w:t>
      </w:r>
    </w:p>
    <w:p w14:paraId="20AAE3AC" w14:textId="77777777" w:rsidR="005106B1" w:rsidRPr="00DE6000" w:rsidRDefault="005106B1" w:rsidP="005106B1">
      <w:pPr>
        <w:pStyle w:val="IntenseQuote"/>
        <w:jc w:val="both"/>
        <w:rPr>
          <w:b/>
          <w:bCs/>
          <w:sz w:val="28"/>
          <w:szCs w:val="28"/>
          <w:lang w:val="en-US"/>
        </w:rPr>
      </w:pPr>
    </w:p>
    <w:p w14:paraId="56ECF0CF" w14:textId="77777777" w:rsidR="005106B1" w:rsidRPr="00DE6000" w:rsidRDefault="005106B1" w:rsidP="005106B1">
      <w:pPr>
        <w:pStyle w:val="IntenseQuote"/>
        <w:jc w:val="both"/>
        <w:rPr>
          <w:b/>
          <w:bCs/>
          <w:sz w:val="28"/>
          <w:szCs w:val="28"/>
          <w:lang w:val="en-US"/>
        </w:rPr>
      </w:pPr>
      <w:r>
        <w:rPr>
          <w:b/>
          <w:bCs/>
          <w:sz w:val="28"/>
          <w:szCs w:val="28"/>
          <w:lang w:val="en-US"/>
        </w:rPr>
        <w:t>Program</w:t>
      </w:r>
      <w:r w:rsidRPr="00DE6000">
        <w:rPr>
          <w:b/>
          <w:bCs/>
          <w:sz w:val="28"/>
          <w:szCs w:val="28"/>
          <w:lang w:val="en-US"/>
        </w:rPr>
        <w:t>:   MASTER OF BUSINESS MANAGEMENT</w:t>
      </w:r>
    </w:p>
    <w:p w14:paraId="5ADF1F4C" w14:textId="77777777" w:rsidR="005106B1" w:rsidRPr="00DE6000" w:rsidRDefault="005106B1" w:rsidP="005106B1">
      <w:pPr>
        <w:pStyle w:val="IntenseQuote"/>
        <w:jc w:val="both"/>
        <w:rPr>
          <w:b/>
          <w:bCs/>
          <w:sz w:val="28"/>
          <w:szCs w:val="28"/>
          <w:lang w:val="en-US"/>
        </w:rPr>
      </w:pPr>
      <w:r w:rsidRPr="00DE6000">
        <w:rPr>
          <w:b/>
          <w:bCs/>
          <w:sz w:val="28"/>
          <w:szCs w:val="28"/>
          <w:lang w:val="en-US"/>
        </w:rPr>
        <w:t xml:space="preserve">Module: </w:t>
      </w:r>
      <w:r>
        <w:rPr>
          <w:b/>
          <w:bCs/>
          <w:sz w:val="28"/>
          <w:szCs w:val="28"/>
          <w:lang w:val="en-US"/>
        </w:rPr>
        <w:t xml:space="preserve"> </w:t>
      </w:r>
      <w:r w:rsidRPr="00DE6000">
        <w:rPr>
          <w:b/>
          <w:bCs/>
          <w:sz w:val="28"/>
          <w:szCs w:val="28"/>
          <w:lang w:val="en-US"/>
        </w:rPr>
        <w:t xml:space="preserve"> HUMAN RESOURCE MANAGEMENT</w:t>
      </w:r>
    </w:p>
    <w:p w14:paraId="3CC0883E" w14:textId="77777777" w:rsidR="005106B1" w:rsidRPr="00DE6000" w:rsidRDefault="005106B1" w:rsidP="005106B1">
      <w:pPr>
        <w:pStyle w:val="IntenseQuote"/>
        <w:jc w:val="both"/>
        <w:rPr>
          <w:b/>
          <w:bCs/>
          <w:sz w:val="28"/>
          <w:szCs w:val="28"/>
          <w:lang w:val="en-US"/>
        </w:rPr>
      </w:pPr>
      <w:r w:rsidRPr="00DE6000">
        <w:rPr>
          <w:b/>
          <w:bCs/>
          <w:sz w:val="28"/>
          <w:szCs w:val="28"/>
          <w:lang w:val="en-US"/>
        </w:rPr>
        <w:t>Module code:</w:t>
      </w:r>
      <w:r>
        <w:rPr>
          <w:b/>
          <w:bCs/>
          <w:sz w:val="28"/>
          <w:szCs w:val="28"/>
          <w:lang w:val="en-US"/>
        </w:rPr>
        <w:t xml:space="preserve"> </w:t>
      </w:r>
      <w:r w:rsidRPr="00DE6000">
        <w:rPr>
          <w:b/>
          <w:bCs/>
          <w:sz w:val="28"/>
          <w:szCs w:val="28"/>
          <w:lang w:val="en-US"/>
        </w:rPr>
        <w:t xml:space="preserve"> LCMB7000</w:t>
      </w:r>
    </w:p>
    <w:p w14:paraId="41378000" w14:textId="77777777" w:rsidR="005106B1" w:rsidRDefault="005106B1" w:rsidP="005106B1">
      <w:pPr>
        <w:pStyle w:val="IntenseQuote"/>
        <w:jc w:val="both"/>
        <w:rPr>
          <w:b/>
          <w:bCs/>
          <w:sz w:val="28"/>
          <w:szCs w:val="28"/>
          <w:lang w:val="en-US"/>
        </w:rPr>
      </w:pPr>
      <w:r w:rsidRPr="00DE6000">
        <w:rPr>
          <w:b/>
          <w:bCs/>
          <w:sz w:val="28"/>
          <w:szCs w:val="28"/>
          <w:lang w:val="en-US"/>
        </w:rPr>
        <w:t>Lecturer: Prof DENNIS G PEPPLE</w:t>
      </w:r>
    </w:p>
    <w:p w14:paraId="093652CD" w14:textId="77777777" w:rsidR="005106B1" w:rsidRPr="00DE6000" w:rsidRDefault="005106B1" w:rsidP="005106B1">
      <w:pPr>
        <w:rPr>
          <w:lang w:val="en-US"/>
        </w:rPr>
      </w:pPr>
    </w:p>
    <w:p w14:paraId="657346B7" w14:textId="74EAFA61" w:rsidR="005106B1" w:rsidRDefault="005106B1" w:rsidP="005106B1">
      <w:pPr>
        <w:rPr>
          <w:lang w:val="en-US"/>
        </w:rPr>
      </w:pPr>
    </w:p>
    <w:p w14:paraId="75944BC7" w14:textId="77777777" w:rsidR="005106B1" w:rsidRDefault="005106B1">
      <w:pPr>
        <w:rPr>
          <w:lang w:val="en-US"/>
        </w:rPr>
      </w:pPr>
      <w:r>
        <w:rPr>
          <w:lang w:val="en-US"/>
        </w:rPr>
        <w:br w:type="page"/>
      </w:r>
    </w:p>
    <w:p w14:paraId="0D6546F3" w14:textId="624CBD79" w:rsidR="005106B1" w:rsidRDefault="005106B1" w:rsidP="005106B1">
      <w:pPr>
        <w:pStyle w:val="ListParagraph"/>
        <w:numPr>
          <w:ilvl w:val="0"/>
          <w:numId w:val="1"/>
        </w:numPr>
        <w:jc w:val="center"/>
        <w:rPr>
          <w:rFonts w:ascii="Arial" w:hAnsi="Arial" w:cs="Arial"/>
          <w:b/>
          <w:i/>
          <w:iCs/>
          <w:sz w:val="36"/>
          <w:szCs w:val="36"/>
          <w:u w:val="single"/>
        </w:rPr>
      </w:pPr>
      <w:r w:rsidRPr="005106B1">
        <w:rPr>
          <w:rFonts w:ascii="Arial" w:hAnsi="Arial" w:cs="Arial"/>
          <w:b/>
          <w:i/>
          <w:iCs/>
          <w:sz w:val="36"/>
          <w:szCs w:val="36"/>
          <w:u w:val="single"/>
        </w:rPr>
        <w:lastRenderedPageBreak/>
        <w:t>How does HR in the private sector differ from HR in the public sector</w:t>
      </w:r>
    </w:p>
    <w:p w14:paraId="6B438C11" w14:textId="77777777" w:rsidR="005106B1" w:rsidRPr="005106B1" w:rsidRDefault="005106B1" w:rsidP="005106B1">
      <w:pPr>
        <w:pStyle w:val="ListParagraph"/>
        <w:rPr>
          <w:rFonts w:ascii="Arial" w:hAnsi="Arial" w:cs="Arial"/>
          <w:b/>
          <w:i/>
          <w:iCs/>
          <w:sz w:val="36"/>
          <w:szCs w:val="36"/>
          <w:u w:val="single"/>
        </w:rPr>
      </w:pPr>
    </w:p>
    <w:p w14:paraId="327606AD" w14:textId="77777777" w:rsidR="005106B1" w:rsidRPr="005106B1" w:rsidRDefault="005106B1" w:rsidP="005106B1">
      <w:pPr>
        <w:jc w:val="both"/>
        <w:rPr>
          <w:b/>
          <w:bCs/>
          <w:i/>
          <w:iCs/>
          <w:u w:val="single"/>
          <w:lang w:val="en-US"/>
        </w:rPr>
      </w:pPr>
    </w:p>
    <w:p w14:paraId="038793BD" w14:textId="0EA8800E" w:rsidR="005106B1" w:rsidRDefault="005106B1" w:rsidP="005106B1">
      <w:pPr>
        <w:jc w:val="both"/>
        <w:rPr>
          <w:rFonts w:ascii="Arial" w:hAnsi="Arial" w:cs="Arial"/>
          <w:bCs/>
        </w:rPr>
      </w:pPr>
      <w:r>
        <w:rPr>
          <w:rFonts w:ascii="Arial" w:hAnsi="Arial" w:cs="Arial"/>
          <w:bCs/>
        </w:rPr>
        <w:t xml:space="preserve">Due to the structure of their distinct </w:t>
      </w:r>
      <w:r>
        <w:rPr>
          <w:rFonts w:ascii="Arial" w:hAnsi="Arial" w:cs="Arial"/>
          <w:bCs/>
        </w:rPr>
        <w:t>organizations</w:t>
      </w:r>
      <w:r>
        <w:rPr>
          <w:rFonts w:ascii="Arial" w:hAnsi="Arial" w:cs="Arial"/>
          <w:bCs/>
        </w:rPr>
        <w:t>, objectives, and legal frameworks, the human resources (HR) activities in the commercial and public sectors vary significantly from one another. Here are a few significant distinctions between human resources in the public sector and the commercial sector:</w:t>
      </w:r>
    </w:p>
    <w:p w14:paraId="033B7190" w14:textId="77777777" w:rsidR="005106B1" w:rsidRDefault="005106B1" w:rsidP="005106B1">
      <w:pPr>
        <w:ind w:left="360"/>
        <w:jc w:val="both"/>
        <w:rPr>
          <w:rFonts w:ascii="Arial" w:hAnsi="Arial" w:cs="Arial"/>
          <w:bCs/>
        </w:rPr>
      </w:pPr>
    </w:p>
    <w:p w14:paraId="1A8041C2" w14:textId="3D7FF0CF" w:rsidR="005106B1" w:rsidRDefault="005106B1" w:rsidP="005106B1">
      <w:pPr>
        <w:pStyle w:val="ListParagraph"/>
        <w:numPr>
          <w:ilvl w:val="0"/>
          <w:numId w:val="2"/>
        </w:numPr>
        <w:jc w:val="both"/>
        <w:rPr>
          <w:rFonts w:ascii="Arial" w:hAnsi="Arial" w:cs="Arial"/>
          <w:bCs/>
          <w:sz w:val="22"/>
          <w:szCs w:val="22"/>
        </w:rPr>
      </w:pPr>
      <w:r>
        <w:rPr>
          <w:rFonts w:ascii="Arial" w:hAnsi="Arial" w:cs="Arial"/>
          <w:bCs/>
          <w:sz w:val="22"/>
          <w:szCs w:val="22"/>
        </w:rPr>
        <w:t xml:space="preserve">Purpose and Objectives: The private sector seeks to </w:t>
      </w:r>
      <w:r>
        <w:rPr>
          <w:rFonts w:ascii="Arial" w:hAnsi="Arial" w:cs="Arial"/>
          <w:bCs/>
          <w:sz w:val="22"/>
          <w:szCs w:val="22"/>
        </w:rPr>
        <w:t>maximize</w:t>
      </w:r>
      <w:r>
        <w:rPr>
          <w:rFonts w:ascii="Arial" w:hAnsi="Arial" w:cs="Arial"/>
          <w:bCs/>
          <w:sz w:val="22"/>
          <w:szCs w:val="22"/>
        </w:rPr>
        <w:t xml:space="preserve"> financial returns and is mainly motivated by profit &amp; shareholder value. In the private sector, human resources (HR) departments </w:t>
      </w:r>
      <w:r>
        <w:rPr>
          <w:rFonts w:ascii="Arial" w:hAnsi="Arial" w:cs="Arial"/>
          <w:bCs/>
          <w:sz w:val="22"/>
          <w:szCs w:val="22"/>
        </w:rPr>
        <w:t>prioritize</w:t>
      </w:r>
      <w:r>
        <w:rPr>
          <w:rFonts w:ascii="Arial" w:hAnsi="Arial" w:cs="Arial"/>
          <w:bCs/>
          <w:sz w:val="22"/>
          <w:szCs w:val="22"/>
        </w:rPr>
        <w:t xml:space="preserve"> acquiring and keeping top personnel as well as developing competitive advantages. While HR focuses on providing public services effectively, efficiently, and fairly in the private sector, the public sector represents the interests of the general public. Regulation adherence, merit-based hiring, and citizen services are </w:t>
      </w:r>
      <w:r>
        <w:rPr>
          <w:rFonts w:ascii="Arial" w:hAnsi="Arial" w:cs="Arial"/>
          <w:bCs/>
          <w:sz w:val="22"/>
          <w:szCs w:val="22"/>
        </w:rPr>
        <w:t>prioritized</w:t>
      </w:r>
      <w:r>
        <w:rPr>
          <w:rFonts w:ascii="Arial" w:hAnsi="Arial" w:cs="Arial"/>
          <w:bCs/>
          <w:sz w:val="22"/>
          <w:szCs w:val="22"/>
        </w:rPr>
        <w:t xml:space="preserve"> in public sector HR.</w:t>
      </w:r>
    </w:p>
    <w:p w14:paraId="45677BE8" w14:textId="77777777" w:rsidR="005106B1" w:rsidRDefault="005106B1" w:rsidP="005106B1">
      <w:pPr>
        <w:ind w:left="360"/>
        <w:jc w:val="both"/>
        <w:rPr>
          <w:rFonts w:ascii="Arial" w:hAnsi="Arial" w:cs="Arial"/>
          <w:bCs/>
        </w:rPr>
      </w:pPr>
    </w:p>
    <w:p w14:paraId="2E094840" w14:textId="12F8908B" w:rsidR="005106B1" w:rsidRDefault="005106B1" w:rsidP="005106B1">
      <w:pPr>
        <w:pStyle w:val="ListParagraph"/>
        <w:numPr>
          <w:ilvl w:val="0"/>
          <w:numId w:val="2"/>
        </w:numPr>
        <w:jc w:val="both"/>
        <w:rPr>
          <w:rFonts w:ascii="Arial" w:hAnsi="Arial" w:cs="Arial"/>
          <w:bCs/>
          <w:sz w:val="22"/>
          <w:szCs w:val="22"/>
        </w:rPr>
      </w:pPr>
      <w:r>
        <w:rPr>
          <w:rFonts w:ascii="Arial" w:hAnsi="Arial" w:cs="Arial"/>
          <w:bCs/>
          <w:sz w:val="22"/>
          <w:szCs w:val="22"/>
        </w:rPr>
        <w:t xml:space="preserve">Source of </w:t>
      </w:r>
      <w:r>
        <w:rPr>
          <w:rFonts w:ascii="Arial" w:hAnsi="Arial" w:cs="Arial"/>
          <w:bCs/>
          <w:sz w:val="22"/>
          <w:szCs w:val="22"/>
        </w:rPr>
        <w:t>funding</w:t>
      </w:r>
      <w:r>
        <w:rPr>
          <w:rFonts w:ascii="Arial" w:hAnsi="Arial" w:cs="Arial"/>
          <w:bCs/>
          <w:sz w:val="22"/>
          <w:szCs w:val="22"/>
        </w:rPr>
        <w:t xml:space="preserve">: The private sector depends on collecting money from clients or investors to fund operations and expansion. When developing HR plans and </w:t>
      </w:r>
      <w:r>
        <w:rPr>
          <w:rFonts w:ascii="Arial" w:hAnsi="Arial" w:cs="Arial"/>
          <w:bCs/>
          <w:sz w:val="22"/>
          <w:szCs w:val="22"/>
        </w:rPr>
        <w:t>programs</w:t>
      </w:r>
      <w:r>
        <w:rPr>
          <w:rFonts w:ascii="Arial" w:hAnsi="Arial" w:cs="Arial"/>
          <w:bCs/>
          <w:sz w:val="22"/>
          <w:szCs w:val="22"/>
        </w:rPr>
        <w:t>, private sector HR must take cost restraints, market circumstances, and profitability into account. In contrast, taxpayers and budgetary allocations support the public sector. In order to spend public monies responsibly, HR in the public sector has to overcome financial restrictions.</w:t>
      </w:r>
    </w:p>
    <w:p w14:paraId="35259857" w14:textId="77777777" w:rsidR="005106B1" w:rsidRDefault="005106B1" w:rsidP="005106B1">
      <w:pPr>
        <w:ind w:left="360"/>
        <w:jc w:val="both"/>
        <w:rPr>
          <w:rFonts w:ascii="Arial" w:hAnsi="Arial" w:cs="Arial"/>
          <w:bCs/>
        </w:rPr>
      </w:pPr>
    </w:p>
    <w:p w14:paraId="7E521A51" w14:textId="4A2CA8FB" w:rsidR="005106B1" w:rsidRDefault="005106B1" w:rsidP="005106B1">
      <w:pPr>
        <w:pStyle w:val="ListParagraph"/>
        <w:numPr>
          <w:ilvl w:val="0"/>
          <w:numId w:val="2"/>
        </w:numPr>
        <w:jc w:val="both"/>
        <w:rPr>
          <w:rFonts w:ascii="Arial" w:hAnsi="Arial" w:cs="Arial"/>
          <w:bCs/>
          <w:sz w:val="22"/>
          <w:szCs w:val="22"/>
        </w:rPr>
      </w:pPr>
      <w:r>
        <w:rPr>
          <w:rFonts w:ascii="Arial" w:hAnsi="Arial" w:cs="Arial"/>
          <w:bCs/>
          <w:sz w:val="22"/>
          <w:szCs w:val="22"/>
        </w:rPr>
        <w:t xml:space="preserve">Work Conditions and Contracts: The work conditions, contracts, and pay scales of private sector </w:t>
      </w:r>
      <w:r>
        <w:rPr>
          <w:rFonts w:ascii="Arial" w:hAnsi="Arial" w:cs="Arial"/>
          <w:bCs/>
          <w:sz w:val="22"/>
          <w:szCs w:val="22"/>
        </w:rPr>
        <w:t>organizations</w:t>
      </w:r>
      <w:r>
        <w:rPr>
          <w:rFonts w:ascii="Arial" w:hAnsi="Arial" w:cs="Arial"/>
          <w:bCs/>
          <w:sz w:val="22"/>
          <w:szCs w:val="22"/>
        </w:rPr>
        <w:t xml:space="preserve"> are more flexible. Individual employment contracts, variable compensation, and performance-based incentives are issues that HR often handles in the private sector. HR in the public sector functions under a framework that includes civil service laws, collective bargaining contracts, and uniform pay scales. Fairness, equality, and ensuring that all workers have equal opportunity are the main goals of HR in the public sector.</w:t>
      </w:r>
    </w:p>
    <w:p w14:paraId="2EC89807" w14:textId="77777777" w:rsidR="005106B1" w:rsidRDefault="005106B1" w:rsidP="005106B1">
      <w:pPr>
        <w:ind w:left="360"/>
        <w:jc w:val="both"/>
        <w:rPr>
          <w:rFonts w:ascii="Arial" w:hAnsi="Arial" w:cs="Arial"/>
          <w:bCs/>
        </w:rPr>
      </w:pPr>
    </w:p>
    <w:p w14:paraId="607D0F18" w14:textId="53EA9C72" w:rsidR="005106B1" w:rsidRDefault="005106B1" w:rsidP="005106B1">
      <w:pPr>
        <w:pStyle w:val="ListParagraph"/>
        <w:numPr>
          <w:ilvl w:val="0"/>
          <w:numId w:val="2"/>
        </w:numPr>
        <w:jc w:val="both"/>
        <w:rPr>
          <w:rFonts w:ascii="Arial" w:hAnsi="Arial" w:cs="Arial"/>
          <w:bCs/>
          <w:sz w:val="22"/>
          <w:szCs w:val="22"/>
        </w:rPr>
      </w:pPr>
      <w:r>
        <w:rPr>
          <w:rFonts w:ascii="Arial" w:hAnsi="Arial" w:cs="Arial"/>
          <w:bCs/>
          <w:sz w:val="22"/>
          <w:szCs w:val="22"/>
        </w:rPr>
        <w:t xml:space="preserve">Governance and Decision-Making: Private sector </w:t>
      </w:r>
      <w:r>
        <w:rPr>
          <w:rFonts w:ascii="Arial" w:hAnsi="Arial" w:cs="Arial"/>
          <w:bCs/>
          <w:sz w:val="22"/>
          <w:szCs w:val="22"/>
        </w:rPr>
        <w:t>organizations</w:t>
      </w:r>
      <w:r>
        <w:rPr>
          <w:rFonts w:ascii="Arial" w:hAnsi="Arial" w:cs="Arial"/>
          <w:bCs/>
          <w:sz w:val="22"/>
          <w:szCs w:val="22"/>
        </w:rPr>
        <w:t xml:space="preserve"> feature a structure of hierarchy, with senior management or company owners often holding the majority of the decision-making power. In the commercial sector, HR collaborates closely with top leadership and ties its plans to corporate goals. Several parties are involved in decision-making in the public sector, including elected politicians, public servants, and citizen participation. HR in the public sector must comply to legislation, traverse complicated governance frameworks, and strike a balance between the interests of many stakeholders.</w:t>
      </w:r>
    </w:p>
    <w:p w14:paraId="38B901A8" w14:textId="77777777" w:rsidR="005106B1" w:rsidRDefault="005106B1" w:rsidP="005106B1">
      <w:pPr>
        <w:ind w:left="360"/>
        <w:jc w:val="both"/>
        <w:rPr>
          <w:rFonts w:ascii="Arial" w:hAnsi="Arial" w:cs="Arial"/>
          <w:bCs/>
        </w:rPr>
      </w:pPr>
    </w:p>
    <w:p w14:paraId="2C816020" w14:textId="77777777" w:rsidR="005106B1" w:rsidRDefault="005106B1" w:rsidP="005106B1">
      <w:pPr>
        <w:pStyle w:val="ListParagraph"/>
        <w:numPr>
          <w:ilvl w:val="0"/>
          <w:numId w:val="2"/>
        </w:numPr>
        <w:jc w:val="both"/>
        <w:rPr>
          <w:rFonts w:ascii="Arial" w:hAnsi="Arial" w:cs="Arial"/>
          <w:bCs/>
          <w:sz w:val="22"/>
          <w:szCs w:val="22"/>
        </w:rPr>
      </w:pPr>
      <w:r>
        <w:rPr>
          <w:rFonts w:ascii="Arial" w:hAnsi="Arial" w:cs="Arial"/>
          <w:bCs/>
          <w:sz w:val="22"/>
          <w:szCs w:val="22"/>
        </w:rPr>
        <w:t xml:space="preserve">Performance Measures and Evaluation: HR in the private sector often evaluates HR performance using monetary and market-based measures, including return on investment (ROI), revenue per employee, and market share. In the commercial sector, performance assessment is often more quantitative and focused on both individual and team performance. Metrics for HR assessment in the public sector are often connected to the provision of services to the public, efficiency, </w:t>
      </w:r>
      <w:r>
        <w:rPr>
          <w:rFonts w:ascii="Arial" w:hAnsi="Arial" w:cs="Arial"/>
          <w:bCs/>
          <w:sz w:val="22"/>
          <w:szCs w:val="22"/>
        </w:rPr>
        <w:lastRenderedPageBreak/>
        <w:t>effectiveness, and adherence to legal requirements. Through standards for service delivery, compliance audits, and citizen satisfaction surveys, public sector HR assesses performance.</w:t>
      </w:r>
    </w:p>
    <w:p w14:paraId="7A517A26" w14:textId="77777777" w:rsidR="005106B1" w:rsidRDefault="005106B1" w:rsidP="005106B1">
      <w:pPr>
        <w:ind w:left="360"/>
        <w:jc w:val="both"/>
        <w:rPr>
          <w:rFonts w:ascii="Arial" w:hAnsi="Arial" w:cs="Arial"/>
          <w:bCs/>
        </w:rPr>
      </w:pPr>
    </w:p>
    <w:p w14:paraId="22C7EB6F" w14:textId="6F815E0D" w:rsidR="005106B1" w:rsidRDefault="005106B1" w:rsidP="005106B1">
      <w:pPr>
        <w:jc w:val="both"/>
        <w:rPr>
          <w:rFonts w:ascii="Arial" w:hAnsi="Arial" w:cs="Arial"/>
          <w:bCs/>
        </w:rPr>
      </w:pPr>
      <w:r>
        <w:rPr>
          <w:rFonts w:ascii="Arial" w:hAnsi="Arial" w:cs="Arial"/>
          <w:bCs/>
        </w:rPr>
        <w:t xml:space="preserve">It is crucial to keep in mind that these disparities are not absolute and that both sectors may vary depending on the particular industry, </w:t>
      </w:r>
      <w:r>
        <w:rPr>
          <w:rFonts w:ascii="Arial" w:hAnsi="Arial" w:cs="Arial"/>
          <w:bCs/>
        </w:rPr>
        <w:t>organization</w:t>
      </w:r>
      <w:r>
        <w:rPr>
          <w:rFonts w:ascii="Arial" w:hAnsi="Arial" w:cs="Arial"/>
          <w:bCs/>
        </w:rPr>
        <w:t xml:space="preserve"> size, and geographic region. Additionally, as </w:t>
      </w:r>
      <w:r>
        <w:rPr>
          <w:rFonts w:ascii="Arial" w:hAnsi="Arial" w:cs="Arial"/>
          <w:bCs/>
        </w:rPr>
        <w:t>organizations</w:t>
      </w:r>
      <w:r>
        <w:rPr>
          <w:rFonts w:ascii="Arial" w:hAnsi="Arial" w:cs="Arial"/>
          <w:bCs/>
        </w:rPr>
        <w:t xml:space="preserve"> see the importance of implementing successful tactics from both sectors, there are growing initiatives to exchange best </w:t>
      </w:r>
      <w:r>
        <w:rPr>
          <w:rFonts w:ascii="Arial" w:hAnsi="Arial" w:cs="Arial"/>
          <w:bCs/>
        </w:rPr>
        <w:t>practices</w:t>
      </w:r>
      <w:r>
        <w:rPr>
          <w:rFonts w:ascii="Arial" w:hAnsi="Arial" w:cs="Arial"/>
          <w:bCs/>
        </w:rPr>
        <w:t xml:space="preserve"> and use corporate concepts in public sector HR and vice versa.</w:t>
      </w:r>
    </w:p>
    <w:p w14:paraId="6A9FBCE4" w14:textId="77777777" w:rsidR="005106B1" w:rsidRDefault="005106B1" w:rsidP="005106B1">
      <w:pPr>
        <w:ind w:left="360"/>
        <w:jc w:val="both"/>
        <w:rPr>
          <w:rFonts w:ascii="Arial" w:hAnsi="Arial" w:cs="Arial"/>
          <w:bCs/>
        </w:rPr>
      </w:pPr>
    </w:p>
    <w:p w14:paraId="5F31C768" w14:textId="77777777" w:rsidR="00E549D0" w:rsidRDefault="005106B1" w:rsidP="00E549D0">
      <w:pPr>
        <w:jc w:val="both"/>
        <w:rPr>
          <w:rFonts w:ascii="Arial" w:hAnsi="Arial" w:cs="Arial"/>
          <w:bCs/>
        </w:rPr>
      </w:pPr>
      <w:r>
        <w:rPr>
          <w:rFonts w:ascii="Arial" w:hAnsi="Arial" w:cs="Arial"/>
          <w:bCs/>
        </w:rPr>
        <w:t xml:space="preserve">Overall, for HR employees employed in either sector, being aware of these distinctions is essential because it enables them to </w:t>
      </w:r>
      <w:r>
        <w:rPr>
          <w:rFonts w:ascii="Arial" w:hAnsi="Arial" w:cs="Arial"/>
          <w:bCs/>
        </w:rPr>
        <w:t>customize</w:t>
      </w:r>
      <w:r>
        <w:rPr>
          <w:rFonts w:ascii="Arial" w:hAnsi="Arial" w:cs="Arial"/>
          <w:bCs/>
        </w:rPr>
        <w:t xml:space="preserve"> their strategies to meet the particular problems and goals of their </w:t>
      </w:r>
      <w:r>
        <w:rPr>
          <w:rFonts w:ascii="Arial" w:hAnsi="Arial" w:cs="Arial"/>
          <w:bCs/>
        </w:rPr>
        <w:t>organizations</w:t>
      </w:r>
      <w:r>
        <w:rPr>
          <w:rFonts w:ascii="Arial" w:hAnsi="Arial" w:cs="Arial"/>
          <w:bCs/>
        </w:rPr>
        <w:t xml:space="preserve"> and industries.</w:t>
      </w:r>
    </w:p>
    <w:p w14:paraId="5C71DA2E" w14:textId="77777777" w:rsidR="007336A0" w:rsidRPr="007336A0" w:rsidRDefault="007336A0" w:rsidP="007336A0">
      <w:pPr>
        <w:pStyle w:val="ListParagraph"/>
        <w:numPr>
          <w:ilvl w:val="0"/>
          <w:numId w:val="1"/>
        </w:numPr>
        <w:jc w:val="center"/>
        <w:rPr>
          <w:rFonts w:ascii="Arial" w:hAnsi="Arial" w:cs="Arial"/>
          <w:b/>
          <w:i/>
          <w:iCs/>
          <w:sz w:val="36"/>
          <w:szCs w:val="36"/>
          <w:u w:val="single"/>
        </w:rPr>
      </w:pPr>
      <w:r w:rsidRPr="007336A0">
        <w:rPr>
          <w:rFonts w:ascii="Arial" w:hAnsi="Arial" w:cs="Arial"/>
          <w:b/>
          <w:i/>
          <w:iCs/>
          <w:sz w:val="36"/>
          <w:szCs w:val="36"/>
          <w:u w:val="single"/>
        </w:rPr>
        <w:t>How does sector determine the effectiveness of HR strategy</w:t>
      </w:r>
    </w:p>
    <w:p w14:paraId="7102C437" w14:textId="3F05FEDA" w:rsidR="005106B1" w:rsidRPr="007336A0" w:rsidRDefault="005106B1" w:rsidP="007336A0">
      <w:pPr>
        <w:pStyle w:val="ListParagraph"/>
        <w:rPr>
          <w:rFonts w:ascii="Arial" w:hAnsi="Arial" w:cs="Arial"/>
          <w:b/>
          <w:i/>
          <w:iCs/>
          <w:sz w:val="36"/>
          <w:szCs w:val="36"/>
          <w:u w:val="single"/>
        </w:rPr>
      </w:pPr>
    </w:p>
    <w:p w14:paraId="7F17DA17" w14:textId="77777777" w:rsidR="00E549D0" w:rsidRDefault="00E549D0" w:rsidP="00E549D0">
      <w:pPr>
        <w:jc w:val="center"/>
        <w:rPr>
          <w:rFonts w:ascii="Arial" w:hAnsi="Arial" w:cs="Arial"/>
          <w:bCs/>
        </w:rPr>
      </w:pPr>
      <w:r>
        <w:rPr>
          <w:rFonts w:ascii="Arial" w:hAnsi="Arial" w:cs="Arial"/>
          <w:bCs/>
        </w:rPr>
        <w:t>Organisations must examine the success of their HR strategies in order to evaluate the effects of their HR activities and make choices that will increase performance. Through a variety of sector-specific metrics and benchmarks, the efficacy of HR strategy may be assessed. In this section, we will examine how the public sector assesses the efficacy of HR strategy.</w:t>
      </w:r>
    </w:p>
    <w:p w14:paraId="51168ED4" w14:textId="77777777" w:rsidR="00E549D0" w:rsidRDefault="00E549D0" w:rsidP="00E549D0">
      <w:pPr>
        <w:ind w:left="360"/>
        <w:jc w:val="center"/>
        <w:rPr>
          <w:rFonts w:ascii="Arial" w:hAnsi="Arial" w:cs="Arial"/>
          <w:bCs/>
        </w:rPr>
      </w:pPr>
    </w:p>
    <w:p w14:paraId="69723933" w14:textId="77777777" w:rsidR="00E549D0" w:rsidRDefault="00E549D0" w:rsidP="00E549D0">
      <w:pPr>
        <w:pStyle w:val="ListParagraph"/>
        <w:numPr>
          <w:ilvl w:val="0"/>
          <w:numId w:val="5"/>
        </w:numPr>
        <w:jc w:val="center"/>
        <w:rPr>
          <w:rFonts w:ascii="Arial" w:hAnsi="Arial" w:cs="Arial"/>
          <w:bCs/>
          <w:sz w:val="22"/>
          <w:szCs w:val="22"/>
        </w:rPr>
      </w:pPr>
      <w:r>
        <w:rPr>
          <w:rFonts w:ascii="Arial" w:hAnsi="Arial" w:cs="Arial"/>
          <w:bCs/>
          <w:sz w:val="22"/>
          <w:szCs w:val="22"/>
        </w:rPr>
        <w:t>Alignment with Organisational Goals: In the public sector, the efficacy of HR strategy is often assessed in light of how well it fits with the overarching goals and objectives of the institution. The purpose, vision, and principles of the public sector organisation should be supported by and reflected in HR activities. The degree to which the HR strategy meets the unique demands and difficulties of the organisation, improves the delivery of public services, and assists in achieving desired results may be used to measure this alignment.</w:t>
      </w:r>
    </w:p>
    <w:p w14:paraId="5E093FBA" w14:textId="77777777" w:rsidR="00E549D0" w:rsidRDefault="00E549D0" w:rsidP="00E549D0">
      <w:pPr>
        <w:ind w:left="360"/>
        <w:jc w:val="center"/>
        <w:rPr>
          <w:rFonts w:ascii="Arial" w:hAnsi="Arial" w:cs="Arial"/>
          <w:bCs/>
        </w:rPr>
      </w:pPr>
    </w:p>
    <w:p w14:paraId="23DEB97C" w14:textId="77777777" w:rsidR="00E549D0" w:rsidRDefault="00E549D0" w:rsidP="00E549D0">
      <w:pPr>
        <w:pStyle w:val="ListParagraph"/>
        <w:numPr>
          <w:ilvl w:val="0"/>
          <w:numId w:val="5"/>
        </w:numPr>
        <w:jc w:val="center"/>
        <w:rPr>
          <w:rFonts w:ascii="Arial" w:hAnsi="Arial" w:cs="Arial"/>
          <w:bCs/>
          <w:sz w:val="22"/>
          <w:szCs w:val="22"/>
        </w:rPr>
      </w:pPr>
      <w:r>
        <w:rPr>
          <w:rFonts w:ascii="Arial" w:hAnsi="Arial" w:cs="Arial"/>
          <w:bCs/>
          <w:sz w:val="22"/>
          <w:szCs w:val="22"/>
        </w:rPr>
        <w:t>Alignment with Organizational Goals: Adherence to laws, rules, and regulations that control public administration and employment practises provide the foundation upon which the public sector runs. Monitoring compliance with relevant labour laws, civil service rules, inclusion and diversity policies, and other legal obligations is part of evaluating the efficacy of HR strategy. This involves assessing how HR practises support non-discrimination, merit-based hiring, justice, and equal opportunity.</w:t>
      </w:r>
    </w:p>
    <w:p w14:paraId="327E87A4" w14:textId="77777777" w:rsidR="00E549D0" w:rsidRDefault="00E549D0" w:rsidP="00E549D0">
      <w:pPr>
        <w:ind w:left="360"/>
        <w:jc w:val="center"/>
        <w:rPr>
          <w:rFonts w:ascii="Arial" w:hAnsi="Arial" w:cs="Arial"/>
          <w:bCs/>
        </w:rPr>
      </w:pPr>
    </w:p>
    <w:p w14:paraId="3B265DE5" w14:textId="77777777" w:rsidR="00E549D0" w:rsidRDefault="00E549D0" w:rsidP="00E549D0">
      <w:pPr>
        <w:pStyle w:val="ListParagraph"/>
        <w:numPr>
          <w:ilvl w:val="0"/>
          <w:numId w:val="5"/>
        </w:numPr>
        <w:jc w:val="center"/>
        <w:rPr>
          <w:rFonts w:ascii="Arial" w:hAnsi="Arial" w:cs="Arial"/>
          <w:bCs/>
          <w:sz w:val="22"/>
          <w:szCs w:val="22"/>
        </w:rPr>
      </w:pPr>
      <w:r>
        <w:rPr>
          <w:rFonts w:ascii="Arial" w:hAnsi="Arial" w:cs="Arial"/>
          <w:bCs/>
          <w:sz w:val="22"/>
          <w:szCs w:val="22"/>
        </w:rPr>
        <w:t>Talent Acquisition and Retention: In the public sector, attracting and keeping top talent is a crucial component of an efficient HR strategy. Analysing the efficacy and efficiency of hiring procedures, monitoring employee turnover rates, gauging the length of time it takes to fill positions, and evaluating the impact of talent acquisition initiatives in addressing workforce demands are some examples of evaluation criteria. Organisations in the public sector work hard to put the correct individuals in the right places so they can provide services to the public efficiently.</w:t>
      </w:r>
    </w:p>
    <w:p w14:paraId="49ECE053" w14:textId="77777777" w:rsidR="00E549D0" w:rsidRDefault="00E549D0" w:rsidP="00E549D0">
      <w:pPr>
        <w:ind w:left="360"/>
        <w:jc w:val="center"/>
        <w:rPr>
          <w:rFonts w:ascii="Arial" w:hAnsi="Arial" w:cs="Arial"/>
          <w:bCs/>
        </w:rPr>
      </w:pPr>
    </w:p>
    <w:p w14:paraId="1F66AA98" w14:textId="77777777" w:rsidR="00E549D0" w:rsidRDefault="00E549D0" w:rsidP="00E549D0">
      <w:pPr>
        <w:pStyle w:val="ListParagraph"/>
        <w:numPr>
          <w:ilvl w:val="0"/>
          <w:numId w:val="5"/>
        </w:numPr>
        <w:jc w:val="center"/>
        <w:rPr>
          <w:rFonts w:ascii="Arial" w:hAnsi="Arial" w:cs="Arial"/>
          <w:bCs/>
          <w:sz w:val="22"/>
          <w:szCs w:val="22"/>
        </w:rPr>
      </w:pPr>
      <w:r>
        <w:rPr>
          <w:rFonts w:ascii="Arial" w:hAnsi="Arial" w:cs="Arial"/>
          <w:bCs/>
          <w:sz w:val="22"/>
          <w:szCs w:val="22"/>
        </w:rPr>
        <w:lastRenderedPageBreak/>
        <w:t>Employee Engagement and Satisfaction: Measurement of staff satisfaction and engagement is essential for assessing the efficacy of HR practises. Employee focus groups, polls, and performance reviews may provide information about how employees feel about HR activities as well as about their motivation, work satisfaction, and morale. Work-life balance, possibilities for professional advancement, performance feedback methods, and employee recognition programmes are all factors that contribute to employee happiness and may be used to gauge the success of HR strategies.</w:t>
      </w:r>
    </w:p>
    <w:p w14:paraId="40AB45E9" w14:textId="77777777" w:rsidR="00E549D0" w:rsidRDefault="00E549D0" w:rsidP="00E549D0">
      <w:pPr>
        <w:ind w:left="360"/>
        <w:jc w:val="center"/>
        <w:rPr>
          <w:rFonts w:ascii="Arial" w:hAnsi="Arial" w:cs="Arial"/>
          <w:bCs/>
        </w:rPr>
      </w:pPr>
    </w:p>
    <w:p w14:paraId="05A5DA6F" w14:textId="77777777" w:rsidR="00E549D0" w:rsidRDefault="00E549D0" w:rsidP="00E549D0">
      <w:pPr>
        <w:pStyle w:val="ListParagraph"/>
        <w:numPr>
          <w:ilvl w:val="0"/>
          <w:numId w:val="5"/>
        </w:numPr>
        <w:jc w:val="center"/>
        <w:rPr>
          <w:rFonts w:ascii="Arial" w:hAnsi="Arial" w:cs="Arial"/>
          <w:bCs/>
          <w:sz w:val="22"/>
          <w:szCs w:val="22"/>
        </w:rPr>
      </w:pPr>
      <w:r>
        <w:rPr>
          <w:rFonts w:ascii="Arial" w:hAnsi="Arial" w:cs="Arial"/>
          <w:bCs/>
          <w:sz w:val="22"/>
          <w:szCs w:val="22"/>
        </w:rPr>
        <w:t>Performance and Productivity: The public sector measures the effectiveness of HR strategy by looking at how it affects both personal and business performance. Evaluating key performance indicators, also known as KPIs, for service delivery, operational effectiveness, cost-effectiveness, and productivity is part of this process. The efficacy of HR efforts that improve employee performance, skills, and competencies may be assessed using performance metrics and objectives. These initiatives help the organisation achieve its goals.</w:t>
      </w:r>
    </w:p>
    <w:p w14:paraId="46B97F2F" w14:textId="77777777" w:rsidR="00E549D0" w:rsidRDefault="00E549D0" w:rsidP="00E549D0">
      <w:pPr>
        <w:ind w:left="360"/>
        <w:jc w:val="center"/>
        <w:rPr>
          <w:rFonts w:ascii="Arial" w:hAnsi="Arial" w:cs="Arial"/>
          <w:bCs/>
        </w:rPr>
      </w:pPr>
    </w:p>
    <w:p w14:paraId="55510404" w14:textId="77777777" w:rsidR="00E549D0" w:rsidRDefault="00E549D0" w:rsidP="00E549D0">
      <w:pPr>
        <w:pStyle w:val="ListParagraph"/>
        <w:numPr>
          <w:ilvl w:val="0"/>
          <w:numId w:val="5"/>
        </w:numPr>
        <w:jc w:val="center"/>
        <w:rPr>
          <w:rFonts w:ascii="Arial" w:hAnsi="Arial" w:cs="Arial"/>
          <w:bCs/>
          <w:sz w:val="22"/>
          <w:szCs w:val="22"/>
        </w:rPr>
      </w:pPr>
      <w:r>
        <w:rPr>
          <w:rFonts w:ascii="Arial" w:hAnsi="Arial" w:cs="Arial"/>
          <w:bCs/>
          <w:sz w:val="22"/>
          <w:szCs w:val="22"/>
        </w:rPr>
        <w:t>Innovation and Continuous Improvement: The public sector places a high importance on creative HR practises. Assessing the organization's capacity to adopt new technology, accommodate changing demands, and put best practises into practise is a key component in determining the efficacy of HR strategy. This might include comparing your organisation to others in the public or private sectors to find out where you can innovate and enhance your HR practises.</w:t>
      </w:r>
    </w:p>
    <w:p w14:paraId="2013F468" w14:textId="77777777" w:rsidR="00E549D0" w:rsidRDefault="00E549D0" w:rsidP="00E549D0">
      <w:pPr>
        <w:ind w:left="360"/>
        <w:jc w:val="center"/>
        <w:rPr>
          <w:rFonts w:ascii="Arial" w:hAnsi="Arial" w:cs="Arial"/>
          <w:bCs/>
        </w:rPr>
      </w:pPr>
    </w:p>
    <w:p w14:paraId="36F1BC82" w14:textId="214EE8A1" w:rsidR="00E549D0" w:rsidRDefault="00E549D0" w:rsidP="00E549D0">
      <w:pPr>
        <w:jc w:val="center"/>
        <w:rPr>
          <w:rFonts w:ascii="Arial" w:hAnsi="Arial" w:cs="Arial"/>
          <w:bCs/>
        </w:rPr>
      </w:pPr>
      <w:r>
        <w:rPr>
          <w:rFonts w:ascii="Arial" w:hAnsi="Arial" w:cs="Arial"/>
          <w:bCs/>
        </w:rPr>
        <w:t>It's crucial to remember that depending on the organisation, its goals, and the environment in which it works, the particular indicators and assessment techniques for determining the efficacy of human resources management in the public sector could vary. Clear performance criteria should be established for public sector organisations, progress should be reviewed often, workers' and stakeholders' opinions should be sought out, and data-driven insights should be used to constantly enhance HR strategy.</w:t>
      </w:r>
    </w:p>
    <w:p w14:paraId="6D49FB1F" w14:textId="2DACE83A" w:rsidR="00E549D0" w:rsidRDefault="00E549D0" w:rsidP="00E549D0">
      <w:pPr>
        <w:pStyle w:val="ListParagraph"/>
        <w:numPr>
          <w:ilvl w:val="0"/>
          <w:numId w:val="1"/>
        </w:numPr>
        <w:jc w:val="center"/>
        <w:rPr>
          <w:rFonts w:ascii="Arial" w:hAnsi="Arial" w:cs="Arial"/>
          <w:b/>
          <w:i/>
          <w:iCs/>
          <w:sz w:val="36"/>
          <w:szCs w:val="36"/>
          <w:u w:val="single"/>
        </w:rPr>
      </w:pPr>
      <w:r w:rsidRPr="00E549D0">
        <w:rPr>
          <w:rFonts w:ascii="Arial" w:hAnsi="Arial" w:cs="Arial"/>
          <w:b/>
          <w:i/>
          <w:iCs/>
          <w:sz w:val="36"/>
          <w:szCs w:val="36"/>
          <w:u w:val="single"/>
        </w:rPr>
        <w:t>How can HR develop employees to achieve strategy goals</w:t>
      </w:r>
    </w:p>
    <w:p w14:paraId="4B2E4BCA" w14:textId="77777777" w:rsidR="00E549D0" w:rsidRDefault="00E549D0" w:rsidP="00E549D0">
      <w:pPr>
        <w:rPr>
          <w:rFonts w:ascii="Arial" w:hAnsi="Arial" w:cs="Arial"/>
          <w:bCs/>
        </w:rPr>
      </w:pPr>
      <w:r>
        <w:rPr>
          <w:rFonts w:ascii="Arial" w:hAnsi="Arial" w:cs="Arial"/>
          <w:bCs/>
        </w:rPr>
        <w:t>HR is essential in creating and executing successful development programmes that help people grow and allow them to accomplish strategic objectives. Here are some crucial tactics HR may use:</w:t>
      </w:r>
    </w:p>
    <w:p w14:paraId="4A1E68B6" w14:textId="77777777" w:rsidR="00E549D0" w:rsidRDefault="00E549D0" w:rsidP="00E549D0">
      <w:pPr>
        <w:ind w:left="360"/>
        <w:rPr>
          <w:rFonts w:ascii="Arial" w:hAnsi="Arial" w:cs="Arial"/>
          <w:bCs/>
        </w:rPr>
      </w:pPr>
    </w:p>
    <w:p w14:paraId="0BA3F047"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t>Identify Skills and competences Needed to Achieve Strategic objectives: HR should thoroughly examine the organization's strategic objectives and identify the competences and skills necessary to do so. This analysis identifies any skills gaps between the current employee skill set and what is required to properly implement the plan.</w:t>
      </w:r>
    </w:p>
    <w:p w14:paraId="2B458552" w14:textId="77777777" w:rsidR="00E549D0" w:rsidRDefault="00E549D0" w:rsidP="00E549D0">
      <w:pPr>
        <w:ind w:left="360"/>
        <w:rPr>
          <w:rFonts w:ascii="Arial" w:hAnsi="Arial" w:cs="Arial"/>
          <w:bCs/>
        </w:rPr>
      </w:pPr>
    </w:p>
    <w:p w14:paraId="2518771A"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t>Performance Management: HR must set up a reliable mechanism for coordinating individual goals with corporate objectives. Employees are made aware of their contribution to the broader plan via performance reviews, frequent feedback, and clear performance goals. This procedure may reveal potential for growth and places for improvement.</w:t>
      </w:r>
    </w:p>
    <w:p w14:paraId="369DF1E5" w14:textId="77777777" w:rsidR="00E549D0" w:rsidRDefault="00E549D0" w:rsidP="00E549D0">
      <w:pPr>
        <w:ind w:left="360"/>
        <w:rPr>
          <w:rFonts w:ascii="Arial" w:hAnsi="Arial" w:cs="Arial"/>
          <w:bCs/>
        </w:rPr>
      </w:pPr>
    </w:p>
    <w:p w14:paraId="6455A2AD"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lastRenderedPageBreak/>
        <w:t>Training and Development Programs: HR should establish and execute training and development plans that are focused on closing the identified capability gaps. These courses may include coaching, mentoring, leadership development initiatives, on-the-job training, workshops, seminars, and e-learning modules. HR makes ensuring that workers have the skills and information needed to contribute successfully to the implementation of strategies by making investments in their professional growth.</w:t>
      </w:r>
    </w:p>
    <w:p w14:paraId="444EA170" w14:textId="77777777" w:rsidR="00E549D0" w:rsidRDefault="00E549D0" w:rsidP="00E549D0">
      <w:pPr>
        <w:ind w:left="360"/>
        <w:rPr>
          <w:rFonts w:ascii="Arial" w:hAnsi="Arial" w:cs="Arial"/>
          <w:bCs/>
        </w:rPr>
      </w:pPr>
    </w:p>
    <w:p w14:paraId="17941052"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t>HR should set up a succession planning procedure that identifies high-potential workers and trains them for important jobs. To prepare staff for future leadership responsibilities, this entails developing growth plans, assigning challenging tasks, and providing mentorship or coaching opportunities. Planning for succession guarantees that there is a pipeline of talent available to fill important roles as required.</w:t>
      </w:r>
    </w:p>
    <w:p w14:paraId="2642C9F8" w14:textId="77777777" w:rsidR="00E549D0" w:rsidRDefault="00E549D0" w:rsidP="00E549D0">
      <w:pPr>
        <w:ind w:left="360"/>
        <w:rPr>
          <w:rFonts w:ascii="Arial" w:hAnsi="Arial" w:cs="Arial"/>
          <w:bCs/>
        </w:rPr>
      </w:pPr>
    </w:p>
    <w:p w14:paraId="6B4B0110"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t>Talent Acquisition and Career Pathing: HR must put talent management strategies in place that match organisational demands with employee career objectives. This entails outlining clear career routes, locating possibilities for advancement, and fostering staff members' professional development. To widen workers' views and skill sets, HR may promote cross-functional movements, job rotations, and exposure to other projects.</w:t>
      </w:r>
    </w:p>
    <w:p w14:paraId="3774B813" w14:textId="77777777" w:rsidR="00E549D0" w:rsidRDefault="00E549D0" w:rsidP="00E549D0">
      <w:pPr>
        <w:ind w:left="360"/>
        <w:rPr>
          <w:rFonts w:ascii="Arial" w:hAnsi="Arial" w:cs="Arial"/>
          <w:bCs/>
        </w:rPr>
      </w:pPr>
    </w:p>
    <w:p w14:paraId="13C69516"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t>Performance Incentives: HR may create incentive plans that recognise staff members for completing important objectives. These incentives may take the form of monetary prizes, recognition schemes, chances for professional development, or non-cash advantages. Rewarding staff in accordance with strategy motivates them to actively support organisational goals.</w:t>
      </w:r>
    </w:p>
    <w:p w14:paraId="44521AD9" w14:textId="77777777" w:rsidR="00E549D0" w:rsidRDefault="00E549D0" w:rsidP="00E549D0">
      <w:pPr>
        <w:ind w:left="360"/>
        <w:rPr>
          <w:rFonts w:ascii="Arial" w:hAnsi="Arial" w:cs="Arial"/>
          <w:bCs/>
        </w:rPr>
      </w:pPr>
    </w:p>
    <w:p w14:paraId="1CDCD6F8"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t>Engagement among employees: HR should concentrate on creating an upbeat and interesting work atmosphere that inspires workers to provide their best effort. This might include actions like open communication, employee feedback systems, team-building exercises, and advocating for a collaborative and innovative culture. Employees that are engaged are more likely to be devoted to the organization's plan and go above and beyond to accomplish objectives.</w:t>
      </w:r>
    </w:p>
    <w:p w14:paraId="5F2F9D4B" w14:textId="77777777" w:rsidR="00E549D0" w:rsidRDefault="00E549D0" w:rsidP="00E549D0">
      <w:pPr>
        <w:ind w:left="360"/>
        <w:rPr>
          <w:rFonts w:ascii="Arial" w:hAnsi="Arial" w:cs="Arial"/>
          <w:bCs/>
        </w:rPr>
      </w:pPr>
    </w:p>
    <w:p w14:paraId="40B21EBD"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t>Culture of Continuous Learning: HR should encourage an environment where employees are always learning and growing within the company. This may be achieved through encouraging information sharing, supporting self-directed learning, offering tools for professional growth, and fostering learning communities inside the company. Employees who work in an atmosphere where learning is valued are better able to keep current in a market that is changing quickly.</w:t>
      </w:r>
    </w:p>
    <w:p w14:paraId="0C51FFFF" w14:textId="77777777" w:rsidR="00E549D0" w:rsidRDefault="00E549D0" w:rsidP="00E549D0">
      <w:pPr>
        <w:ind w:left="360"/>
        <w:rPr>
          <w:rFonts w:ascii="Arial" w:hAnsi="Arial" w:cs="Arial"/>
          <w:bCs/>
        </w:rPr>
      </w:pPr>
    </w:p>
    <w:p w14:paraId="40D68A1E" w14:textId="77777777" w:rsidR="00E549D0" w:rsidRDefault="00E549D0" w:rsidP="00E549D0">
      <w:pPr>
        <w:pStyle w:val="ListParagraph"/>
        <w:numPr>
          <w:ilvl w:val="0"/>
          <w:numId w:val="6"/>
        </w:numPr>
        <w:rPr>
          <w:rFonts w:ascii="Arial" w:hAnsi="Arial" w:cs="Arial"/>
          <w:bCs/>
          <w:sz w:val="22"/>
          <w:szCs w:val="22"/>
        </w:rPr>
      </w:pPr>
      <w:r>
        <w:rPr>
          <w:rFonts w:ascii="Arial" w:hAnsi="Arial" w:cs="Arial"/>
          <w:bCs/>
          <w:sz w:val="22"/>
          <w:szCs w:val="22"/>
        </w:rPr>
        <w:t>Evaluation and Feedback: HR must establish up procedures for assessing the success of staff development programmes and obtaining employee feedback. This may involve questionnaires, focus groups, 360-degree feedback, and post-training evaluations. To ensure that development programmes are in line with corporate objectives and cater to the requirements of workers, HR uses the information gleaned from these assessments to enhance and hone them.</w:t>
      </w:r>
    </w:p>
    <w:p w14:paraId="017D6862" w14:textId="77777777" w:rsidR="00E549D0" w:rsidRDefault="00E549D0" w:rsidP="00E549D0">
      <w:pPr>
        <w:ind w:left="360"/>
        <w:rPr>
          <w:rFonts w:ascii="Arial" w:hAnsi="Arial" w:cs="Arial"/>
          <w:bCs/>
        </w:rPr>
      </w:pPr>
    </w:p>
    <w:p w14:paraId="405268C6" w14:textId="5F971D0E" w:rsidR="00E549D0" w:rsidRDefault="00E549D0" w:rsidP="00E549D0">
      <w:pPr>
        <w:pStyle w:val="ListParagraph"/>
        <w:rPr>
          <w:rFonts w:ascii="Arial" w:hAnsi="Arial" w:cs="Arial"/>
          <w:bCs/>
          <w:sz w:val="22"/>
          <w:szCs w:val="22"/>
        </w:rPr>
      </w:pPr>
      <w:r>
        <w:rPr>
          <w:rFonts w:ascii="Arial" w:hAnsi="Arial" w:cs="Arial"/>
          <w:bCs/>
          <w:sz w:val="22"/>
          <w:szCs w:val="22"/>
        </w:rPr>
        <w:t xml:space="preserve">In conclusion, HR is crucial to helping people grow in order to accomplish strategic objectives. HR can enable workers to successfully contribute to the success of the </w:t>
      </w:r>
      <w:r>
        <w:rPr>
          <w:rFonts w:ascii="Arial" w:hAnsi="Arial" w:cs="Arial"/>
          <w:bCs/>
          <w:sz w:val="22"/>
          <w:szCs w:val="22"/>
        </w:rPr>
        <w:lastRenderedPageBreak/>
        <w:t>organisation by identifying skill gaps, establishing performance management systems, devising training and development programmes, encouraging an atmosphere of perpetual development, and aligning incentives and career pathways with strategy.</w:t>
      </w:r>
    </w:p>
    <w:p w14:paraId="3E76FAC6" w14:textId="77777777" w:rsidR="00E549D0" w:rsidRDefault="00E549D0" w:rsidP="00E549D0">
      <w:pPr>
        <w:rPr>
          <w:rFonts w:ascii="Arial" w:hAnsi="Arial" w:cs="Arial"/>
          <w:bCs/>
        </w:rPr>
      </w:pPr>
    </w:p>
    <w:p w14:paraId="757F525F" w14:textId="77777777" w:rsidR="00E549D0" w:rsidRDefault="00E549D0" w:rsidP="00E549D0">
      <w:pPr>
        <w:pStyle w:val="ListParagraph"/>
        <w:numPr>
          <w:ilvl w:val="0"/>
          <w:numId w:val="1"/>
        </w:numPr>
        <w:jc w:val="center"/>
        <w:rPr>
          <w:rFonts w:ascii="Arial" w:hAnsi="Arial" w:cs="Arial"/>
          <w:b/>
          <w:i/>
          <w:iCs/>
          <w:sz w:val="36"/>
          <w:szCs w:val="36"/>
          <w:u w:val="single"/>
        </w:rPr>
      </w:pPr>
      <w:r w:rsidRPr="00E549D0">
        <w:rPr>
          <w:rFonts w:ascii="Arial" w:hAnsi="Arial" w:cs="Arial"/>
          <w:b/>
          <w:i/>
          <w:iCs/>
          <w:sz w:val="36"/>
          <w:szCs w:val="36"/>
          <w:u w:val="single"/>
        </w:rPr>
        <w:t>What organisational climate factors affect the effectiveness of HR strategy</w:t>
      </w:r>
    </w:p>
    <w:p w14:paraId="00AAAC46" w14:textId="77777777" w:rsidR="00E549D0" w:rsidRDefault="00E549D0" w:rsidP="00E549D0">
      <w:pPr>
        <w:rPr>
          <w:rFonts w:ascii="Arial" w:hAnsi="Arial" w:cs="Arial"/>
          <w:bCs/>
        </w:rPr>
      </w:pPr>
    </w:p>
    <w:p w14:paraId="5F77C0DD" w14:textId="77777777" w:rsidR="00E549D0" w:rsidRDefault="00E549D0" w:rsidP="00E549D0">
      <w:pPr>
        <w:rPr>
          <w:rFonts w:ascii="Arial" w:hAnsi="Arial" w:cs="Arial"/>
          <w:bCs/>
        </w:rPr>
      </w:pPr>
      <w:r>
        <w:rPr>
          <w:rFonts w:ascii="Arial" w:hAnsi="Arial" w:cs="Arial"/>
          <w:bCs/>
        </w:rPr>
        <w:t>The dominant attitudes, beliefs, and behaviours inside an organisation that affect the opinions of staff members, motivation, and behaviour are referred to as the organisational climate. Numerous organisational environment characteristics have a big impact on how successful HR strategy is. Let's look at some important variables that may affect the efficacy of HR strategy:</w:t>
      </w:r>
    </w:p>
    <w:p w14:paraId="102ED6A0" w14:textId="77777777" w:rsidR="00E549D0" w:rsidRDefault="00E549D0" w:rsidP="00E549D0">
      <w:pPr>
        <w:ind w:left="360"/>
        <w:rPr>
          <w:rFonts w:ascii="Arial" w:hAnsi="Arial" w:cs="Arial"/>
          <w:bCs/>
        </w:rPr>
      </w:pPr>
    </w:p>
    <w:p w14:paraId="6FEC60A9"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Support from Top Leadership: The effectiveness of HR strategy depends heavily on the commitment and support of top leadership. Leaders may promote employee involvement and commitment by giving HR projects top priority, allocating resources, and actively participating in plan execution. HR initiatives are more successful when they have strong leadership backing to guarantee they get the time and funding they need.</w:t>
      </w:r>
    </w:p>
    <w:p w14:paraId="5A45177F" w14:textId="77777777" w:rsidR="00E549D0" w:rsidRDefault="00E549D0" w:rsidP="00E549D0">
      <w:pPr>
        <w:ind w:left="360"/>
        <w:rPr>
          <w:rFonts w:ascii="Arial" w:hAnsi="Arial" w:cs="Arial"/>
          <w:bCs/>
        </w:rPr>
      </w:pPr>
    </w:p>
    <w:p w14:paraId="27A356C1"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Organisational Culture: An organization's culture greatly influences the attitudes and behaviour of its employees. The efficacy of HR strategy is supported by a supportive and inclusive culture which promotes employee wellbeing, teamwork, and open communication. The execution of HR initiatives may be hampered by a toxic or administrative culture, which can also harm employee morale and productivity.</w:t>
      </w:r>
    </w:p>
    <w:p w14:paraId="4043E801" w14:textId="77777777" w:rsidR="00E549D0" w:rsidRDefault="00E549D0" w:rsidP="00E549D0">
      <w:pPr>
        <w:ind w:left="360"/>
        <w:rPr>
          <w:rFonts w:ascii="Arial" w:hAnsi="Arial" w:cs="Arial"/>
          <w:bCs/>
        </w:rPr>
      </w:pPr>
    </w:p>
    <w:p w14:paraId="0828498E"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Employee Engagement: A key component of a successful HR strategy is employee engagement. Employees that are more engaged are more dedicated, driven, and inclined to help the company accomplish its objectives. The effectiveness of HR policies is increased by a favourable organisational culture that promotes employee engagement via meaningful work, chances for development and advancement, and incentives and recognition.</w:t>
      </w:r>
    </w:p>
    <w:p w14:paraId="0C9A823D" w14:textId="77777777" w:rsidR="00E549D0" w:rsidRDefault="00E549D0" w:rsidP="00E549D0">
      <w:pPr>
        <w:ind w:left="360"/>
        <w:rPr>
          <w:rFonts w:ascii="Arial" w:hAnsi="Arial" w:cs="Arial"/>
          <w:bCs/>
        </w:rPr>
      </w:pPr>
    </w:p>
    <w:p w14:paraId="1E8313BC"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Communication and Transparency: A healthy organisational environment is influenced by efficient collaboration channels and openness in decision-making procedures. Employees are more likely to comprehend and align their work with organisational objectives when they are educated regarding the organization's goals, plans, and the justification for HR activities. The effective execution of HR policies is facilitated by open communication, which also develops employee buy-in, cooperation, and trust.</w:t>
      </w:r>
    </w:p>
    <w:p w14:paraId="2598E844" w14:textId="77777777" w:rsidR="00E549D0" w:rsidRDefault="00E549D0" w:rsidP="00E549D0">
      <w:pPr>
        <w:ind w:left="360"/>
        <w:rPr>
          <w:rFonts w:ascii="Arial" w:hAnsi="Arial" w:cs="Arial"/>
          <w:bCs/>
        </w:rPr>
      </w:pPr>
    </w:p>
    <w:p w14:paraId="761351CA"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 xml:space="preserve">Performance Management and Feedback: A culture of continuous improvement is created through an efficient performance management system that offers frequent feedback, coaching, and acknowledgment. Employees are more likely to connect their efforts with the HR strategy and strive for high performance when they get </w:t>
      </w:r>
      <w:r>
        <w:rPr>
          <w:rFonts w:ascii="Arial" w:hAnsi="Arial" w:cs="Arial"/>
          <w:bCs/>
          <w:sz w:val="22"/>
          <w:szCs w:val="22"/>
        </w:rPr>
        <w:lastRenderedPageBreak/>
        <w:t>constructive criticism, have clear performance objectives, and are aware of how their work helps to achieve organisational goals.</w:t>
      </w:r>
    </w:p>
    <w:p w14:paraId="5E35B176" w14:textId="77777777" w:rsidR="00E549D0" w:rsidRDefault="00E549D0" w:rsidP="00E549D0">
      <w:pPr>
        <w:ind w:left="360"/>
        <w:rPr>
          <w:rFonts w:ascii="Arial" w:hAnsi="Arial" w:cs="Arial"/>
          <w:bCs/>
        </w:rPr>
      </w:pPr>
    </w:p>
    <w:p w14:paraId="4CE5D81A"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Opportunities for employee learning and development: The efficacy of HR strategy is increased by an organisational culture that values employee development and offers chances for learning and progress. Employees are more likely to learn the skills required to support the HR strategy and contribute to the success of the organisation when they have access to training programmes, skill development initiatives, and career progression chances.</w:t>
      </w:r>
    </w:p>
    <w:p w14:paraId="28A04E4A" w14:textId="77777777" w:rsidR="00E549D0" w:rsidRDefault="00E549D0" w:rsidP="00E549D0">
      <w:pPr>
        <w:ind w:left="360"/>
        <w:rPr>
          <w:rFonts w:ascii="Arial" w:hAnsi="Arial" w:cs="Arial"/>
          <w:bCs/>
        </w:rPr>
      </w:pPr>
    </w:p>
    <w:p w14:paraId="28E8357D"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Change Management and Adaptability: The efficiency of an HR strategy is greatly influenced by the organization's capacity to manage change and adapt to new situations. The effective implementation of HR initiatives in response to changing business demands depends on an organisational environment that is adaptable and flexible. Organisations that welcome change, promote innovation, and implement efficient change management procedures provide an environment that supports the efficacy of HR strategy.</w:t>
      </w:r>
    </w:p>
    <w:p w14:paraId="6F58D69F" w14:textId="77777777" w:rsidR="00E549D0" w:rsidRDefault="00E549D0" w:rsidP="00E549D0">
      <w:pPr>
        <w:ind w:left="360"/>
        <w:rPr>
          <w:rFonts w:ascii="Arial" w:hAnsi="Arial" w:cs="Arial"/>
          <w:bCs/>
        </w:rPr>
      </w:pPr>
    </w:p>
    <w:p w14:paraId="3E2E8647"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Balance Between Work and Life: A healthy work environment fosters both employee wellbeing and work-life balance. Employee commitment, job happiness, and productivity all rise when they feel encouraged in finding a work-life balance. Work-life balance and employee well-being are important factors in creating a pleasant workplace culture and increasing productivity.</w:t>
      </w:r>
    </w:p>
    <w:p w14:paraId="19E216A8" w14:textId="77777777" w:rsidR="00E549D0" w:rsidRDefault="00E549D0" w:rsidP="00E549D0">
      <w:pPr>
        <w:ind w:left="360"/>
        <w:rPr>
          <w:rFonts w:ascii="Arial" w:hAnsi="Arial" w:cs="Arial"/>
          <w:bCs/>
        </w:rPr>
      </w:pPr>
    </w:p>
    <w:p w14:paraId="118BDBBD" w14:textId="77777777" w:rsidR="00E549D0" w:rsidRDefault="00E549D0" w:rsidP="00E549D0">
      <w:pPr>
        <w:pStyle w:val="ListParagraph"/>
        <w:numPr>
          <w:ilvl w:val="0"/>
          <w:numId w:val="7"/>
        </w:numPr>
        <w:rPr>
          <w:rFonts w:ascii="Arial" w:hAnsi="Arial" w:cs="Arial"/>
          <w:bCs/>
          <w:sz w:val="22"/>
          <w:szCs w:val="22"/>
        </w:rPr>
      </w:pPr>
      <w:r>
        <w:rPr>
          <w:rFonts w:ascii="Arial" w:hAnsi="Arial" w:cs="Arial"/>
          <w:bCs/>
          <w:sz w:val="22"/>
          <w:szCs w:val="22"/>
        </w:rPr>
        <w:t>Cooperation &amp; Teamwork: The execution of HR initiatives is made easier by an environment that promotes cooperation, teamwork, and information sharing. Team-building efforts, multidisciplinary projects, and understanding management systems are all made more successful when workers are encouraged to cooperate, exchange ideas, and work together on projects.</w:t>
      </w:r>
    </w:p>
    <w:p w14:paraId="3D7997AF" w14:textId="77777777" w:rsidR="00E549D0" w:rsidRDefault="00E549D0" w:rsidP="00E549D0">
      <w:pPr>
        <w:rPr>
          <w:rFonts w:ascii="Arial" w:hAnsi="Arial" w:cs="Arial"/>
          <w:bCs/>
        </w:rPr>
      </w:pPr>
    </w:p>
    <w:p w14:paraId="2FF0ED6A" w14:textId="5BD266EE" w:rsidR="007336A0" w:rsidRDefault="00E549D0" w:rsidP="00E549D0">
      <w:pPr>
        <w:rPr>
          <w:rFonts w:ascii="Arial" w:hAnsi="Arial" w:cs="Arial"/>
          <w:bCs/>
        </w:rPr>
      </w:pPr>
      <w:r>
        <w:rPr>
          <w:rFonts w:ascii="Arial" w:hAnsi="Arial" w:cs="Arial"/>
          <w:bCs/>
        </w:rPr>
        <w:t>It's vital to remember that depending on the sector, size, and culture of the organisation, different organisational climate elements may influence the efficacy of HR strategies. HR specialists should evaluate the current organisational environment and take proactive measures to resolve any obstacles or difficulties that can prevent the effective execution of HR plans. The impact of HR activities may be maximised, and organisational performance can be increased, by creating a good and encouraging environment.</w:t>
      </w:r>
    </w:p>
    <w:p w14:paraId="31C3A8DB" w14:textId="77777777" w:rsidR="007336A0" w:rsidRDefault="007336A0">
      <w:pPr>
        <w:rPr>
          <w:rFonts w:ascii="Arial" w:hAnsi="Arial" w:cs="Arial"/>
          <w:bCs/>
        </w:rPr>
      </w:pPr>
      <w:r>
        <w:rPr>
          <w:rFonts w:ascii="Arial" w:hAnsi="Arial" w:cs="Arial"/>
          <w:bCs/>
        </w:rPr>
        <w:br w:type="page"/>
      </w:r>
    </w:p>
    <w:p w14:paraId="39E3B01F" w14:textId="77777777" w:rsidR="0035231D" w:rsidRDefault="0035231D" w:rsidP="0035231D">
      <w:pPr>
        <w:rPr>
          <w:rFonts w:ascii="Arial" w:hAnsi="Arial" w:cs="Arial"/>
          <w:b/>
          <w:sz w:val="24"/>
          <w:szCs w:val="24"/>
        </w:rPr>
      </w:pPr>
      <w:r>
        <w:rPr>
          <w:rFonts w:ascii="Arial" w:hAnsi="Arial" w:cs="Arial"/>
          <w:b/>
          <w:sz w:val="24"/>
          <w:szCs w:val="24"/>
        </w:rPr>
        <w:lastRenderedPageBreak/>
        <w:t>References:</w:t>
      </w:r>
    </w:p>
    <w:p w14:paraId="51E1CF2A" w14:textId="77777777" w:rsidR="0035231D" w:rsidRPr="00E549D0" w:rsidRDefault="0035231D" w:rsidP="00E549D0">
      <w:pPr>
        <w:rPr>
          <w:rFonts w:ascii="Arial" w:hAnsi="Arial" w:cs="Arial"/>
          <w:bCs/>
        </w:rPr>
      </w:pPr>
    </w:p>
    <w:p w14:paraId="5ED560DD" w14:textId="77777777" w:rsidR="0035231D" w:rsidRDefault="0035231D" w:rsidP="007336A0">
      <w:pPr>
        <w:pStyle w:val="ListParagraph"/>
        <w:numPr>
          <w:ilvl w:val="0"/>
          <w:numId w:val="8"/>
        </w:numPr>
        <w:rPr>
          <w:rFonts w:ascii="Arial" w:hAnsi="Arial" w:cs="Arial"/>
          <w:sz w:val="24"/>
          <w:szCs w:val="24"/>
        </w:rPr>
      </w:pPr>
      <w:proofErr w:type="spellStart"/>
      <w:r>
        <w:rPr>
          <w:rFonts w:ascii="Arial" w:hAnsi="Arial" w:cs="Arial"/>
          <w:sz w:val="24"/>
          <w:szCs w:val="24"/>
        </w:rPr>
        <w:t>Delery</w:t>
      </w:r>
      <w:proofErr w:type="spellEnd"/>
      <w:r>
        <w:rPr>
          <w:rFonts w:ascii="Arial" w:hAnsi="Arial" w:cs="Arial"/>
          <w:sz w:val="24"/>
          <w:szCs w:val="24"/>
        </w:rPr>
        <w:t>, J. E., &amp; Doty, D. H. (1996). Modes of theorizing in strategic human resource management: Tests of universalistic, contingency, and configurational performance predictions. Academy of Management Journal, 39(4), 802-835.</w:t>
      </w:r>
    </w:p>
    <w:p w14:paraId="3AF1D9A0" w14:textId="77777777" w:rsidR="0035231D" w:rsidRDefault="0035231D" w:rsidP="007336A0">
      <w:pPr>
        <w:pStyle w:val="ListParagraph"/>
        <w:numPr>
          <w:ilvl w:val="0"/>
          <w:numId w:val="8"/>
        </w:numPr>
        <w:rPr>
          <w:rFonts w:ascii="Arial" w:hAnsi="Arial" w:cs="Arial"/>
          <w:sz w:val="24"/>
          <w:szCs w:val="24"/>
        </w:rPr>
      </w:pPr>
      <w:r>
        <w:rPr>
          <w:rFonts w:ascii="Arial" w:hAnsi="Arial" w:cs="Arial"/>
          <w:color w:val="222222"/>
          <w:sz w:val="24"/>
          <w:szCs w:val="24"/>
          <w:shd w:val="clear" w:color="auto" w:fill="FFFFFF"/>
        </w:rPr>
        <w:t xml:space="preserve">Elliott, R. H., &amp; </w:t>
      </w:r>
      <w:proofErr w:type="spellStart"/>
      <w:r>
        <w:rPr>
          <w:rFonts w:ascii="Arial" w:hAnsi="Arial" w:cs="Arial"/>
          <w:color w:val="222222"/>
          <w:sz w:val="24"/>
          <w:szCs w:val="24"/>
          <w:shd w:val="clear" w:color="auto" w:fill="FFFFFF"/>
        </w:rPr>
        <w:t>Tevavichulada</w:t>
      </w:r>
      <w:proofErr w:type="spellEnd"/>
      <w:r>
        <w:rPr>
          <w:rFonts w:ascii="Arial" w:hAnsi="Arial" w:cs="Arial"/>
          <w:color w:val="222222"/>
          <w:sz w:val="24"/>
          <w:szCs w:val="24"/>
          <w:shd w:val="clear" w:color="auto" w:fill="FFFFFF"/>
        </w:rPr>
        <w:t>, S. (1999). Computer literacy and human resource management: A public/private sector comparison. </w:t>
      </w:r>
      <w:r>
        <w:rPr>
          <w:rFonts w:ascii="Arial" w:hAnsi="Arial" w:cs="Arial"/>
          <w:i/>
          <w:iCs/>
          <w:color w:val="222222"/>
          <w:sz w:val="24"/>
          <w:szCs w:val="24"/>
          <w:shd w:val="clear" w:color="auto" w:fill="FFFFFF"/>
        </w:rPr>
        <w:t>Public Personnel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28</w:t>
      </w:r>
      <w:r>
        <w:rPr>
          <w:rFonts w:ascii="Arial" w:hAnsi="Arial" w:cs="Arial"/>
          <w:color w:val="222222"/>
          <w:sz w:val="24"/>
          <w:szCs w:val="24"/>
          <w:shd w:val="clear" w:color="auto" w:fill="FFFFFF"/>
        </w:rPr>
        <w:t>(2), 259-274.</w:t>
      </w:r>
    </w:p>
    <w:p w14:paraId="6B3692B5" w14:textId="77777777" w:rsidR="0035231D" w:rsidRDefault="0035231D" w:rsidP="007336A0">
      <w:pPr>
        <w:pStyle w:val="ListParagraph"/>
        <w:numPr>
          <w:ilvl w:val="0"/>
          <w:numId w:val="8"/>
        </w:numPr>
        <w:rPr>
          <w:rFonts w:ascii="Arial" w:hAnsi="Arial" w:cs="Arial"/>
          <w:sz w:val="24"/>
          <w:szCs w:val="24"/>
        </w:rPr>
      </w:pPr>
      <w:proofErr w:type="spellStart"/>
      <w:r>
        <w:rPr>
          <w:rFonts w:ascii="Arial" w:hAnsi="Arial" w:cs="Arial"/>
          <w:sz w:val="24"/>
          <w:szCs w:val="24"/>
        </w:rPr>
        <w:t>Huselid</w:t>
      </w:r>
      <w:proofErr w:type="spellEnd"/>
      <w:r>
        <w:rPr>
          <w:rFonts w:ascii="Arial" w:hAnsi="Arial" w:cs="Arial"/>
          <w:sz w:val="24"/>
          <w:szCs w:val="24"/>
        </w:rPr>
        <w:t>, M. A. (1995). The impact of human resource management practices on turnover, productivity, and corporate financial performance. Academy of Management Journal, 38(3), 635-672.</w:t>
      </w:r>
    </w:p>
    <w:p w14:paraId="27A723D0" w14:textId="77777777" w:rsidR="0035231D" w:rsidRDefault="0035231D" w:rsidP="007336A0">
      <w:pPr>
        <w:pStyle w:val="ListParagraph"/>
        <w:numPr>
          <w:ilvl w:val="0"/>
          <w:numId w:val="8"/>
        </w:numPr>
        <w:rPr>
          <w:rFonts w:ascii="Arial" w:hAnsi="Arial" w:cs="Arial"/>
          <w:sz w:val="24"/>
          <w:szCs w:val="24"/>
        </w:rPr>
      </w:pPr>
      <w:r>
        <w:rPr>
          <w:rFonts w:ascii="Arial" w:hAnsi="Arial" w:cs="Arial"/>
          <w:sz w:val="24"/>
          <w:szCs w:val="24"/>
        </w:rPr>
        <w:t>Jackson, S. E., Schuler, R. S., &amp; Jiang, K. (2014). An aspirational framework for strategic human resource management. Academy of Management Annals, 8(1), 1-56.</w:t>
      </w:r>
    </w:p>
    <w:p w14:paraId="5215B85B" w14:textId="77777777" w:rsidR="0035231D" w:rsidRDefault="0035231D" w:rsidP="007336A0">
      <w:pPr>
        <w:pStyle w:val="ListParagraph"/>
        <w:numPr>
          <w:ilvl w:val="0"/>
          <w:numId w:val="8"/>
        </w:numPr>
        <w:rPr>
          <w:rFonts w:ascii="Arial" w:hAnsi="Arial" w:cs="Arial"/>
          <w:sz w:val="24"/>
          <w:szCs w:val="24"/>
        </w:rPr>
      </w:pPr>
      <w:proofErr w:type="spellStart"/>
      <w:r>
        <w:rPr>
          <w:rFonts w:ascii="Arial" w:hAnsi="Arial" w:cs="Arial"/>
          <w:sz w:val="24"/>
          <w:szCs w:val="24"/>
        </w:rPr>
        <w:t>Lepak</w:t>
      </w:r>
      <w:proofErr w:type="spellEnd"/>
      <w:r>
        <w:rPr>
          <w:rFonts w:ascii="Arial" w:hAnsi="Arial" w:cs="Arial"/>
          <w:sz w:val="24"/>
          <w:szCs w:val="24"/>
        </w:rPr>
        <w:t>, D. P., &amp; Snell, S. A. (1999). The human resource architecture: Toward a theory of human capital allocation and development. Academy of Management Review, 24(1), 31-48.</w:t>
      </w:r>
    </w:p>
    <w:p w14:paraId="264E5413" w14:textId="77777777" w:rsidR="0035231D" w:rsidRDefault="0035231D" w:rsidP="007336A0">
      <w:pPr>
        <w:pStyle w:val="ListParagraph"/>
        <w:numPr>
          <w:ilvl w:val="0"/>
          <w:numId w:val="8"/>
        </w:numPr>
        <w:rPr>
          <w:rFonts w:ascii="Arial" w:hAnsi="Arial" w:cs="Arial"/>
          <w:sz w:val="24"/>
          <w:szCs w:val="24"/>
        </w:rPr>
      </w:pPr>
      <w:r>
        <w:rPr>
          <w:rFonts w:ascii="Arial" w:hAnsi="Arial" w:cs="Arial"/>
          <w:sz w:val="24"/>
          <w:szCs w:val="24"/>
        </w:rPr>
        <w:t>Pfeffer, J. (1994). Competitive advantage through people: Unleashing the power of the workforce. Harvard Business Review, 72(6), 55-67.</w:t>
      </w:r>
    </w:p>
    <w:p w14:paraId="25FC2EA7" w14:textId="77777777" w:rsidR="0035231D" w:rsidRDefault="0035231D" w:rsidP="007336A0">
      <w:pPr>
        <w:pStyle w:val="ListParagraph"/>
        <w:numPr>
          <w:ilvl w:val="0"/>
          <w:numId w:val="8"/>
        </w:numPr>
        <w:rPr>
          <w:rFonts w:ascii="Arial" w:hAnsi="Arial" w:cs="Arial"/>
          <w:sz w:val="24"/>
          <w:szCs w:val="24"/>
        </w:rPr>
      </w:pPr>
      <w:proofErr w:type="spellStart"/>
      <w:r>
        <w:rPr>
          <w:rFonts w:ascii="Arial" w:hAnsi="Arial" w:cs="Arial"/>
          <w:sz w:val="24"/>
          <w:szCs w:val="24"/>
        </w:rPr>
        <w:t>Poór</w:t>
      </w:r>
      <w:proofErr w:type="spellEnd"/>
      <w:r>
        <w:rPr>
          <w:rFonts w:ascii="Arial" w:hAnsi="Arial" w:cs="Arial"/>
          <w:sz w:val="24"/>
          <w:szCs w:val="24"/>
        </w:rPr>
        <w:t xml:space="preserve">, J., </w:t>
      </w:r>
      <w:proofErr w:type="spellStart"/>
      <w:r>
        <w:rPr>
          <w:rFonts w:ascii="Arial" w:hAnsi="Arial" w:cs="Arial"/>
          <w:sz w:val="24"/>
          <w:szCs w:val="24"/>
        </w:rPr>
        <w:t>Karoliny</w:t>
      </w:r>
      <w:proofErr w:type="spellEnd"/>
      <w:r>
        <w:rPr>
          <w:rFonts w:ascii="Arial" w:hAnsi="Arial" w:cs="Arial"/>
          <w:sz w:val="24"/>
          <w:szCs w:val="24"/>
        </w:rPr>
        <w:t xml:space="preserve">, Z. S., </w:t>
      </w:r>
      <w:proofErr w:type="spellStart"/>
      <w:r>
        <w:rPr>
          <w:rFonts w:ascii="Arial" w:hAnsi="Arial" w:cs="Arial"/>
          <w:sz w:val="24"/>
          <w:szCs w:val="24"/>
        </w:rPr>
        <w:t>Musztyné</w:t>
      </w:r>
      <w:proofErr w:type="spellEnd"/>
      <w:r>
        <w:rPr>
          <w:rFonts w:ascii="Arial" w:hAnsi="Arial" w:cs="Arial"/>
          <w:sz w:val="24"/>
          <w:szCs w:val="24"/>
        </w:rPr>
        <w:t xml:space="preserve"> </w:t>
      </w:r>
      <w:proofErr w:type="spellStart"/>
      <w:r>
        <w:rPr>
          <w:rFonts w:ascii="Arial" w:hAnsi="Arial" w:cs="Arial"/>
          <w:sz w:val="24"/>
          <w:szCs w:val="24"/>
        </w:rPr>
        <w:t>Bártfai</w:t>
      </w:r>
      <w:proofErr w:type="spellEnd"/>
      <w:r>
        <w:rPr>
          <w:rFonts w:ascii="Arial" w:hAnsi="Arial" w:cs="Arial"/>
          <w:sz w:val="24"/>
          <w:szCs w:val="24"/>
        </w:rPr>
        <w:t xml:space="preserve">, B., </w:t>
      </w:r>
      <w:proofErr w:type="spellStart"/>
      <w:r>
        <w:rPr>
          <w:rFonts w:ascii="Arial" w:hAnsi="Arial" w:cs="Arial"/>
          <w:sz w:val="24"/>
          <w:szCs w:val="24"/>
        </w:rPr>
        <w:t>Pótó</w:t>
      </w:r>
      <w:proofErr w:type="spellEnd"/>
      <w:r>
        <w:rPr>
          <w:rFonts w:ascii="Arial" w:hAnsi="Arial" w:cs="Arial"/>
          <w:sz w:val="24"/>
          <w:szCs w:val="24"/>
        </w:rPr>
        <w:t xml:space="preserve">, Z. S., &amp; Farkas, F. (2009). Similarities and differences of human resource management in private and public sector organisations in the light of new public management in international comparison. Acta </w:t>
      </w:r>
      <w:proofErr w:type="spellStart"/>
      <w:r>
        <w:rPr>
          <w:rFonts w:ascii="Arial" w:hAnsi="Arial" w:cs="Arial"/>
          <w:sz w:val="24"/>
          <w:szCs w:val="24"/>
        </w:rPr>
        <w:t>Oeconomica</w:t>
      </w:r>
      <w:proofErr w:type="spellEnd"/>
      <w:r>
        <w:rPr>
          <w:rFonts w:ascii="Arial" w:hAnsi="Arial" w:cs="Arial"/>
          <w:sz w:val="24"/>
          <w:szCs w:val="24"/>
        </w:rPr>
        <w:t>, 59(2), 179-206.</w:t>
      </w:r>
    </w:p>
    <w:p w14:paraId="655321DC" w14:textId="77777777" w:rsidR="0035231D" w:rsidRDefault="0035231D" w:rsidP="007336A0">
      <w:pPr>
        <w:pStyle w:val="ListParagraph"/>
        <w:numPr>
          <w:ilvl w:val="0"/>
          <w:numId w:val="8"/>
        </w:numPr>
        <w:rPr>
          <w:rFonts w:ascii="Arial" w:hAnsi="Arial" w:cs="Arial"/>
          <w:sz w:val="24"/>
          <w:szCs w:val="24"/>
        </w:rPr>
      </w:pPr>
      <w:r>
        <w:rPr>
          <w:rFonts w:ascii="Arial" w:hAnsi="Arial" w:cs="Arial"/>
          <w:sz w:val="24"/>
          <w:szCs w:val="24"/>
        </w:rPr>
        <w:t>Schuler, R. S., &amp; Jackson, S. E. (2007). Strategic human resource management. John Wiley &amp; Sons.</w:t>
      </w:r>
    </w:p>
    <w:p w14:paraId="4146E76A" w14:textId="77777777" w:rsidR="0035231D" w:rsidRDefault="0035231D" w:rsidP="007336A0">
      <w:pPr>
        <w:pStyle w:val="ListParagraph"/>
        <w:numPr>
          <w:ilvl w:val="0"/>
          <w:numId w:val="8"/>
        </w:numPr>
        <w:rPr>
          <w:rFonts w:ascii="Arial" w:hAnsi="Arial" w:cs="Arial"/>
          <w:sz w:val="24"/>
          <w:szCs w:val="24"/>
        </w:rPr>
      </w:pPr>
      <w:r>
        <w:rPr>
          <w:rFonts w:ascii="Arial" w:hAnsi="Arial" w:cs="Arial"/>
          <w:color w:val="222222"/>
          <w:sz w:val="24"/>
          <w:szCs w:val="24"/>
          <w:shd w:val="clear" w:color="auto" w:fill="FFFFFF"/>
        </w:rPr>
        <w:t>Williamson, A. L. (2011). Assessing the core and dimensional approaches: Human resource management in public, private, and charter schools. </w:t>
      </w:r>
      <w:r>
        <w:rPr>
          <w:rFonts w:ascii="Arial" w:hAnsi="Arial" w:cs="Arial"/>
          <w:i/>
          <w:iCs/>
          <w:color w:val="222222"/>
          <w:sz w:val="24"/>
          <w:szCs w:val="24"/>
          <w:shd w:val="clear" w:color="auto" w:fill="FFFFFF"/>
        </w:rPr>
        <w:t>Public Performance &amp; Management Review</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35</w:t>
      </w:r>
      <w:r>
        <w:rPr>
          <w:rFonts w:ascii="Arial" w:hAnsi="Arial" w:cs="Arial"/>
          <w:color w:val="222222"/>
          <w:sz w:val="24"/>
          <w:szCs w:val="24"/>
          <w:shd w:val="clear" w:color="auto" w:fill="FFFFFF"/>
        </w:rPr>
        <w:t>(2), 251-280.</w:t>
      </w:r>
    </w:p>
    <w:p w14:paraId="582895F6" w14:textId="77777777" w:rsidR="0035231D" w:rsidRDefault="0035231D" w:rsidP="007336A0">
      <w:pPr>
        <w:pStyle w:val="ListParagraph"/>
        <w:numPr>
          <w:ilvl w:val="0"/>
          <w:numId w:val="8"/>
        </w:numPr>
        <w:rPr>
          <w:rFonts w:ascii="Arial" w:hAnsi="Arial" w:cs="Arial"/>
          <w:sz w:val="24"/>
          <w:szCs w:val="24"/>
        </w:rPr>
      </w:pPr>
      <w:proofErr w:type="spellStart"/>
      <w:r>
        <w:rPr>
          <w:rFonts w:ascii="Arial" w:hAnsi="Arial" w:cs="Arial"/>
          <w:color w:val="222222"/>
          <w:sz w:val="24"/>
          <w:szCs w:val="24"/>
          <w:shd w:val="clear" w:color="auto" w:fill="FFFFFF"/>
        </w:rPr>
        <w:t>Yusoff</w:t>
      </w:r>
      <w:proofErr w:type="spellEnd"/>
      <w:r>
        <w:rPr>
          <w:rFonts w:ascii="Arial" w:hAnsi="Arial" w:cs="Arial"/>
          <w:color w:val="222222"/>
          <w:sz w:val="24"/>
          <w:szCs w:val="24"/>
          <w:shd w:val="clear" w:color="auto" w:fill="FFFFFF"/>
        </w:rPr>
        <w:t xml:space="preserve">, Y. M., Abdullah, H. S., &amp; </w:t>
      </w:r>
      <w:proofErr w:type="spellStart"/>
      <w:r>
        <w:rPr>
          <w:rFonts w:ascii="Arial" w:hAnsi="Arial" w:cs="Arial"/>
          <w:color w:val="222222"/>
          <w:sz w:val="24"/>
          <w:szCs w:val="24"/>
          <w:shd w:val="clear" w:color="auto" w:fill="FFFFFF"/>
        </w:rPr>
        <w:t>Ramayah</w:t>
      </w:r>
      <w:proofErr w:type="spellEnd"/>
      <w:r>
        <w:rPr>
          <w:rFonts w:ascii="Arial" w:hAnsi="Arial" w:cs="Arial"/>
          <w:color w:val="222222"/>
          <w:sz w:val="24"/>
          <w:szCs w:val="24"/>
          <w:shd w:val="clear" w:color="auto" w:fill="FFFFFF"/>
        </w:rPr>
        <w:t>, T. (2009). HR roles effectiveness and HR contributions effectiveness: Comparing evidence from HR and line managers. </w:t>
      </w:r>
      <w:r>
        <w:rPr>
          <w:rFonts w:ascii="Arial" w:hAnsi="Arial" w:cs="Arial"/>
          <w:i/>
          <w:iCs/>
          <w:color w:val="222222"/>
          <w:sz w:val="24"/>
          <w:szCs w:val="24"/>
          <w:shd w:val="clear" w:color="auto" w:fill="FFFFFF"/>
        </w:rPr>
        <w:t>International Journal of Business and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w:t>
      </w:r>
      <w:r>
        <w:rPr>
          <w:rFonts w:ascii="Arial" w:hAnsi="Arial" w:cs="Arial"/>
          <w:color w:val="222222"/>
          <w:sz w:val="24"/>
          <w:szCs w:val="24"/>
          <w:shd w:val="clear" w:color="auto" w:fill="FFFFFF"/>
        </w:rPr>
        <w:t>(2), 158-163.</w:t>
      </w:r>
    </w:p>
    <w:p w14:paraId="75FBB730" w14:textId="77777777" w:rsidR="00E549D0" w:rsidRPr="00E549D0" w:rsidRDefault="00E549D0" w:rsidP="00E549D0">
      <w:pPr>
        <w:pStyle w:val="ListParagraph"/>
        <w:jc w:val="center"/>
        <w:rPr>
          <w:rFonts w:ascii="Arial" w:hAnsi="Arial" w:cs="Arial"/>
          <w:b/>
          <w:i/>
          <w:iCs/>
          <w:sz w:val="36"/>
          <w:szCs w:val="36"/>
          <w:u w:val="single"/>
        </w:rPr>
      </w:pPr>
    </w:p>
    <w:p w14:paraId="6E67A121" w14:textId="77777777" w:rsidR="00E549D0" w:rsidRPr="00E549D0" w:rsidRDefault="00E549D0" w:rsidP="00E549D0">
      <w:pPr>
        <w:jc w:val="center"/>
        <w:rPr>
          <w:b/>
          <w:i/>
          <w:iCs/>
          <w:sz w:val="36"/>
          <w:szCs w:val="36"/>
          <w:u w:val="single"/>
        </w:rPr>
      </w:pPr>
    </w:p>
    <w:p w14:paraId="452AA8E4" w14:textId="77777777" w:rsidR="00E549D0" w:rsidRPr="00E549D0" w:rsidRDefault="00E549D0">
      <w:pPr>
        <w:jc w:val="center"/>
        <w:rPr>
          <w:b/>
          <w:i/>
          <w:iCs/>
          <w:sz w:val="36"/>
          <w:szCs w:val="36"/>
          <w:u w:val="single"/>
        </w:rPr>
      </w:pPr>
    </w:p>
    <w:sectPr w:rsidR="00E549D0" w:rsidRPr="00E549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B1B84"/>
    <w:multiLevelType w:val="hybridMultilevel"/>
    <w:tmpl w:val="2878E146"/>
    <w:lvl w:ilvl="0" w:tplc="FFFFFFF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 w15:restartNumberingAfterBreak="0">
    <w:nsid w:val="1CD95487"/>
    <w:multiLevelType w:val="hybridMultilevel"/>
    <w:tmpl w:val="004CA03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3D92597D"/>
    <w:multiLevelType w:val="hybridMultilevel"/>
    <w:tmpl w:val="97505436"/>
    <w:lvl w:ilvl="0" w:tplc="0409000F">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3" w15:restartNumberingAfterBreak="0">
    <w:nsid w:val="417C796C"/>
    <w:multiLevelType w:val="hybridMultilevel"/>
    <w:tmpl w:val="10D28E0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63DC30B0"/>
    <w:multiLevelType w:val="hybridMultilevel"/>
    <w:tmpl w:val="FF9ED9D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64776FF3"/>
    <w:multiLevelType w:val="hybridMultilevel"/>
    <w:tmpl w:val="2878E146"/>
    <w:lvl w:ilvl="0" w:tplc="0409000F">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6" w15:restartNumberingAfterBreak="0">
    <w:nsid w:val="78B165E8"/>
    <w:multiLevelType w:val="hybridMultilevel"/>
    <w:tmpl w:val="1346DE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65429077">
    <w:abstractNumId w:val="6"/>
    <w:lvlOverride w:ilvl="0"/>
    <w:lvlOverride w:ilvl="1"/>
    <w:lvlOverride w:ilvl="2"/>
    <w:lvlOverride w:ilvl="3"/>
    <w:lvlOverride w:ilvl="4"/>
    <w:lvlOverride w:ilvl="5"/>
    <w:lvlOverride w:ilvl="6"/>
    <w:lvlOverride w:ilvl="7"/>
    <w:lvlOverride w:ilvl="8"/>
  </w:num>
  <w:num w:numId="2" w16cid:durableId="132851031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33917433">
    <w:abstractNumId w:val="5"/>
  </w:num>
  <w:num w:numId="4" w16cid:durableId="1252200195">
    <w:abstractNumId w:val="0"/>
  </w:num>
  <w:num w:numId="5" w16cid:durableId="125743965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3543424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6551894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7878938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6B1"/>
    <w:rsid w:val="00254B82"/>
    <w:rsid w:val="0035231D"/>
    <w:rsid w:val="005106B1"/>
    <w:rsid w:val="007336A0"/>
    <w:rsid w:val="00DD12CA"/>
    <w:rsid w:val="00E549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36FB7"/>
  <w15:chartTrackingRefBased/>
  <w15:docId w15:val="{58818D14-5BC6-4B2B-A748-B4D5155FE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6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5106B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106B1"/>
    <w:rPr>
      <w:i/>
      <w:iCs/>
      <w:color w:val="4472C4" w:themeColor="accent1"/>
    </w:rPr>
  </w:style>
  <w:style w:type="paragraph" w:styleId="ListParagraph">
    <w:name w:val="List Paragraph"/>
    <w:basedOn w:val="Normal"/>
    <w:uiPriority w:val="34"/>
    <w:qFormat/>
    <w:rsid w:val="005106B1"/>
    <w:pPr>
      <w:spacing w:after="0" w:line="240" w:lineRule="auto"/>
      <w:ind w:left="720"/>
      <w:contextualSpacing/>
    </w:pPr>
    <w:rPr>
      <w:rFonts w:ascii="Times New Roman" w:eastAsia="Times New Roman" w:hAnsi="Times New Roman" w:cs="Times New Roman"/>
      <w:kern w:val="0"/>
      <w:sz w:val="20"/>
      <w:szCs w:val="20"/>
      <w:lang w:val="en-GB" w:eastAsia="en-GB"/>
      <w14:ligatures w14:val="none"/>
    </w:rPr>
  </w:style>
  <w:style w:type="table" w:styleId="TableGrid">
    <w:name w:val="Table Grid"/>
    <w:basedOn w:val="TableNormal"/>
    <w:uiPriority w:val="39"/>
    <w:rsid w:val="005106B1"/>
    <w:pPr>
      <w:spacing w:after="0" w:line="240" w:lineRule="auto"/>
    </w:pPr>
    <w:rPr>
      <w:rFonts w:ascii="Times New Roman" w:eastAsia="Times New Roman" w:hAnsi="Times New Roman" w:cs="Times New Roman"/>
      <w:kern w:val="0"/>
      <w:sz w:val="20"/>
      <w:szCs w:val="20"/>
      <w:lang w:val="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600503">
      <w:bodyDiv w:val="1"/>
      <w:marLeft w:val="0"/>
      <w:marRight w:val="0"/>
      <w:marTop w:val="0"/>
      <w:marBottom w:val="0"/>
      <w:divBdr>
        <w:top w:val="none" w:sz="0" w:space="0" w:color="auto"/>
        <w:left w:val="none" w:sz="0" w:space="0" w:color="auto"/>
        <w:bottom w:val="none" w:sz="0" w:space="0" w:color="auto"/>
        <w:right w:val="none" w:sz="0" w:space="0" w:color="auto"/>
      </w:divBdr>
    </w:div>
    <w:div w:id="490105320">
      <w:bodyDiv w:val="1"/>
      <w:marLeft w:val="0"/>
      <w:marRight w:val="0"/>
      <w:marTop w:val="0"/>
      <w:marBottom w:val="0"/>
      <w:divBdr>
        <w:top w:val="none" w:sz="0" w:space="0" w:color="auto"/>
        <w:left w:val="none" w:sz="0" w:space="0" w:color="auto"/>
        <w:bottom w:val="none" w:sz="0" w:space="0" w:color="auto"/>
        <w:right w:val="none" w:sz="0" w:space="0" w:color="auto"/>
      </w:divBdr>
    </w:div>
    <w:div w:id="656542514">
      <w:bodyDiv w:val="1"/>
      <w:marLeft w:val="0"/>
      <w:marRight w:val="0"/>
      <w:marTop w:val="0"/>
      <w:marBottom w:val="0"/>
      <w:divBdr>
        <w:top w:val="none" w:sz="0" w:space="0" w:color="auto"/>
        <w:left w:val="none" w:sz="0" w:space="0" w:color="auto"/>
        <w:bottom w:val="none" w:sz="0" w:space="0" w:color="auto"/>
        <w:right w:val="none" w:sz="0" w:space="0" w:color="auto"/>
      </w:divBdr>
    </w:div>
    <w:div w:id="691223945">
      <w:bodyDiv w:val="1"/>
      <w:marLeft w:val="0"/>
      <w:marRight w:val="0"/>
      <w:marTop w:val="0"/>
      <w:marBottom w:val="0"/>
      <w:divBdr>
        <w:top w:val="none" w:sz="0" w:space="0" w:color="auto"/>
        <w:left w:val="none" w:sz="0" w:space="0" w:color="auto"/>
        <w:bottom w:val="none" w:sz="0" w:space="0" w:color="auto"/>
        <w:right w:val="none" w:sz="0" w:space="0" w:color="auto"/>
      </w:divBdr>
    </w:div>
    <w:div w:id="794638854">
      <w:bodyDiv w:val="1"/>
      <w:marLeft w:val="0"/>
      <w:marRight w:val="0"/>
      <w:marTop w:val="0"/>
      <w:marBottom w:val="0"/>
      <w:divBdr>
        <w:top w:val="none" w:sz="0" w:space="0" w:color="auto"/>
        <w:left w:val="none" w:sz="0" w:space="0" w:color="auto"/>
        <w:bottom w:val="none" w:sz="0" w:space="0" w:color="auto"/>
        <w:right w:val="none" w:sz="0" w:space="0" w:color="auto"/>
      </w:divBdr>
    </w:div>
    <w:div w:id="879123958">
      <w:bodyDiv w:val="1"/>
      <w:marLeft w:val="0"/>
      <w:marRight w:val="0"/>
      <w:marTop w:val="0"/>
      <w:marBottom w:val="0"/>
      <w:divBdr>
        <w:top w:val="none" w:sz="0" w:space="0" w:color="auto"/>
        <w:left w:val="none" w:sz="0" w:space="0" w:color="auto"/>
        <w:bottom w:val="none" w:sz="0" w:space="0" w:color="auto"/>
        <w:right w:val="none" w:sz="0" w:space="0" w:color="auto"/>
      </w:divBdr>
    </w:div>
    <w:div w:id="902449660">
      <w:bodyDiv w:val="1"/>
      <w:marLeft w:val="0"/>
      <w:marRight w:val="0"/>
      <w:marTop w:val="0"/>
      <w:marBottom w:val="0"/>
      <w:divBdr>
        <w:top w:val="none" w:sz="0" w:space="0" w:color="auto"/>
        <w:left w:val="none" w:sz="0" w:space="0" w:color="auto"/>
        <w:bottom w:val="none" w:sz="0" w:space="0" w:color="auto"/>
        <w:right w:val="none" w:sz="0" w:space="0" w:color="auto"/>
      </w:divBdr>
    </w:div>
    <w:div w:id="1089620747">
      <w:bodyDiv w:val="1"/>
      <w:marLeft w:val="0"/>
      <w:marRight w:val="0"/>
      <w:marTop w:val="0"/>
      <w:marBottom w:val="0"/>
      <w:divBdr>
        <w:top w:val="none" w:sz="0" w:space="0" w:color="auto"/>
        <w:left w:val="none" w:sz="0" w:space="0" w:color="auto"/>
        <w:bottom w:val="none" w:sz="0" w:space="0" w:color="auto"/>
        <w:right w:val="none" w:sz="0" w:space="0" w:color="auto"/>
      </w:divBdr>
    </w:div>
    <w:div w:id="1256522841">
      <w:bodyDiv w:val="1"/>
      <w:marLeft w:val="0"/>
      <w:marRight w:val="0"/>
      <w:marTop w:val="0"/>
      <w:marBottom w:val="0"/>
      <w:divBdr>
        <w:top w:val="none" w:sz="0" w:space="0" w:color="auto"/>
        <w:left w:val="none" w:sz="0" w:space="0" w:color="auto"/>
        <w:bottom w:val="none" w:sz="0" w:space="0" w:color="auto"/>
        <w:right w:val="none" w:sz="0" w:space="0" w:color="auto"/>
      </w:divBdr>
    </w:div>
    <w:div w:id="1322781261">
      <w:bodyDiv w:val="1"/>
      <w:marLeft w:val="0"/>
      <w:marRight w:val="0"/>
      <w:marTop w:val="0"/>
      <w:marBottom w:val="0"/>
      <w:divBdr>
        <w:top w:val="none" w:sz="0" w:space="0" w:color="auto"/>
        <w:left w:val="none" w:sz="0" w:space="0" w:color="auto"/>
        <w:bottom w:val="none" w:sz="0" w:space="0" w:color="auto"/>
        <w:right w:val="none" w:sz="0" w:space="0" w:color="auto"/>
      </w:divBdr>
    </w:div>
    <w:div w:id="1891531226">
      <w:bodyDiv w:val="1"/>
      <w:marLeft w:val="0"/>
      <w:marRight w:val="0"/>
      <w:marTop w:val="0"/>
      <w:marBottom w:val="0"/>
      <w:divBdr>
        <w:top w:val="none" w:sz="0" w:space="0" w:color="auto"/>
        <w:left w:val="none" w:sz="0" w:space="0" w:color="auto"/>
        <w:bottom w:val="none" w:sz="0" w:space="0" w:color="auto"/>
        <w:right w:val="none" w:sz="0" w:space="0" w:color="auto"/>
      </w:divBdr>
    </w:div>
    <w:div w:id="1974407682">
      <w:bodyDiv w:val="1"/>
      <w:marLeft w:val="0"/>
      <w:marRight w:val="0"/>
      <w:marTop w:val="0"/>
      <w:marBottom w:val="0"/>
      <w:divBdr>
        <w:top w:val="none" w:sz="0" w:space="0" w:color="auto"/>
        <w:left w:val="none" w:sz="0" w:space="0" w:color="auto"/>
        <w:bottom w:val="none" w:sz="0" w:space="0" w:color="auto"/>
        <w:right w:val="none" w:sz="0" w:space="0" w:color="auto"/>
      </w:divBdr>
    </w:div>
    <w:div w:id="2105220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4AD87-B250-40E2-AEBE-485BBE746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2873</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pranjal trivedi</dc:creator>
  <cp:keywords/>
  <dc:description/>
  <cp:lastModifiedBy>pranjal trivedi</cp:lastModifiedBy>
  <cp:revision>1</cp:revision>
  <dcterms:created xsi:type="dcterms:W3CDTF">2023-06-23T09:41:00Z</dcterms:created>
  <dcterms:modified xsi:type="dcterms:W3CDTF">2023-06-23T10:35:00Z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2a733528-8120-425f-bf82-fdcd755deec0</vt:lpwstr>
  </property>
</Properties>
</file>