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word/_rels/footnotes.xml.rels" ContentType="application/vnd.openxmlformats-package.relationships+xml"/>
</Types>
</file>

<file path=_rels/.rels><?xml version="1.0" encoding="UTF-8"?>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Web"/>
        <w:bidi w:val="0"/>
        <w:spacing w:before="0" w:after="0"/>
        <w:ind w:start="-180" w:end="-334"/>
        <w:jc w:val="start"/>
        <w:rPr/>
      </w:pPr>
      <w:r>
        <w:rPr/>
        <w:drawing>
          <wp:inline distT="0" distB="0" distL="0" distR="0">
            <wp:extent cx="1907540" cy="635635"/>
            <wp:effectExtent l="0" t="0" r="0" b="0"/>
            <wp:docPr id="1" name="Image1"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title=""/>
                    <pic:cNvPicPr>
                      <a:picLocks noChangeAspect="1" noChangeArrowheads="1"/>
                    </pic:cNvPicPr>
                  </pic:nvPicPr>
                  <pic:blipFill>
                    <a:blip r:embed="rId2"/>
                    <a:stretch>
                      <a:fillRect/>
                    </a:stretch>
                  </pic:blipFill>
                  <pic:spPr bwMode="auto">
                    <a:xfrm>
                      <a:off x="0" y="0"/>
                      <a:ext cx="1907540" cy="635635"/>
                    </a:xfrm>
                    <a:prstGeom prst="rect">
                      <a:avLst/>
                    </a:prstGeom>
                    <a:noFill/>
                    <a:ln w="19050">
                      <a:solidFill>
                        <a:srgbClr val="000000"/>
                      </a:solidFill>
                    </a:ln>
                  </pic:spPr>
                </pic:pic>
              </a:graphicData>
            </a:graphic>
          </wp:inline>
        </w:drawing>
      </w:r>
    </w:p>
    <w:p>
      <w:pPr>
        <w:pStyle w:val="NormalWeb"/>
        <w:bidi w:val="0"/>
        <w:spacing w:before="0" w:after="0"/>
        <w:ind w:start="-180" w:end="-334"/>
        <w:jc w:val="start"/>
        <w:rPr/>
      </w:pPr>
      <w:r>
        <w:rPr/>
      </w:r>
    </w:p>
    <w:p>
      <w:pPr>
        <w:pStyle w:val="NormalWeb"/>
        <w:bidi w:val="0"/>
        <w:spacing w:before="0" w:after="0"/>
        <w:ind w:start="-180" w:end="-334"/>
        <w:jc w:val="start"/>
        <w:rPr/>
      </w:pPr>
      <w:r>
        <w:rPr/>
      </w:r>
    </w:p>
    <w:p>
      <w:pPr>
        <w:pStyle w:val="NormalWeb"/>
        <w:bidi w:val="0"/>
        <w:spacing w:before="0" w:after="0"/>
        <w:ind w:start="-180" w:end="-334"/>
        <w:jc w:val="center"/>
        <w:rPr/>
      </w:pPr>
      <w:r>
        <w:rPr>
          <w:rFonts w:cs="Arial" w:ascii="Arial" w:hAnsi="Arial"/>
          <w:b/>
          <w:sz w:val="28"/>
          <w:szCs w:val="28"/>
          <w:lang w:val="cy-GB"/>
        </w:rPr>
        <w:t xml:space="preserve">Postgraduate/Distance Learning </w:t>
      </w:r>
    </w:p>
    <w:p>
      <w:pPr>
        <w:pStyle w:val="NormalWeb"/>
        <w:bidi w:val="0"/>
        <w:spacing w:before="0" w:after="0"/>
        <w:ind w:start="-180" w:end="-334"/>
        <w:jc w:val="center"/>
        <w:rPr/>
      </w:pPr>
      <w:r>
        <w:rPr>
          <w:rFonts w:cs="Arial" w:ascii="Arial" w:hAnsi="Arial"/>
          <w:b/>
          <w:sz w:val="28"/>
          <w:szCs w:val="28"/>
          <w:lang w:val="cy-GB"/>
        </w:rPr>
        <w:t>Assignment coversheet &amp; feedback form</w:t>
      </w:r>
    </w:p>
    <w:p>
      <w:pPr>
        <w:pStyle w:val="Normal"/>
        <w:bidi w:val="0"/>
        <w:jc w:val="start"/>
        <w:rPr>
          <w:rFonts w:ascii="Arial" w:hAnsi="Arial" w:cs="Arial"/>
          <w:b/>
          <w:sz w:val="28"/>
          <w:szCs w:val="28"/>
          <w:lang w:val="cy-GB"/>
        </w:rPr>
      </w:pPr>
      <w:r>
        <w:rPr>
          <w:rFonts w:cs="Arial" w:ascii="Arial" w:hAnsi="Arial"/>
          <w:b/>
          <w:sz w:val="28"/>
          <w:szCs w:val="28"/>
          <w:lang w:val="cy-GB"/>
        </w:rPr>
      </w:r>
    </w:p>
    <w:p>
      <w:pPr>
        <w:pStyle w:val="Heading3"/>
        <w:bidi w:val="0"/>
        <w:jc w:val="center"/>
        <w:rPr>
          <w:lang w:val="cy-GB"/>
        </w:rPr>
      </w:pPr>
      <w:r>
        <w:rPr>
          <w:lang w:val="cy-GB"/>
        </w:rPr>
        <w:t>THIS SHEET MUST BE THE FIRST PAGE OF THE ASSIGNMENT YOU ARE SUBMITTING  (DO NOT SEND AS A SEPARATE FILE)</w:t>
      </w:r>
    </w:p>
    <w:p>
      <w:pPr>
        <w:pStyle w:val="Heading3"/>
        <w:bidi w:val="0"/>
        <w:jc w:val="center"/>
        <w:rPr>
          <w:rFonts w:ascii="Trebuchet MS" w:hAnsi="Trebuchet MS" w:cs="Trebuchet MS"/>
          <w:lang w:val="cy-GB"/>
        </w:rPr>
      </w:pPr>
      <w:r>
        <w:rPr>
          <w:rFonts w:cs="Trebuchet MS" w:ascii="Trebuchet MS" w:hAnsi="Trebuchet MS"/>
          <w:lang w:val="cy-GB"/>
        </w:rPr>
      </w:r>
    </w:p>
    <w:tbl>
      <w:tblPr>
        <w:tblW w:w="8856" w:type="dxa"/>
        <w:jc w:val="start"/>
        <w:tblInd w:w="-113" w:type="dxa"/>
        <w:tblLayout w:type="fixed"/>
        <w:tblCellMar>
          <w:top w:w="0" w:type="dxa"/>
          <w:start w:w="108" w:type="dxa"/>
          <w:bottom w:w="0" w:type="dxa"/>
          <w:end w:w="108" w:type="dxa"/>
        </w:tblCellMar>
      </w:tblPr>
      <w:tblGrid>
        <w:gridCol w:w="4788"/>
        <w:gridCol w:w="423"/>
        <w:gridCol w:w="1557"/>
        <w:gridCol w:w="286"/>
        <w:gridCol w:w="1802"/>
      </w:tblGrid>
      <w:tr>
        <w:trPr>
          <w:trHeight w:val="614"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pPr>
            <w:r>
              <w:rPr>
                <w:rFonts w:cs="Arial" w:ascii="Arial" w:hAnsi="Arial"/>
                <w:b/>
                <w:sz w:val="22"/>
                <w:szCs w:val="22"/>
              </w:rPr>
              <w:t>For completion by the student</w:t>
            </w:r>
            <w:r>
              <w:rPr>
                <w:rFonts w:cs="Arial" w:ascii="Arial" w:hAnsi="Arial"/>
                <w:sz w:val="22"/>
                <w:szCs w:val="22"/>
              </w:rPr>
              <w:t>:</w:t>
            </w:r>
          </w:p>
        </w:tc>
      </w:tr>
      <w:tr>
        <w:trPr>
          <w:trHeight w:val="718"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pPr>
            <w:r>
              <w:rPr>
                <w:rFonts w:cs="Arial" w:ascii="Arial" w:hAnsi="Arial"/>
                <w:sz w:val="22"/>
                <w:szCs w:val="22"/>
              </w:rPr>
              <w:t>Student Name:</w:t>
            </w:r>
          </w:p>
          <w:p>
            <w:pPr>
              <w:pStyle w:val="NormalWeb"/>
              <w:bidi w:val="0"/>
              <w:spacing w:before="0" w:after="0"/>
              <w:ind w:end="34"/>
              <w:jc w:val="start"/>
              <w:rPr>
                <w:rFonts w:ascii="Arial" w:hAnsi="Arial" w:cs="Arial"/>
                <w:sz w:val="22"/>
                <w:szCs w:val="22"/>
              </w:rPr>
            </w:pPr>
            <w:r>
              <w:rPr>
                <w:rFonts w:cs="Arial" w:ascii="Arial" w:hAnsi="Arial"/>
                <w:sz w:val="22"/>
                <w:szCs w:val="22"/>
              </w:rPr>
              <w:t>Doris Maat</w:t>
            </w:r>
          </w:p>
        </w:tc>
      </w:tr>
      <w:tr>
        <w:trPr>
          <w:trHeight w:val="849" w:hRule="atLeast"/>
        </w:trPr>
        <w:tc>
          <w:tcPr>
            <w:tcW w:w="4788" w:type="dxa"/>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rFonts w:ascii="Arial" w:hAnsi="Arial" w:cs="Arial"/>
                <w:sz w:val="22"/>
                <w:szCs w:val="22"/>
              </w:rPr>
            </w:pPr>
            <w:r>
              <w:rPr>
                <w:rFonts w:cs="Arial" w:ascii="Arial" w:hAnsi="Arial"/>
                <w:sz w:val="22"/>
                <w:szCs w:val="22"/>
              </w:rPr>
              <w:t xml:space="preserve">Module code: </w:t>
            </w:r>
            <w:r>
              <w:rPr>
                <w:rFonts w:cs="Arial" w:ascii="Arial" w:hAnsi="Arial"/>
                <w:sz w:val="22"/>
                <w:szCs w:val="22"/>
              </w:rPr>
              <w:t>HPCA7015</w:t>
            </w:r>
          </w:p>
          <w:p>
            <w:pPr>
              <w:pStyle w:val="NormalWeb"/>
              <w:bidi w:val="0"/>
              <w:spacing w:before="0" w:after="0"/>
              <w:ind w:end="34"/>
              <w:jc w:val="start"/>
              <w:rPr>
                <w:rFonts w:ascii="Arial" w:hAnsi="Arial" w:cs="Arial"/>
                <w:sz w:val="22"/>
                <w:szCs w:val="22"/>
              </w:rPr>
            </w:pPr>
            <w:r>
              <w:rPr>
                <w:rFonts w:cs="Arial" w:ascii="Arial" w:hAnsi="Arial"/>
                <w:sz w:val="22"/>
                <w:szCs w:val="22"/>
              </w:rPr>
            </w:r>
          </w:p>
          <w:p>
            <w:pPr>
              <w:pStyle w:val="NormalWeb"/>
              <w:bidi w:val="0"/>
              <w:spacing w:before="0" w:after="0"/>
              <w:ind w:end="34"/>
              <w:jc w:val="start"/>
              <w:rPr>
                <w:rFonts w:ascii="Arial" w:hAnsi="Arial" w:cs="Arial"/>
                <w:sz w:val="22"/>
                <w:szCs w:val="22"/>
              </w:rPr>
            </w:pPr>
            <w:r>
              <w:rPr>
                <w:rFonts w:cs="Arial" w:ascii="Arial" w:hAnsi="Arial"/>
                <w:sz w:val="22"/>
                <w:szCs w:val="22"/>
              </w:rPr>
              <w:t>Module title:</w:t>
            </w:r>
          </w:p>
          <w:p>
            <w:pPr>
              <w:pStyle w:val="NormalWeb"/>
              <w:bidi w:val="0"/>
              <w:spacing w:before="0" w:after="0"/>
              <w:ind w:end="34"/>
              <w:jc w:val="start"/>
              <w:rPr>
                <w:rFonts w:ascii="Arial" w:hAnsi="Arial" w:cs="Arial"/>
                <w:sz w:val="22"/>
                <w:szCs w:val="22"/>
              </w:rPr>
            </w:pPr>
            <w:r>
              <w:rPr>
                <w:rFonts w:cs="Arial" w:ascii="Arial" w:hAnsi="Arial"/>
                <w:sz w:val="22"/>
                <w:szCs w:val="22"/>
              </w:rPr>
            </w:r>
          </w:p>
          <w:p>
            <w:pPr>
              <w:pStyle w:val="NormalWeb"/>
              <w:bidi w:val="0"/>
              <w:spacing w:before="0" w:after="0"/>
              <w:ind w:end="34"/>
              <w:jc w:val="start"/>
              <w:rPr>
                <w:rFonts w:ascii="Arial" w:hAnsi="Arial" w:cs="Arial"/>
                <w:sz w:val="22"/>
                <w:szCs w:val="22"/>
              </w:rPr>
            </w:pPr>
            <w:r>
              <w:rPr>
                <w:rFonts w:cs="Arial" w:ascii="Arial" w:hAnsi="Arial"/>
                <w:sz w:val="22"/>
                <w:szCs w:val="22"/>
              </w:rPr>
            </w:r>
          </w:p>
        </w:tc>
        <w:tc>
          <w:tcPr>
            <w:tcW w:w="2266" w:type="dxa"/>
            <w:gridSpan w:val="3"/>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rFonts w:ascii="Arial" w:hAnsi="Arial" w:cs="Arial"/>
                <w:sz w:val="22"/>
                <w:szCs w:val="22"/>
              </w:rPr>
            </w:pPr>
            <w:r>
              <w:rPr>
                <w:rFonts w:cs="Arial" w:ascii="Arial" w:hAnsi="Arial"/>
                <w:sz w:val="22"/>
                <w:szCs w:val="22"/>
              </w:rPr>
              <w:t>Student ID number:</w:t>
            </w:r>
          </w:p>
          <w:p>
            <w:pPr>
              <w:pStyle w:val="NormalWeb"/>
              <w:bidi w:val="0"/>
              <w:spacing w:before="0" w:after="0"/>
              <w:ind w:end="34"/>
              <w:jc w:val="start"/>
              <w:rPr>
                <w:rFonts w:ascii="Arial" w:hAnsi="Arial" w:cs="Arial"/>
                <w:sz w:val="22"/>
                <w:szCs w:val="22"/>
              </w:rPr>
            </w:pPr>
            <w:r>
              <w:rPr>
                <w:rFonts w:cs="Arial" w:ascii="Arial" w:hAnsi="Arial"/>
                <w:sz w:val="22"/>
                <w:szCs w:val="22"/>
              </w:rPr>
              <w:t>2322109</w:t>
            </w:r>
          </w:p>
        </w:tc>
        <w:tc>
          <w:tcPr>
            <w:tcW w:w="1802" w:type="dxa"/>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rFonts w:ascii="Arial" w:hAnsi="Arial" w:cs="Arial"/>
                <w:sz w:val="22"/>
                <w:szCs w:val="22"/>
              </w:rPr>
            </w:pPr>
            <w:r>
              <w:rPr>
                <w:rFonts w:cs="Arial" w:ascii="Arial" w:hAnsi="Arial"/>
                <w:sz w:val="22"/>
                <w:szCs w:val="22"/>
              </w:rPr>
              <w:t>Educational support needs:</w:t>
            </w:r>
          </w:p>
          <w:p>
            <w:pPr>
              <w:pStyle w:val="NormalWeb"/>
              <w:bidi w:val="0"/>
              <w:spacing w:before="0" w:after="0"/>
              <w:ind w:end="34"/>
              <w:jc w:val="start"/>
              <w:rPr>
                <w:rFonts w:ascii="Arial" w:hAnsi="Arial" w:cs="Arial"/>
                <w:sz w:val="22"/>
                <w:szCs w:val="22"/>
              </w:rPr>
            </w:pPr>
            <w:r>
              <w:rPr>
                <w:rFonts w:cs="Arial" w:ascii="Arial" w:hAnsi="Arial"/>
                <w:sz w:val="22"/>
                <w:szCs w:val="22"/>
              </w:rPr>
              <w:t>Yes/No</w:t>
            </w:r>
          </w:p>
        </w:tc>
      </w:tr>
      <w:tr>
        <w:trPr>
          <w:trHeight w:val="1139"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rFonts w:ascii="Arial" w:hAnsi="Arial" w:cs="Arial"/>
                <w:sz w:val="22"/>
                <w:szCs w:val="22"/>
              </w:rPr>
            </w:pPr>
            <w:r>
              <w:rPr>
                <w:rFonts w:cs="Arial" w:ascii="Arial" w:hAnsi="Arial"/>
                <w:sz w:val="22"/>
                <w:szCs w:val="22"/>
              </w:rPr>
              <w:t xml:space="preserve">Module tutor: </w:t>
            </w:r>
            <w:r>
              <w:rPr>
                <w:rFonts w:cs="Arial" w:ascii="Arial" w:hAnsi="Arial"/>
                <w:sz w:val="22"/>
                <w:szCs w:val="22"/>
              </w:rPr>
              <w:t>Nick Campion, Bernadette Brady, Darrelyn Gunzburg</w:t>
            </w:r>
          </w:p>
          <w:p>
            <w:pPr>
              <w:pStyle w:val="NormalWeb"/>
              <w:bidi w:val="0"/>
              <w:spacing w:before="0" w:after="0"/>
              <w:ind w:end="34"/>
              <w:jc w:val="start"/>
              <w:rPr>
                <w:rFonts w:ascii="Arial" w:hAnsi="Arial" w:cs="Arial"/>
                <w:sz w:val="22"/>
                <w:szCs w:val="22"/>
              </w:rPr>
            </w:pPr>
            <w:r>
              <w:rPr>
                <w:rFonts w:cs="Arial" w:ascii="Arial" w:hAnsi="Arial"/>
                <w:sz w:val="22"/>
                <w:szCs w:val="22"/>
              </w:rPr>
            </w:r>
          </w:p>
          <w:p>
            <w:pPr>
              <w:pStyle w:val="NormalWeb"/>
              <w:bidi w:val="0"/>
              <w:spacing w:before="0" w:after="0"/>
              <w:ind w:end="34"/>
              <w:jc w:val="start"/>
              <w:rPr>
                <w:rFonts w:ascii="Arial" w:hAnsi="Arial" w:cs="Arial"/>
                <w:sz w:val="22"/>
                <w:szCs w:val="22"/>
              </w:rPr>
            </w:pPr>
            <w:r>
              <w:rPr>
                <w:rFonts w:cs="Arial" w:ascii="Arial" w:hAnsi="Arial"/>
                <w:sz w:val="22"/>
                <w:szCs w:val="22"/>
              </w:rPr>
            </w:r>
          </w:p>
          <w:p>
            <w:pPr>
              <w:pStyle w:val="NormalWeb"/>
              <w:bidi w:val="0"/>
              <w:spacing w:before="0" w:after="0"/>
              <w:ind w:end="34"/>
              <w:jc w:val="start"/>
              <w:rPr>
                <w:rFonts w:ascii="Arial" w:hAnsi="Arial" w:cs="Arial"/>
                <w:sz w:val="22"/>
                <w:szCs w:val="22"/>
              </w:rPr>
            </w:pPr>
            <w:r>
              <w:rPr>
                <w:rFonts w:cs="Arial" w:ascii="Arial" w:hAnsi="Arial"/>
                <w:sz w:val="22"/>
                <w:szCs w:val="22"/>
              </w:rPr>
              <w:t>Assignment due date:</w:t>
            </w:r>
          </w:p>
        </w:tc>
      </w:tr>
      <w:tr>
        <w:trPr>
          <w:trHeight w:val="978"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If your module has multiple submissions please indicate which piece of work this is.</w:t>
            </w:r>
          </w:p>
          <w:p>
            <w:pPr>
              <w:pStyle w:val="Normal"/>
              <w:bidi w:val="0"/>
              <w:jc w:val="start"/>
              <w:rPr>
                <w:rFonts w:ascii="Arial" w:hAnsi="Arial" w:cs="Arial"/>
                <w:sz w:val="22"/>
                <w:szCs w:val="22"/>
              </w:rPr>
            </w:pPr>
            <w:r>
              <w:rPr>
                <w:rFonts w:cs="Arial" w:ascii="Arial" w:hAnsi="Arial"/>
                <w:sz w:val="22"/>
                <w:szCs w:val="22"/>
              </w:rPr>
            </w:r>
          </w:p>
          <w:p>
            <w:pPr>
              <w:pStyle w:val="Normal"/>
              <w:bidi w:val="0"/>
              <w:jc w:val="start"/>
              <w:rPr/>
            </w:pPr>
            <w:r>
              <w:rPr>
                <w:rFonts w:cs="Arial" w:ascii="Arial" w:hAnsi="Arial"/>
                <w:sz w:val="22"/>
                <w:szCs w:val="22"/>
              </w:rPr>
              <w:t>1</w:t>
            </w:r>
            <w:r>
              <w:rPr>
                <w:rFonts w:cs="Arial" w:ascii="Arial" w:hAnsi="Arial"/>
                <w:sz w:val="22"/>
                <w:szCs w:val="22"/>
                <w:vertAlign w:val="superscript"/>
              </w:rPr>
              <w:t xml:space="preserve">st </w:t>
            </w:r>
            <w:r>
              <w:fldChar w:fldCharType="begin">
                <w:ffData>
                  <w:name w:val="Check13"/>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0" w:name="Check13"/>
            <w:bookmarkStart w:id="1" w:name="Check13"/>
            <w:bookmarkEnd w:id="1"/>
            <w:r>
              <w:rPr>
                <w:rFonts w:cs="Arial" w:ascii="Arial" w:hAnsi="Arial"/>
                <w:sz w:val="22"/>
                <w:szCs w:val="22"/>
              </w:rPr>
            </w:r>
            <w:r>
              <w:rPr>
                <w:sz w:val="22"/>
                <w:szCs w:val="22"/>
                <w:rFonts w:cs="Arial" w:ascii="Arial" w:hAnsi="Arial"/>
              </w:rPr>
              <w:fldChar w:fldCharType="end"/>
            </w:r>
            <w:r>
              <w:rPr>
                <w:rFonts w:cs="Arial" w:ascii="Arial" w:hAnsi="Arial"/>
                <w:sz w:val="22"/>
                <w:szCs w:val="22"/>
              </w:rPr>
              <w:t xml:space="preserve">    2</w:t>
            </w:r>
            <w:r>
              <w:rPr>
                <w:rFonts w:cs="Arial" w:ascii="Arial" w:hAnsi="Arial"/>
                <w:sz w:val="22"/>
                <w:szCs w:val="22"/>
                <w:vertAlign w:val="superscript"/>
              </w:rPr>
              <w:t>nd</w:t>
            </w:r>
            <w:r>
              <w:rPr>
                <w:rFonts w:cs="Arial" w:ascii="Arial" w:hAnsi="Arial"/>
                <w:sz w:val="22"/>
                <w:szCs w:val="22"/>
              </w:rPr>
              <w:t xml:space="preserve">  </w:t>
            </w:r>
            <w:r>
              <w:fldChar w:fldCharType="begin">
                <w:ffData>
                  <w:name w:val="Check14"/>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2" w:name="Check14"/>
            <w:bookmarkStart w:id="3" w:name="Check14"/>
            <w:bookmarkEnd w:id="3"/>
            <w:r>
              <w:rPr>
                <w:rFonts w:cs="Arial" w:ascii="Arial" w:hAnsi="Arial"/>
                <w:sz w:val="22"/>
                <w:szCs w:val="22"/>
              </w:rPr>
            </w:r>
            <w:r>
              <w:rPr>
                <w:sz w:val="22"/>
                <w:szCs w:val="22"/>
                <w:rFonts w:cs="Arial" w:ascii="Arial" w:hAnsi="Arial"/>
              </w:rPr>
              <w:fldChar w:fldCharType="end"/>
            </w:r>
            <w:r>
              <w:rPr>
                <w:rFonts w:cs="Arial" w:ascii="Arial" w:hAnsi="Arial"/>
                <w:sz w:val="22"/>
                <w:szCs w:val="22"/>
              </w:rPr>
              <w:t xml:space="preserve">     3</w:t>
            </w:r>
            <w:r>
              <w:rPr>
                <w:rFonts w:cs="Arial" w:ascii="Arial" w:hAnsi="Arial"/>
                <w:sz w:val="22"/>
                <w:szCs w:val="22"/>
                <w:vertAlign w:val="superscript"/>
              </w:rPr>
              <w:t>rd</w:t>
            </w:r>
            <w:r>
              <w:rPr>
                <w:rFonts w:cs="Arial" w:ascii="Arial" w:hAnsi="Arial"/>
                <w:sz w:val="22"/>
                <w:szCs w:val="22"/>
              </w:rPr>
              <w:t xml:space="preserve">  </w:t>
            </w:r>
            <w:r>
              <w:fldChar w:fldCharType="begin">
                <w:ffData>
                  <w:name w:val="Check15"/>
                  <w:enabled/>
                  <w:calcOnExit w:val="0"/>
                  <w:checkBox>
                    <w:sizeAuto/>
                    <w:checked/>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4" w:name="Check15"/>
            <w:bookmarkStart w:id="5" w:name="Check15"/>
            <w:bookmarkEnd w:id="5"/>
            <w:r>
              <w:rPr>
                <w:rFonts w:cs="Arial" w:ascii="Arial" w:hAnsi="Arial"/>
                <w:sz w:val="22"/>
                <w:szCs w:val="22"/>
              </w:rPr>
            </w:r>
            <w:r>
              <w:rPr>
                <w:sz w:val="22"/>
                <w:szCs w:val="22"/>
                <w:rFonts w:cs="Arial" w:ascii="Arial" w:hAnsi="Arial"/>
              </w:rPr>
              <w:fldChar w:fldCharType="end"/>
            </w:r>
            <w:r>
              <w:rPr>
                <w:rFonts w:cs="Arial" w:ascii="Arial" w:hAnsi="Arial"/>
                <w:sz w:val="22"/>
                <w:szCs w:val="22"/>
              </w:rPr>
              <w:t xml:space="preserve">      4</w:t>
            </w:r>
            <w:r>
              <w:rPr>
                <w:rFonts w:cs="Arial" w:ascii="Arial" w:hAnsi="Arial"/>
                <w:sz w:val="22"/>
                <w:szCs w:val="22"/>
                <w:vertAlign w:val="superscript"/>
              </w:rPr>
              <w:t>th</w:t>
            </w:r>
            <w:r>
              <w:rPr>
                <w:rFonts w:cs="Arial" w:ascii="Arial" w:hAnsi="Arial"/>
                <w:sz w:val="22"/>
                <w:szCs w:val="22"/>
              </w:rPr>
              <w:t xml:space="preserve"> </w:t>
            </w:r>
            <w:r>
              <w:fldChar w:fldCharType="begin">
                <w:ffData>
                  <w:name w:val="Check16"/>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6" w:name="Check16"/>
            <w:bookmarkStart w:id="7" w:name="Check16"/>
            <w:bookmarkEnd w:id="7"/>
            <w:r>
              <w:rPr>
                <w:rFonts w:cs="Arial" w:ascii="Arial" w:hAnsi="Arial"/>
                <w:sz w:val="22"/>
                <w:szCs w:val="22"/>
              </w:rPr>
            </w:r>
            <w:r>
              <w:rPr>
                <w:sz w:val="22"/>
                <w:szCs w:val="22"/>
                <w:rFonts w:cs="Arial" w:ascii="Arial" w:hAnsi="Arial"/>
              </w:rPr>
              <w:fldChar w:fldCharType="end"/>
            </w:r>
            <w:r>
              <w:rPr>
                <w:rFonts w:cs="Arial" w:ascii="Arial" w:hAnsi="Arial"/>
                <w:sz w:val="22"/>
                <w:szCs w:val="22"/>
              </w:rPr>
              <w:t xml:space="preserve">      5</w:t>
            </w:r>
            <w:r>
              <w:rPr>
                <w:rFonts w:cs="Arial" w:ascii="Arial" w:hAnsi="Arial"/>
                <w:sz w:val="22"/>
                <w:szCs w:val="22"/>
                <w:vertAlign w:val="superscript"/>
              </w:rPr>
              <w:t>th</w:t>
            </w:r>
            <w:r>
              <w:rPr>
                <w:rFonts w:cs="Arial" w:ascii="Arial" w:hAnsi="Arial"/>
                <w:sz w:val="22"/>
                <w:szCs w:val="22"/>
              </w:rPr>
              <w:t xml:space="preserve"> </w:t>
            </w:r>
            <w:r>
              <w:fldChar w:fldCharType="begin">
                <w:ffData>
                  <w:name w:val="Check17"/>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8" w:name="Check17"/>
            <w:bookmarkStart w:id="9" w:name="Check17"/>
            <w:bookmarkEnd w:id="9"/>
            <w:r>
              <w:rPr>
                <w:rFonts w:cs="Arial" w:ascii="Arial" w:hAnsi="Arial"/>
                <w:sz w:val="22"/>
                <w:szCs w:val="22"/>
              </w:rPr>
            </w:r>
            <w:r>
              <w:rPr>
                <w:sz w:val="22"/>
                <w:szCs w:val="22"/>
                <w:rFonts w:cs="Arial" w:ascii="Arial" w:hAnsi="Arial"/>
              </w:rPr>
              <w:fldChar w:fldCharType="end"/>
            </w:r>
            <w:r>
              <w:rPr>
                <w:rFonts w:cs="Arial" w:ascii="Arial" w:hAnsi="Arial"/>
                <w:sz w:val="22"/>
                <w:szCs w:val="22"/>
              </w:rPr>
              <w:t xml:space="preserve">      6</w:t>
            </w:r>
            <w:r>
              <w:rPr>
                <w:rFonts w:cs="Arial" w:ascii="Arial" w:hAnsi="Arial"/>
                <w:sz w:val="22"/>
                <w:szCs w:val="22"/>
                <w:vertAlign w:val="superscript"/>
              </w:rPr>
              <w:t>th</w:t>
            </w:r>
            <w:r>
              <w:rPr>
                <w:rFonts w:cs="Arial" w:ascii="Arial" w:hAnsi="Arial"/>
                <w:sz w:val="22"/>
                <w:szCs w:val="22"/>
              </w:rPr>
              <w:t xml:space="preserve"> </w:t>
            </w:r>
            <w:r>
              <w:fldChar w:fldCharType="begin">
                <w:ffData>
                  <w:name w:val="Check18"/>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10" w:name="Check18"/>
            <w:bookmarkStart w:id="11" w:name="Check18"/>
            <w:bookmarkEnd w:id="11"/>
            <w:r/>
            <w:r>
              <w:rPr>
                <w:sz w:val="22"/>
                <w:szCs w:val="22"/>
                <w:rFonts w:cs="Arial" w:ascii="Arial" w:hAnsi="Arial"/>
              </w:rPr>
              <w:fldChar w:fldCharType="end"/>
            </w:r>
            <w:r>
              <w:rPr>
                <w:rFonts w:cs="Arial" w:ascii="Arial" w:hAnsi="Arial"/>
                <w:sz w:val="22"/>
                <w:szCs w:val="22"/>
              </w:rPr>
            </w:r>
          </w:p>
        </w:tc>
      </w:tr>
      <w:tr>
        <w:trPr>
          <w:trHeight w:val="978" w:hRule="atLeast"/>
        </w:trPr>
        <w:tc>
          <w:tcPr>
            <w:tcW w:w="8856" w:type="dxa"/>
            <w:gridSpan w:val="5"/>
            <w:tcBorders>
              <w:top w:val="single" w:sz="4" w:space="0" w:color="000000"/>
              <w:start w:val="single" w:sz="4" w:space="0" w:color="000000"/>
              <w:bottom w:val="single" w:sz="4" w:space="0" w:color="000000"/>
              <w:end w:val="single" w:sz="4" w:space="0" w:color="000000"/>
            </w:tcBorders>
            <w:shd w:fill="D9D9D9" w:val="clear"/>
          </w:tcPr>
          <w:p>
            <w:pPr>
              <w:pStyle w:val="NormalWeb"/>
              <w:bidi w:val="0"/>
              <w:spacing w:before="0" w:after="0"/>
              <w:ind w:end="34"/>
              <w:jc w:val="start"/>
              <w:rPr>
                <w:rFonts w:ascii="Arial" w:hAnsi="Arial" w:cs="Arial"/>
                <w:sz w:val="22"/>
                <w:szCs w:val="22"/>
              </w:rPr>
            </w:pPr>
            <w:r>
              <w:rPr>
                <w:rFonts w:cs="Arial" w:ascii="Arial" w:hAnsi="Arial"/>
                <w:sz w:val="22"/>
                <w:szCs w:val="22"/>
              </w:rPr>
              <w:t>I confirm that this is my original work and that I have adhered to the University policy on plagiarism.</w:t>
            </w:r>
          </w:p>
          <w:p>
            <w:pPr>
              <w:pStyle w:val="NormalWeb"/>
              <w:bidi w:val="0"/>
              <w:spacing w:before="0" w:after="0"/>
              <w:ind w:end="34"/>
              <w:jc w:val="start"/>
              <w:rPr/>
            </w:pPr>
            <w:r>
              <w:rPr>
                <w:rFonts w:cs="Arial" w:ascii="Arial" w:hAnsi="Arial"/>
                <w:sz w:val="22"/>
                <w:szCs w:val="22"/>
              </w:rPr>
              <w:t>Signed …</w:t>
            </w:r>
            <w:r>
              <w:rPr>
                <w:rFonts w:cs="Arial" w:ascii="Arial" w:hAnsi="Arial"/>
                <w:sz w:val="22"/>
                <w:szCs w:val="22"/>
              </w:rPr>
              <w:t>Doris Maat</w:t>
            </w:r>
            <w:r>
              <w:rPr>
                <w:rFonts w:cs="Arial" w:ascii="Arial" w:hAnsi="Arial"/>
                <w:sz w:val="22"/>
                <w:szCs w:val="22"/>
              </w:rPr>
              <w:t>…………………………………………………………</w:t>
            </w:r>
          </w:p>
          <w:p>
            <w:pPr>
              <w:pStyle w:val="NormalWeb"/>
              <w:bidi w:val="0"/>
              <w:spacing w:before="0" w:after="0"/>
              <w:ind w:end="34"/>
              <w:jc w:val="start"/>
              <w:rPr/>
            </w:pPr>
            <w:r>
              <w:rPr>
                <w:rFonts w:cs="Tahoma" w:ascii="Calibri" w:hAnsi="Calibri"/>
                <w:b/>
                <w:sz w:val="24"/>
                <w:szCs w:val="24"/>
              </w:rPr>
              <w:t xml:space="preserve">Email submission: if you are submitting this form via email, please tick this box </w:t>
            </w:r>
            <w:r>
              <w:rPr>
                <w:rFonts w:cs="Calibri" w:ascii="Calibri" w:hAnsi="Calibri"/>
                <w:b/>
                <w:sz w:val="44"/>
                <w:szCs w:val="44"/>
              </w:rPr>
              <w:t>□</w:t>
            </w:r>
          </w:p>
          <w:p>
            <w:pPr>
              <w:pStyle w:val="NormalWeb"/>
              <w:bidi w:val="0"/>
              <w:spacing w:before="0" w:after="0"/>
              <w:ind w:end="34"/>
              <w:jc w:val="start"/>
              <w:rPr>
                <w:rFonts w:ascii="Calibri" w:hAnsi="Calibri" w:cs="Tahoma"/>
                <w:b/>
                <w:sz w:val="24"/>
                <w:szCs w:val="24"/>
              </w:rPr>
            </w:pPr>
            <w:r>
              <w:rPr>
                <w:rFonts w:cs="Tahoma" w:ascii="Calibri" w:hAnsi="Calibri"/>
                <w:b/>
                <w:sz w:val="24"/>
                <w:szCs w:val="24"/>
              </w:rPr>
              <w:t>(as a substitute for your signature) to confirm that you agree to the above declaration.</w:t>
            </w:r>
          </w:p>
        </w:tc>
      </w:tr>
      <w:tr>
        <w:trPr>
          <w:trHeight w:val="3972"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snapToGrid w:val="false"/>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rPr>
            </w:pPr>
            <w:r>
              <w:rPr>
                <w:rFonts w:cs="Arial" w:ascii="Arial" w:hAnsi="Arial"/>
                <w:b/>
              </w:rPr>
              <w:t>Assignment Mark</w:t>
            </w:r>
          </w:p>
          <w:tbl>
            <w:tblPr>
              <w:tblW w:w="8630" w:type="dxa"/>
              <w:jc w:val="start"/>
              <w:tblInd w:w="0" w:type="dxa"/>
              <w:tblLayout w:type="fixed"/>
              <w:tblCellMar>
                <w:top w:w="0" w:type="dxa"/>
                <w:start w:w="108" w:type="dxa"/>
                <w:bottom w:w="0" w:type="dxa"/>
                <w:end w:w="108" w:type="dxa"/>
              </w:tblCellMar>
            </w:tblPr>
            <w:tblGrid>
              <w:gridCol w:w="6970"/>
              <w:gridCol w:w="1660"/>
            </w:tblGrid>
            <w:tr>
              <w:trPr/>
              <w:tc>
                <w:tcPr>
                  <w:tcW w:w="6970" w:type="dxa"/>
                  <w:tcBorders>
                    <w:top w:val="single" w:sz="4" w:space="0" w:color="000000"/>
                    <w:start w:val="single" w:sz="4" w:space="0" w:color="000000"/>
                    <w:bottom w:val="single" w:sz="4" w:space="0" w:color="000000"/>
                    <w:end w:val="single" w:sz="4" w:space="0" w:color="000000"/>
                  </w:tcBorders>
                </w:tcPr>
                <w:p>
                  <w:pPr>
                    <w:pStyle w:val="Normal"/>
                    <w:bidi w:val="0"/>
                    <w:snapToGrid w:val="false"/>
                    <w:jc w:val="start"/>
                    <w:rPr>
                      <w:rFonts w:ascii="Arial" w:hAnsi="Arial" w:cs="Arial"/>
                      <w:sz w:val="20"/>
                      <w:szCs w:val="20"/>
                    </w:rPr>
                  </w:pPr>
                  <w:r>
                    <w:rPr>
                      <w:rFonts w:cs="Arial" w:ascii="Arial" w:hAnsi="Arial"/>
                      <w:sz w:val="20"/>
                      <w:szCs w:val="20"/>
                    </w:rPr>
                  </w:r>
                </w:p>
                <w:p>
                  <w:pPr>
                    <w:pStyle w:val="Normal"/>
                    <w:bidi w:val="0"/>
                    <w:jc w:val="start"/>
                    <w:rPr>
                      <w:rFonts w:ascii="Arial" w:hAnsi="Arial" w:cs="Arial"/>
                      <w:b/>
                      <w:sz w:val="20"/>
                      <w:szCs w:val="20"/>
                    </w:rPr>
                  </w:pPr>
                  <w:r>
                    <w:rPr>
                      <w:rFonts w:cs="Arial" w:ascii="Arial" w:hAnsi="Arial"/>
                      <w:b/>
                      <w:sz w:val="20"/>
                      <w:szCs w:val="20"/>
                    </w:rPr>
                    <w:t>Final Mark</w:t>
                  </w:r>
                </w:p>
                <w:p>
                  <w:pPr>
                    <w:pStyle w:val="Normal"/>
                    <w:bidi w:val="0"/>
                    <w:jc w:val="start"/>
                    <w:rPr>
                      <w:rFonts w:ascii="Arial" w:hAnsi="Arial" w:cs="Arial"/>
                      <w:b/>
                      <w:sz w:val="20"/>
                      <w:szCs w:val="20"/>
                    </w:rPr>
                  </w:pPr>
                  <w:r>
                    <w:rPr>
                      <w:rFonts w:cs="Arial" w:ascii="Arial" w:hAnsi="Arial"/>
                      <w:b/>
                      <w:sz w:val="20"/>
                      <w:szCs w:val="20"/>
                    </w:rPr>
                  </w:r>
                </w:p>
              </w:tc>
              <w:tc>
                <w:tcPr>
                  <w:tcW w:w="1660" w:type="dxa"/>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0"/>
                      <w:szCs w:val="20"/>
                    </w:rPr>
                  </w:pPr>
                  <w:r>
                    <w:rPr>
                      <w:rFonts w:cs="Arial" w:ascii="Arial" w:hAnsi="Arial"/>
                      <w:sz w:val="20"/>
                      <w:szCs w:val="20"/>
                    </w:rPr>
                    <w:t>WILL BE GIVEN ON TURNITIN</w:t>
                  </w:r>
                </w:p>
              </w:tc>
            </w:tr>
          </w:tbl>
          <w:p>
            <w:pPr>
              <w:pStyle w:val="NormalWeb"/>
              <w:bidi w:val="0"/>
              <w:spacing w:before="0" w:after="0"/>
              <w:ind w:start="142" w:end="34"/>
              <w:jc w:val="start"/>
              <w:rPr>
                <w:rFonts w:ascii="Arial" w:hAnsi="Arial" w:cs="Arial"/>
                <w:b/>
                <w:sz w:val="22"/>
                <w:szCs w:val="22"/>
              </w:rPr>
            </w:pPr>
            <w:r>
              <w:rPr>
                <w:rFonts w:cs="Arial" w:ascii="Arial" w:hAnsi="Arial"/>
                <w:b/>
                <w:sz w:val="22"/>
                <w:szCs w:val="22"/>
              </w:rPr>
            </w:r>
          </w:p>
          <w:p>
            <w:pPr>
              <w:pStyle w:val="NormalWeb"/>
              <w:bidi w:val="0"/>
              <w:spacing w:before="0" w:after="0"/>
              <w:ind w:start="142" w:end="34"/>
              <w:jc w:val="start"/>
              <w:rPr/>
            </w:pPr>
            <w:r>
              <w:rPr>
                <w:rFonts w:cs="Arial" w:ascii="Arial" w:hAnsi="Arial"/>
                <w:b/>
                <w:sz w:val="22"/>
                <w:szCs w:val="22"/>
              </w:rPr>
              <w:t>NB.</w:t>
            </w:r>
            <w:r>
              <w:rPr>
                <w:rFonts w:cs="Arial" w:ascii="Arial" w:hAnsi="Arial"/>
                <w:sz w:val="22"/>
                <w:szCs w:val="22"/>
              </w:rPr>
              <w:t xml:space="preserve">  All marks are provisional until confirmed by the Final Examination Board.</w:t>
            </w:r>
          </w:p>
          <w:p>
            <w:pPr>
              <w:pStyle w:val="NormalWeb"/>
              <w:bidi w:val="0"/>
              <w:spacing w:before="0" w:after="0"/>
              <w:jc w:val="start"/>
              <w:rPr>
                <w:rFonts w:ascii="Arial" w:hAnsi="Arial" w:cs="Arial"/>
                <w:b/>
                <w:sz w:val="22"/>
                <w:szCs w:val="22"/>
              </w:rPr>
            </w:pPr>
            <w:r>
              <w:rPr>
                <w:rFonts w:cs="Arial" w:ascii="Arial" w:hAnsi="Arial"/>
                <w:b/>
                <w:sz w:val="22"/>
                <w:szCs w:val="22"/>
              </w:rPr>
            </w:r>
          </w:p>
          <w:p>
            <w:pPr>
              <w:pStyle w:val="NormalWeb"/>
              <w:bidi w:val="0"/>
              <w:spacing w:before="0" w:after="0"/>
              <w:jc w:val="start"/>
              <w:rPr/>
            </w:pPr>
            <w:r>
              <w:rPr>
                <w:rFonts w:cs="Arial" w:ascii="Arial" w:hAnsi="Arial"/>
                <w:b/>
                <w:sz w:val="22"/>
                <w:szCs w:val="22"/>
              </w:rPr>
              <w:t>PLEASE NOTE: ALL COMMENTS WIL BE POSTED ON TURNITIN</w:t>
            </w:r>
          </w:p>
          <w:p>
            <w:pPr>
              <w:pStyle w:val="NormalWeb"/>
              <w:bidi w:val="0"/>
              <w:spacing w:before="0" w:after="0"/>
              <w:jc w:val="start"/>
              <w:rPr>
                <w:rFonts w:ascii="Arial" w:hAnsi="Arial" w:cs="Arial"/>
                <w:b/>
                <w:sz w:val="22"/>
                <w:szCs w:val="22"/>
              </w:rPr>
            </w:pPr>
            <w:r>
              <w:rPr>
                <w:rFonts w:cs="Arial" w:ascii="Arial" w:hAnsi="Arial"/>
                <w:b/>
                <w:sz w:val="22"/>
                <w:szCs w:val="22"/>
              </w:rPr>
            </w:r>
          </w:p>
          <w:p>
            <w:pPr>
              <w:pStyle w:val="NormalWeb"/>
              <w:bidi w:val="0"/>
              <w:spacing w:before="0" w:after="0"/>
              <w:jc w:val="start"/>
              <w:rPr>
                <w:rFonts w:ascii="Arial" w:hAnsi="Arial" w:cs="Arial"/>
                <w:b/>
                <w:sz w:val="22"/>
                <w:szCs w:val="22"/>
              </w:rPr>
            </w:pPr>
            <w:r>
              <w:rPr>
                <w:rFonts w:cs="Arial" w:ascii="Arial" w:hAnsi="Arial"/>
                <w:b/>
                <w:sz w:val="22"/>
                <w:szCs w:val="22"/>
              </w:rPr>
            </w:r>
          </w:p>
          <w:p>
            <w:pPr>
              <w:pStyle w:val="NormalWeb"/>
              <w:bidi w:val="0"/>
              <w:spacing w:before="0" w:after="0"/>
              <w:jc w:val="start"/>
              <w:rPr/>
            </w:pPr>
            <w:r>
              <w:rPr>
                <w:rFonts w:cs="Arial" w:ascii="Arial" w:hAnsi="Arial"/>
                <w:b/>
                <w:sz w:val="22"/>
                <w:szCs w:val="22"/>
              </w:rPr>
              <w:t>For completion by Marker 1 :</w:t>
            </w:r>
          </w:p>
          <w:p>
            <w:pPr>
              <w:pStyle w:val="NormalWeb"/>
              <w:bidi w:val="0"/>
              <w:jc w:val="start"/>
              <w:rPr/>
            </w:pPr>
            <w:r>
              <w:rPr>
                <w:rFonts w:cs="Arial" w:ascii="Arial" w:hAnsi="Arial"/>
                <w:sz w:val="22"/>
                <w:szCs w:val="22"/>
              </w:rPr>
              <w:t>Comments:</w:t>
            </w:r>
          </w:p>
          <w:p>
            <w:pPr>
              <w:pStyle w:val="NormalWeb"/>
              <w:bidi w:val="0"/>
              <w:spacing w:before="280" w:after="0"/>
              <w:jc w:val="start"/>
              <w:rPr>
                <w:rFonts w:ascii="Arial" w:hAnsi="Arial" w:cs="Arial"/>
                <w:sz w:val="22"/>
                <w:szCs w:val="22"/>
              </w:rPr>
            </w:pPr>
            <w:r>
              <w:rPr>
                <w:rFonts w:cs="Arial" w:ascii="Arial" w:hAnsi="Arial"/>
                <w:sz w:val="22"/>
                <w:szCs w:val="22"/>
              </w:rPr>
            </w:r>
          </w:p>
        </w:tc>
      </w:tr>
      <w:tr>
        <w:trPr>
          <w:trHeight w:val="492" w:hRule="atLeast"/>
        </w:trPr>
        <w:tc>
          <w:tcPr>
            <w:tcW w:w="6768" w:type="dxa"/>
            <w:gridSpan w:val="3"/>
            <w:tcBorders>
              <w:top w:val="single" w:sz="4" w:space="0" w:color="000000"/>
              <w:start w:val="single" w:sz="4" w:space="0" w:color="000000"/>
              <w:bottom w:val="single" w:sz="4" w:space="0" w:color="000000"/>
              <w:end w:val="single" w:sz="4" w:space="0" w:color="000000"/>
            </w:tcBorders>
          </w:tcPr>
          <w:p>
            <w:pPr>
              <w:pStyle w:val="NormalWeb"/>
              <w:bidi w:val="0"/>
              <w:spacing w:before="280" w:after="0"/>
              <w:ind w:start="142" w:end="34"/>
              <w:jc w:val="start"/>
              <w:rPr/>
            </w:pPr>
            <w:r>
              <w:rPr>
                <w:rFonts w:cs="Arial" w:ascii="Arial" w:hAnsi="Arial"/>
                <w:sz w:val="22"/>
                <w:szCs w:val="22"/>
              </w:rPr>
              <w:t>Marker’s signature:</w:t>
            </w:r>
          </w:p>
        </w:tc>
        <w:tc>
          <w:tcPr>
            <w:tcW w:w="2088" w:type="dxa"/>
            <w:gridSpan w:val="2"/>
            <w:tcBorders>
              <w:top w:val="single" w:sz="4" w:space="0" w:color="000000"/>
              <w:start w:val="single" w:sz="4" w:space="0" w:color="000000"/>
              <w:bottom w:val="single" w:sz="4" w:space="0" w:color="000000"/>
              <w:end w:val="single" w:sz="4" w:space="0" w:color="000000"/>
            </w:tcBorders>
          </w:tcPr>
          <w:p>
            <w:pPr>
              <w:pStyle w:val="NormalWeb"/>
              <w:bidi w:val="0"/>
              <w:spacing w:before="280" w:after="0"/>
              <w:ind w:start="142" w:end="34"/>
              <w:jc w:val="start"/>
              <w:rPr/>
            </w:pPr>
            <w:r>
              <w:rPr>
                <w:rFonts w:cs="Arial" w:ascii="Arial" w:hAnsi="Arial"/>
                <w:sz w:val="22"/>
                <w:szCs w:val="22"/>
              </w:rPr>
              <w:t>Date:</w:t>
            </w:r>
          </w:p>
        </w:tc>
      </w:tr>
      <w:tr>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bidi w:val="0"/>
              <w:snapToGrid w:val="false"/>
              <w:spacing w:before="0" w:after="0"/>
              <w:ind w:end="-334"/>
              <w:jc w:val="start"/>
              <w:rPr>
                <w:rFonts w:ascii="Arial" w:hAnsi="Arial" w:cs="Arial"/>
                <w:bCs/>
                <w:i/>
                <w:i/>
                <w:sz w:val="22"/>
                <w:szCs w:val="22"/>
              </w:rPr>
            </w:pPr>
            <w:r>
              <w:rPr>
                <w:rFonts w:cs="Arial" w:ascii="Arial" w:hAnsi="Arial"/>
                <w:bCs/>
                <w:i/>
                <w:sz w:val="22"/>
                <w:szCs w:val="22"/>
              </w:rPr>
            </w:r>
          </w:p>
          <w:p>
            <w:pPr>
              <w:pStyle w:val="NormalWeb"/>
              <w:bidi w:val="0"/>
              <w:spacing w:before="0" w:after="0"/>
              <w:ind w:end="-334"/>
              <w:jc w:val="start"/>
              <w:rPr/>
            </w:pPr>
            <w:r>
              <w:rPr>
                <w:rFonts w:cs="Arial" w:ascii="Arial" w:hAnsi="Arial"/>
                <w:b/>
                <w:bCs/>
                <w:sz w:val="22"/>
                <w:szCs w:val="22"/>
              </w:rPr>
              <w:t>For completion by Marker 2/Moderator:</w:t>
            </w:r>
          </w:p>
          <w:p>
            <w:pPr>
              <w:pStyle w:val="NormalWeb"/>
              <w:bidi w:val="0"/>
              <w:spacing w:before="0" w:after="0"/>
              <w:ind w:end="-334"/>
              <w:jc w:val="start"/>
              <w:rPr>
                <w:rFonts w:ascii="Arial" w:hAnsi="Arial" w:cs="Arial"/>
                <w:b/>
                <w:bCs/>
                <w:sz w:val="22"/>
                <w:szCs w:val="22"/>
              </w:rPr>
            </w:pPr>
            <w:r>
              <w:rPr>
                <w:rFonts w:cs="Arial" w:ascii="Arial" w:hAnsi="Arial"/>
                <w:b/>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t>Comments:</w:t>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tc>
      </w:tr>
      <w:tr>
        <w:trPr>
          <w:trHeight w:val="720" w:hRule="atLeast"/>
        </w:trPr>
        <w:tc>
          <w:tcPr>
            <w:tcW w:w="5211" w:type="dxa"/>
            <w:gridSpan w:val="2"/>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34"/>
              <w:jc w:val="start"/>
              <w:rPr/>
            </w:pPr>
            <w:r>
              <w:rPr>
                <w:rFonts w:cs="Arial" w:ascii="Arial" w:hAnsi="Arial"/>
                <w:bCs/>
                <w:sz w:val="22"/>
                <w:szCs w:val="22"/>
              </w:rPr>
              <w:t>Marker’s Signature:</w:t>
            </w:r>
          </w:p>
        </w:tc>
        <w:tc>
          <w:tcPr>
            <w:tcW w:w="3645" w:type="dxa"/>
            <w:gridSpan w:val="3"/>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34"/>
              <w:jc w:val="start"/>
              <w:rPr>
                <w:rFonts w:ascii="Arial" w:hAnsi="Arial" w:cs="Arial"/>
                <w:bCs/>
                <w:sz w:val="22"/>
                <w:szCs w:val="22"/>
              </w:rPr>
            </w:pPr>
            <w:r>
              <w:rPr>
                <w:rFonts w:cs="Arial" w:ascii="Arial" w:hAnsi="Arial"/>
                <w:bCs/>
                <w:sz w:val="22"/>
                <w:szCs w:val="22"/>
              </w:rPr>
              <w:t>Date:</w:t>
            </w:r>
          </w:p>
        </w:tc>
      </w:tr>
      <w:tr>
        <w:trPr>
          <w:trHeight w:val="720"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b/>
                <w:sz w:val="22"/>
                <w:szCs w:val="22"/>
              </w:rPr>
            </w:pPr>
            <w:r>
              <w:rPr>
                <w:rFonts w:cs="Arial" w:ascii="Arial" w:hAnsi="Arial"/>
                <w:b/>
                <w:sz w:val="22"/>
                <w:szCs w:val="22"/>
              </w:rPr>
              <w:t>AGREED INTERNAL MARK (where necessary):</w:t>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pPr>
            <w:r>
              <w:rPr>
                <w:rFonts w:cs="Arial" w:ascii="Arial" w:hAnsi="Arial"/>
                <w:b/>
                <w:sz w:val="22"/>
                <w:szCs w:val="22"/>
              </w:rPr>
              <w:t>Comment on process of arriving at agreed mark:</w:t>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tc>
      </w:tr>
      <w:tr>
        <w:trPr>
          <w:trHeight w:val="720"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b/>
                <w:sz w:val="22"/>
                <w:szCs w:val="22"/>
              </w:rPr>
            </w:pPr>
            <w:r>
              <w:rPr>
                <w:rFonts w:cs="Arial" w:ascii="Arial" w:hAnsi="Arial"/>
                <w:b/>
                <w:sz w:val="22"/>
                <w:szCs w:val="22"/>
              </w:rPr>
              <w:t>External Examiner’s comments (if relevant)</w:t>
            </w:r>
          </w:p>
          <w:p>
            <w:pPr>
              <w:pStyle w:val="NormalWeb"/>
              <w:bidi w:val="0"/>
              <w:spacing w:before="0" w:after="0"/>
              <w:ind w:end="-334"/>
              <w:jc w:val="start"/>
              <w:rPr>
                <w:rFonts w:ascii="Arial" w:hAnsi="Arial" w:cs="Arial"/>
                <w:b/>
                <w:bCs/>
                <w:sz w:val="22"/>
                <w:szCs w:val="22"/>
              </w:rPr>
            </w:pPr>
            <w:r>
              <w:rPr>
                <w:rFonts w:cs="Arial" w:ascii="Arial" w:hAnsi="Arial"/>
                <w:b/>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tc>
      </w:tr>
      <w:tr>
        <w:trPr>
          <w:trHeight w:val="720" w:hRule="atLeast"/>
        </w:trPr>
        <w:tc>
          <w:tcPr>
            <w:tcW w:w="5211" w:type="dxa"/>
            <w:gridSpan w:val="2"/>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External Examiner’s Signature:</w:t>
            </w:r>
          </w:p>
        </w:tc>
        <w:tc>
          <w:tcPr>
            <w:tcW w:w="3645" w:type="dxa"/>
            <w:gridSpan w:val="3"/>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Date:</w:t>
            </w:r>
          </w:p>
        </w:tc>
      </w:tr>
    </w:tbl>
    <w:p>
      <w:pPr>
        <w:pStyle w:val="NormalWeb"/>
        <w:bidi w:val="0"/>
        <w:spacing w:before="0" w:after="0"/>
        <w:ind w:end="-334"/>
        <w:jc w:val="start"/>
        <w:rPr>
          <w:rFonts w:ascii="Trebuchet MS" w:hAnsi="Trebuchet MS" w:cs="Tahoma"/>
          <w:bCs/>
          <w:sz w:val="24"/>
          <w:szCs w:val="24"/>
        </w:rPr>
      </w:pPr>
      <w:r>
        <w:rPr>
          <w:rFonts w:cs="Tahoma" w:ascii="Trebuchet MS" w:hAnsi="Trebuchet MS"/>
          <w:bCs/>
          <w:sz w:val="24"/>
          <w:szCs w:val="24"/>
        </w:rPr>
      </w:r>
      <w:r>
        <w:br w:type="page"/>
      </w:r>
    </w:p>
    <w:p>
      <w:pPr>
        <w:pStyle w:val="NormalWeb"/>
        <w:bidi w:val="0"/>
        <w:spacing w:before="0" w:after="0"/>
        <w:ind w:end="-334"/>
        <w:jc w:val="start"/>
        <w:rPr>
          <w:rFonts w:ascii="Trebuchet MS" w:hAnsi="Trebuchet MS" w:cs="Tahoma"/>
          <w:bCs/>
          <w:sz w:val="24"/>
          <w:szCs w:val="24"/>
        </w:rPr>
      </w:pPr>
      <w:r>
        <w:rPr>
          <w:rFonts w:cs="Tahoma" w:ascii="Trebuchet MS" w:hAnsi="Trebuchet MS"/>
          <w:bCs/>
          <w:sz w:val="24"/>
          <w:szCs w:val="24"/>
        </w:rPr>
      </w:r>
    </w:p>
    <w:p>
      <w:pPr>
        <w:pStyle w:val="NormalWeb"/>
        <w:bidi w:val="0"/>
        <w:spacing w:before="0" w:after="0"/>
        <w:ind w:end="-334"/>
        <w:jc w:val="center"/>
        <w:rPr>
          <w:rFonts w:ascii="Times New Roman" w:hAnsi="Times New Roman" w:cs="Tahoma"/>
          <w:b/>
          <w:bCs/>
          <w:sz w:val="24"/>
          <w:szCs w:val="24"/>
        </w:rPr>
      </w:pPr>
      <w:r>
        <w:rPr>
          <w:rFonts w:cs="Tahoma" w:ascii="Times New Roman" w:hAnsi="Times New Roman"/>
          <w:b/>
          <w:bCs/>
          <w:sz w:val="24"/>
          <w:szCs w:val="24"/>
        </w:rPr>
        <w:t>Essay 3 – “The stars incline, they do not compel.”</w:t>
      </w:r>
    </w:p>
    <w:p>
      <w:pPr>
        <w:pStyle w:val="NormalWeb"/>
        <w:bidi w:val="0"/>
        <w:spacing w:before="0" w:after="0"/>
        <w:ind w:end="-334"/>
        <w:jc w:val="center"/>
        <w:rPr>
          <w:rFonts w:ascii="Times New Roman" w:hAnsi="Times New Roman" w:cs="Tahoma"/>
          <w:b/>
          <w:bCs/>
          <w:sz w:val="24"/>
          <w:szCs w:val="24"/>
        </w:rPr>
      </w:pPr>
      <w:r>
        <w:rPr>
          <w:rFonts w:cs="Tahoma" w:ascii="Times New Roman" w:hAnsi="Times New Roman"/>
          <w:b/>
          <w:bCs/>
          <w:sz w:val="24"/>
          <w:szCs w:val="24"/>
        </w:rPr>
      </w:r>
    </w:p>
    <w:p>
      <w:pPr>
        <w:pStyle w:val="NormalWeb"/>
        <w:bidi w:val="0"/>
        <w:spacing w:before="0" w:after="0"/>
        <w:ind w:end="-334"/>
        <w:jc w:val="start"/>
        <w:rPr>
          <w:rFonts w:ascii="Times New Roman" w:hAnsi="Times New Roman" w:cs="Tahoma"/>
          <w:b/>
          <w:bCs/>
          <w:sz w:val="24"/>
          <w:szCs w:val="24"/>
        </w:rPr>
      </w:pPr>
      <w:r>
        <w:rPr>
          <w:rFonts w:cs="Tahoma" w:ascii="Times New Roman" w:hAnsi="Times New Roman"/>
          <w:b/>
          <w:bCs/>
          <w:sz w:val="24"/>
          <w:szCs w:val="24"/>
        </w:rPr>
        <w:t>Introduction</w:t>
      </w:r>
    </w:p>
    <w:p>
      <w:pPr>
        <w:pStyle w:val="NormalWeb"/>
        <w:bidi w:val="0"/>
        <w:spacing w:before="0" w:after="0"/>
        <w:ind w:end="-334"/>
        <w:jc w:val="start"/>
        <w:rPr>
          <w:b w:val="false"/>
          <w:bCs w:val="false"/>
        </w:rPr>
      </w:pPr>
      <w:r>
        <w:rPr>
          <w:rFonts w:cs="Tahoma" w:ascii="Times New Roman" w:hAnsi="Times New Roman"/>
          <w:b/>
          <w:bCs/>
          <w:sz w:val="24"/>
          <w:szCs w:val="24"/>
        </w:rPr>
      </w:r>
    </w:p>
    <w:p>
      <w:pPr>
        <w:pStyle w:val="NormalWeb"/>
        <w:bidi w:val="0"/>
        <w:spacing w:before="0" w:after="0"/>
        <w:ind w:end="-334"/>
        <w:jc w:val="start"/>
        <w:rPr>
          <w:rFonts w:ascii="Times New Roman" w:hAnsi="Times New Roman" w:cs="Tahoma"/>
          <w:b/>
          <w:bCs/>
          <w:sz w:val="24"/>
          <w:szCs w:val="24"/>
        </w:rPr>
      </w:pPr>
      <w:r>
        <w:rPr>
          <w:rFonts w:cs="Tahoma" w:ascii="Times New Roman" w:hAnsi="Times New Roman"/>
          <w:b w:val="false"/>
          <w:bCs w:val="false"/>
          <w:sz w:val="24"/>
          <w:szCs w:val="24"/>
        </w:rPr>
        <w:t>This essay is primarily an overview on how the astrologer’s Alan Leo and Liz Greene express in their respective ways the idea behind the saying, “The stars incline, they do not compel.”  It also describes some of their perceptions of fate as it applies to their understanding and practice of astrology.</w:t>
      </w:r>
    </w:p>
    <w:p>
      <w:pPr>
        <w:pStyle w:val="NormalWeb"/>
        <w:bidi w:val="0"/>
        <w:spacing w:before="0" w:after="0"/>
        <w:ind w:end="-334"/>
        <w:jc w:val="start"/>
        <w:rPr>
          <w:rFonts w:ascii="Times New Roman" w:hAnsi="Times New Roman" w:cs="Tahoma"/>
          <w:b/>
          <w:bCs/>
          <w:sz w:val="24"/>
          <w:szCs w:val="24"/>
        </w:rPr>
      </w:pPr>
      <w:r>
        <w:rPr>
          <w:rFonts w:cs="Tahoma" w:ascii="Times New Roman" w:hAnsi="Times New Roman"/>
          <w:b w:val="false"/>
          <w:bCs w:val="false"/>
          <w:sz w:val="24"/>
          <w:szCs w:val="24"/>
        </w:rPr>
        <w:t>The essay also attempts to look at some other thoughts about fate as it appl</w:t>
      </w:r>
      <w:r>
        <w:rPr>
          <w:rFonts w:cs="Tahoma" w:ascii="Times New Roman" w:hAnsi="Times New Roman"/>
          <w:b w:val="false"/>
          <w:bCs w:val="false"/>
          <w:sz w:val="24"/>
          <w:szCs w:val="24"/>
        </w:rPr>
        <w:t>i</w:t>
      </w:r>
      <w:r>
        <w:rPr>
          <w:rFonts w:cs="Tahoma" w:ascii="Times New Roman" w:hAnsi="Times New Roman"/>
          <w:b w:val="false"/>
          <w:bCs w:val="false"/>
          <w:sz w:val="24"/>
          <w:szCs w:val="24"/>
        </w:rPr>
        <w:t xml:space="preserve">es to both astrologers and non-astrologers who have had astrological consultations.  Finally, there is a section that </w:t>
      </w:r>
      <w:r>
        <w:rPr>
          <w:rFonts w:cs="Tahoma" w:ascii="Times New Roman" w:hAnsi="Times New Roman"/>
          <w:b w:val="false"/>
          <w:bCs w:val="false"/>
          <w:sz w:val="24"/>
          <w:szCs w:val="24"/>
        </w:rPr>
        <w:t>attempts to demonstrate some of both Leo and Green’s concepts from the viewpoint of an astrological client.</w:t>
      </w:r>
    </w:p>
    <w:p>
      <w:pPr>
        <w:pStyle w:val="NormalWeb"/>
        <w:bidi w:val="0"/>
        <w:spacing w:before="0" w:after="0"/>
        <w:ind w:end="-334"/>
        <w:jc w:val="center"/>
        <w:rPr>
          <w:b w:val="false"/>
          <w:bCs w:val="false"/>
        </w:rPr>
      </w:pPr>
      <w:r>
        <w:rPr>
          <w:rFonts w:cs="Tahoma" w:ascii="Times New Roman" w:hAnsi="Times New Roman"/>
          <w:b/>
          <w:bCs/>
          <w:sz w:val="24"/>
          <w:szCs w:val="24"/>
        </w:rPr>
      </w:r>
    </w:p>
    <w:p>
      <w:pPr>
        <w:pStyle w:val="Normal"/>
        <w:bidi w:val="0"/>
        <w:jc w:val="start"/>
        <w:rPr>
          <w:rFonts w:ascii="Times New Roman" w:hAnsi="Times New Roman"/>
          <w:b/>
          <w:bCs/>
        </w:rPr>
      </w:pPr>
      <w:r>
        <w:rPr>
          <w:rFonts w:ascii="Times New Roman" w:hAnsi="Times New Roman"/>
          <w:b/>
          <w:bCs/>
        </w:rPr>
        <w:t xml:space="preserve">Alan </w:t>
      </w:r>
      <w:r>
        <w:rPr>
          <w:rFonts w:ascii="Times New Roman" w:hAnsi="Times New Roman"/>
          <w:b/>
          <w:bCs/>
        </w:rPr>
        <w:t>Leo</w:t>
      </w:r>
    </w:p>
    <w:p>
      <w:pPr>
        <w:pStyle w:val="Normal"/>
        <w:bidi w:val="0"/>
        <w:jc w:val="start"/>
        <w:rPr>
          <w:rFonts w:ascii="Times New Roman" w:hAnsi="Times New Roman"/>
        </w:rPr>
      </w:pPr>
      <w:r>
        <w:rPr>
          <w:rFonts w:ascii="Times New Roman" w:hAnsi="Times New Roman"/>
        </w:rPr>
      </w:r>
    </w:p>
    <w:p>
      <w:pPr>
        <w:pStyle w:val="Normal"/>
        <w:bidi w:val="0"/>
        <w:jc w:val="start"/>
        <w:rPr>
          <w:rFonts w:ascii="BerkeleyStd-Book" w:hAnsi="BerkeleyStd-Book"/>
          <w:sz w:val="22"/>
        </w:rPr>
      </w:pPr>
      <w:r>
        <w:rPr>
          <w:rFonts w:ascii="Times New Roman" w:hAnsi="Times New Roman"/>
          <w:sz w:val="24"/>
          <w:szCs w:val="24"/>
        </w:rPr>
        <w:t xml:space="preserve">Alan Leo </w:t>
      </w:r>
      <w:r>
        <w:rPr>
          <w:rFonts w:ascii="Times New Roman" w:hAnsi="Times New Roman"/>
          <w:sz w:val="24"/>
          <w:szCs w:val="24"/>
        </w:rPr>
        <w:t>(1860 – 1917) was an English astrologer</w:t>
      </w:r>
      <w:r>
        <w:rPr>
          <w:rFonts w:ascii="Times New Roman" w:hAnsi="Times New Roman"/>
          <w:sz w:val="24"/>
          <w:szCs w:val="24"/>
        </w:rPr>
        <w:t xml:space="preserve"> who is</w:t>
      </w:r>
      <w:r>
        <w:rPr>
          <w:rFonts w:ascii="Times New Roman" w:hAnsi="Times New Roman"/>
          <w:sz w:val="24"/>
          <w:szCs w:val="24"/>
        </w:rPr>
        <w:t xml:space="preserve"> considered quite an influential astrologer by many who see his work as having shaped and influenced the direction or 20</w:t>
      </w:r>
      <w:r>
        <w:rPr>
          <w:rFonts w:ascii="Times New Roman" w:hAnsi="Times New Roman"/>
          <w:sz w:val="24"/>
          <w:szCs w:val="24"/>
          <w:vertAlign w:val="superscript"/>
        </w:rPr>
        <w:t>th</w:t>
      </w:r>
      <w:r>
        <w:rPr>
          <w:rFonts w:ascii="Times New Roman" w:hAnsi="Times New Roman"/>
          <w:sz w:val="24"/>
          <w:szCs w:val="24"/>
        </w:rPr>
        <w:t xml:space="preserve"> century astrology and into the present day. </w:t>
      </w:r>
      <w:r>
        <w:rPr>
          <w:rFonts w:ascii="Times New Roman" w:hAnsi="Times New Roman"/>
          <w:sz w:val="24"/>
          <w:szCs w:val="24"/>
        </w:rPr>
        <w:t>Through his interest in Theosophy and Eastern spiritual traditions, he was very interested in the potential astrology had to give insight and promote spiritual growth.</w:t>
      </w:r>
      <w:r>
        <w:rPr>
          <w:rStyle w:val="FootnoteReference"/>
          <w:rFonts w:ascii="Times New Roman" w:hAnsi="Times New Roman"/>
          <w:sz w:val="24"/>
          <w:szCs w:val="24"/>
        </w:rPr>
        <w:footnoteReference w:id="2"/>
      </w:r>
      <w:r>
        <w:rPr>
          <w:rFonts w:ascii="Times New Roman" w:hAnsi="Times New Roman"/>
          <w:sz w:val="24"/>
          <w:szCs w:val="24"/>
        </w:rPr>
        <w:t xml:space="preserve"> </w:t>
      </w:r>
      <w:r>
        <w:rPr>
          <w:rFonts w:ascii="Times New Roman" w:hAnsi="Times New Roman"/>
          <w:sz w:val="24"/>
          <w:szCs w:val="24"/>
        </w:rPr>
        <w:t xml:space="preserve"> </w:t>
      </w:r>
      <w:r>
        <w:rPr>
          <w:rFonts w:ascii="Times New Roman" w:hAnsi="Times New Roman"/>
          <w:sz w:val="24"/>
          <w:szCs w:val="24"/>
        </w:rPr>
        <w:t>He grappled with trying to understand the injustice of poverty he encountered and determined that karma and reincarnation could explain disparity of wealth among other things.</w:t>
      </w:r>
      <w:r>
        <w:rPr>
          <w:rStyle w:val="FootnoteReference"/>
          <w:rFonts w:ascii="Times New Roman" w:hAnsi="Times New Roman"/>
          <w:sz w:val="24"/>
          <w:szCs w:val="24"/>
        </w:rPr>
        <w:footnoteReference w:id="3"/>
      </w:r>
      <w:r>
        <w:rPr>
          <w:rFonts w:ascii="Times New Roman" w:hAnsi="Times New Roman"/>
          <w:sz w:val="24"/>
          <w:szCs w:val="24"/>
        </w:rPr>
        <w:t xml:space="preserve"> </w:t>
      </w:r>
      <w:r>
        <w:rPr>
          <w:rFonts w:ascii="Times New Roman" w:hAnsi="Times New Roman"/>
          <w:sz w:val="24"/>
          <w:szCs w:val="24"/>
        </w:rPr>
        <w:t xml:space="preserve"> According to William Burns, </w:t>
      </w:r>
      <w:r>
        <w:rPr>
          <w:rFonts w:ascii="Times New Roman" w:hAnsi="Times New Roman"/>
          <w:sz w:val="24"/>
          <w:szCs w:val="24"/>
        </w:rPr>
        <w:t>h</w:t>
      </w:r>
      <w:r>
        <w:rPr>
          <w:rFonts w:ascii="Times New Roman" w:hAnsi="Times New Roman"/>
          <w:sz w:val="24"/>
          <w:szCs w:val="24"/>
        </w:rPr>
        <w:t xml:space="preserve">e was “...influenced by two </w:t>
      </w:r>
      <w:r>
        <w:rPr>
          <w:rFonts w:ascii="Times New Roman" w:hAnsi="Times New Roman"/>
          <w:sz w:val="24"/>
          <w:szCs w:val="24"/>
        </w:rPr>
        <w:t>different philosophies:</w:t>
      </w:r>
      <w:r>
        <w:rPr>
          <w:rFonts w:ascii="Times New Roman" w:hAnsi="Times New Roman"/>
          <w:sz w:val="24"/>
          <w:szCs w:val="24"/>
        </w:rPr>
        <w:t xml:space="preserve"> astrology and reincarnation.  </w:t>
      </w:r>
      <w:r>
        <w:rPr>
          <w:rFonts w:ascii="Times New Roman" w:hAnsi="Times New Roman"/>
          <w:sz w:val="24"/>
          <w:szCs w:val="24"/>
        </w:rPr>
        <w:t xml:space="preserve">Astrology explained the order and influence of the cosmos while reincarnation and karma reinterpreted social conditions through cosmic justice and evolution.  </w:t>
      </w:r>
      <w:r>
        <w:rPr>
          <w:rFonts w:ascii="Times New Roman" w:hAnsi="Times New Roman"/>
          <w:sz w:val="24"/>
          <w:szCs w:val="24"/>
        </w:rPr>
        <w:t>Ala</w:t>
      </w:r>
      <w:r>
        <w:rPr>
          <w:rFonts w:ascii="Times New Roman" w:hAnsi="Times New Roman"/>
          <w:sz w:val="24"/>
          <w:szCs w:val="24"/>
        </w:rPr>
        <w:t>n Leo joined a Platonic astrological tradition that accommodated both determinism and free will.</w:t>
      </w:r>
      <w:r>
        <w:rPr>
          <w:rFonts w:ascii="Times New Roman" w:hAnsi="Times New Roman"/>
          <w:sz w:val="24"/>
          <w:szCs w:val="24"/>
        </w:rPr>
        <w:t>”</w:t>
      </w:r>
      <w:r>
        <w:rPr>
          <w:rStyle w:val="FootnoteReference"/>
          <w:rFonts w:ascii="Times New Roman" w:hAnsi="Times New Roman"/>
          <w:sz w:val="24"/>
          <w:szCs w:val="24"/>
        </w:rPr>
        <w:footnoteReference w:id="4"/>
      </w:r>
      <w:r>
        <w:rPr>
          <w:rFonts w:ascii="Times New Roman" w:hAnsi="Times New Roman"/>
        </w:rPr>
        <w:t xml:space="preserve"> </w:t>
      </w:r>
      <w:r>
        <w:rPr>
          <w:rFonts w:ascii="Times New Roman" w:hAnsi="Times New Roman"/>
        </w:rPr>
        <w:t xml:space="preserve"> </w:t>
      </w:r>
      <w:r>
        <w:rPr>
          <w:rFonts w:ascii="Times New Roman" w:hAnsi="Times New Roman"/>
        </w:rPr>
        <w:t>Bernadette</w:t>
      </w:r>
      <w:r>
        <w:rPr>
          <w:rFonts w:ascii="Times New Roman" w:hAnsi="Times New Roman"/>
        </w:rPr>
        <w:t xml:space="preserve"> Brady </w:t>
      </w:r>
      <w:r>
        <w:rPr>
          <w:rFonts w:ascii="Times New Roman" w:hAnsi="Times New Roman"/>
        </w:rPr>
        <w:t xml:space="preserve">states that </w:t>
      </w:r>
      <w:r>
        <w:rPr>
          <w:rFonts w:ascii="Times New Roman" w:hAnsi="Times New Roman"/>
        </w:rPr>
        <w:t xml:space="preserve">Alan </w:t>
      </w:r>
      <w:r>
        <w:rPr>
          <w:rFonts w:ascii="Times New Roman" w:hAnsi="Times New Roman"/>
        </w:rPr>
        <w:t>Leo</w:t>
      </w:r>
      <w:r>
        <w:rPr>
          <w:rFonts w:ascii="Times New Roman" w:hAnsi="Times New Roman"/>
        </w:rPr>
        <w:t xml:space="preserve"> represents a “Platonic astrological dualism” in which the soul (</w:t>
      </w:r>
      <w:r>
        <w:rPr>
          <w:rFonts w:ascii="Times New Roman" w:hAnsi="Times New Roman"/>
        </w:rPr>
        <w:t>[</w:t>
      </w:r>
      <w:r>
        <w:rPr>
          <w:rFonts w:ascii="Times New Roman" w:hAnsi="Times New Roman"/>
        </w:rPr>
        <w:t>ree will</w:t>
      </w:r>
      <w:r>
        <w:rPr>
          <w:rFonts w:ascii="Times New Roman" w:hAnsi="Times New Roman"/>
        </w:rPr>
        <w:t>]</w:t>
      </w:r>
      <w:r>
        <w:rPr>
          <w:rFonts w:ascii="Times New Roman" w:hAnsi="Times New Roman"/>
        </w:rPr>
        <w:t xml:space="preserve"> and the material world </w:t>
      </w:r>
      <w:r>
        <w:rPr>
          <w:rFonts w:ascii="Times New Roman" w:hAnsi="Times New Roman"/>
        </w:rPr>
        <w:t>[</w:t>
      </w:r>
      <w:r>
        <w:rPr>
          <w:rFonts w:ascii="Times New Roman" w:hAnsi="Times New Roman"/>
        </w:rPr>
        <w:t>fate</w:t>
      </w:r>
      <w:r>
        <w:rPr>
          <w:rFonts w:ascii="Times New Roman" w:hAnsi="Times New Roman"/>
        </w:rPr>
        <w:t>]</w:t>
      </w:r>
      <w:r>
        <w:rPr>
          <w:rFonts w:ascii="Times New Roman" w:hAnsi="Times New Roman"/>
        </w:rPr>
        <w:t xml:space="preserve"> are separate.”</w:t>
      </w:r>
      <w:r>
        <w:rPr>
          <w:rStyle w:val="FootnoteReference"/>
          <w:rFonts w:ascii="Times New Roman" w:hAnsi="Times New Roman"/>
        </w:rPr>
        <w:footnoteReference w:id="5"/>
      </w:r>
      <w:r>
        <w:rPr>
          <w:rFonts w:ascii="Times New Roman" w:hAnsi="Times New Roman"/>
        </w:rPr>
        <w:t xml:space="preserve"> </w:t>
      </w:r>
    </w:p>
    <w:p>
      <w:pPr>
        <w:pStyle w:val="Normal"/>
        <w:bidi w:val="0"/>
        <w:jc w:val="start"/>
        <w:rPr>
          <w:rFonts w:ascii="Times New Roman" w:hAnsi="Times New Roman"/>
        </w:rPr>
      </w:pPr>
      <w:r>
        <w:rPr/>
      </w:r>
    </w:p>
    <w:p>
      <w:pPr>
        <w:pStyle w:val="Normal"/>
        <w:bidi w:val="0"/>
        <w:jc w:val="start"/>
        <w:rPr>
          <w:rFonts w:ascii="Times New Roman" w:hAnsi="Times New Roman"/>
        </w:rPr>
      </w:pPr>
      <w:r>
        <w:rPr>
          <w:rFonts w:ascii="Times New Roman" w:hAnsi="Times New Roman"/>
        </w:rPr>
        <w:t xml:space="preserve">Leo makes the distinction between the practice of exoteric astrology and esoteric astrology.  He describes esoteric astrology as being “fatalistic” and providing a person with nothing but a fixed destiny that he has no control over.  Esoteric astrology is, although seemingly based in the idea of karma or a kind of inherited fate, based in the notion that one can evolve or be freed from these “karmic” bonds by learning about themselves and becoming more aware of their god-given strengths and weaknesses. Thus he says in the preface to “The Progressed Horoscope” that “The stars condition, they do not compel.” </w:t>
      </w:r>
      <w:r>
        <w:rPr>
          <w:rStyle w:val="FootnoteReference"/>
          <w:rFonts w:ascii="Times New Roman" w:hAnsi="Times New Roman"/>
        </w:rPr>
        <w:footnoteReference w:id="6"/>
      </w:r>
    </w:p>
    <w:p>
      <w:pPr>
        <w:pStyle w:val="Normal"/>
        <w:bidi w:val="0"/>
        <w:jc w:val="start"/>
        <w:rPr>
          <w:rFonts w:ascii="Times New Roman" w:hAnsi="Times New Roman"/>
        </w:rPr>
      </w:pPr>
      <w:r>
        <w:rPr>
          <w:rFonts w:ascii="Times New Roman" w:hAnsi="Times New Roman"/>
        </w:rPr>
      </w:r>
    </w:p>
    <w:p>
      <w:pPr>
        <w:pStyle w:val="Normal"/>
        <w:bidi w:val="0"/>
        <w:jc w:val="start"/>
        <w:rPr>
          <w:rFonts w:ascii="Times New Roman" w:hAnsi="Times New Roman"/>
        </w:rPr>
      </w:pPr>
      <w:r>
        <w:rPr>
          <w:rFonts w:ascii="Times New Roman" w:hAnsi="Times New Roman"/>
        </w:rPr>
        <w:t>He believed one had to take socio-economic (and other life factor</w:t>
      </w:r>
      <w:r>
        <w:rPr>
          <w:rFonts w:ascii="Times New Roman" w:hAnsi="Times New Roman"/>
        </w:rPr>
        <w:t>s</w:t>
      </w:r>
      <w:r>
        <w:rPr>
          <w:rFonts w:ascii="Times New Roman" w:hAnsi="Times New Roman"/>
        </w:rPr>
        <w:t xml:space="preserve">) into consideration when looking a horoscope. He says, </w:t>
      </w:r>
      <w:r>
        <w:rPr>
          <w:rFonts w:ascii="Times New Roman" w:hAnsi="Times New Roman"/>
        </w:rPr>
        <w:t>“Hence it is essential to remember when considering the delineation of a horoscope, that all reference to environment and fortune are RELATIVE [author’s emphasis] to the social and civil sphere into which the native is born.”</w:t>
      </w:r>
      <w:r>
        <w:rPr>
          <w:rStyle w:val="FootnoteReference"/>
          <w:rFonts w:ascii="Times New Roman" w:hAnsi="Times New Roman"/>
        </w:rPr>
        <w:footnoteReference w:id="7"/>
      </w:r>
      <w:r>
        <w:rPr>
          <w:rFonts w:ascii="Times New Roman" w:hAnsi="Times New Roman"/>
        </w:rPr>
        <w:t xml:space="preserve">   It is important to </w:t>
      </w:r>
      <w:r>
        <w:rPr>
          <w:rFonts w:ascii="Times New Roman" w:hAnsi="Times New Roman"/>
        </w:rPr>
        <w:t>note</w:t>
      </w:r>
      <w:r>
        <w:rPr>
          <w:rFonts w:ascii="Times New Roman" w:hAnsi="Times New Roman"/>
        </w:rPr>
        <w:t xml:space="preserve"> and quite in line with modern thought to take many factors of the client in mind such as class, race, sexual orientation, gender, etc. in order to put </w:t>
      </w:r>
      <w:r>
        <w:rPr>
          <w:rFonts w:ascii="Times New Roman" w:hAnsi="Times New Roman"/>
        </w:rPr>
        <w:t>the client and their chart</w:t>
      </w:r>
      <w:r>
        <w:rPr>
          <w:rFonts w:ascii="Times New Roman" w:hAnsi="Times New Roman"/>
        </w:rPr>
        <w:t xml:space="preserve"> into </w:t>
      </w:r>
      <w:r>
        <w:rPr>
          <w:rFonts w:ascii="Times New Roman" w:hAnsi="Times New Roman"/>
        </w:rPr>
        <w:t xml:space="preserve">a fuller </w:t>
      </w:r>
      <w:r>
        <w:rPr>
          <w:rFonts w:ascii="Times New Roman" w:hAnsi="Times New Roman"/>
        </w:rPr>
        <w:t xml:space="preserve">context.  However, the context in which Leo is writing this suggests he may well have had very fixed stereotypical beliefs about people (particularly regarding social class).  </w:t>
      </w:r>
      <w:r>
        <w:rPr>
          <w:rFonts w:ascii="Times New Roman" w:hAnsi="Times New Roman"/>
        </w:rPr>
        <w:t>He st</w:t>
      </w:r>
      <w:r>
        <w:rPr>
          <w:rFonts w:ascii="Times New Roman" w:hAnsi="Times New Roman"/>
        </w:rPr>
        <w:t>ates</w:t>
      </w:r>
      <w:r>
        <w:rPr>
          <w:rFonts w:ascii="Times New Roman" w:hAnsi="Times New Roman"/>
        </w:rPr>
        <w:t>, “</w:t>
      </w:r>
      <w:r>
        <w:rPr>
          <w:rFonts w:ascii="Times New Roman" w:hAnsi="Times New Roman"/>
        </w:rPr>
        <w:t xml:space="preserve">It must be </w:t>
      </w:r>
      <w:r>
        <w:rPr>
          <w:rFonts w:ascii="Times New Roman" w:hAnsi="Times New Roman"/>
        </w:rPr>
        <w:t>born in mind that physical heredity counts for something, that there is something real in “blue blood”.</w:t>
      </w:r>
      <w:r>
        <w:rPr>
          <w:rStyle w:val="FootnoteReference"/>
          <w:rFonts w:ascii="Times New Roman" w:hAnsi="Times New Roman"/>
        </w:rPr>
        <w:footnoteReference w:id="8"/>
      </w:r>
      <w:r>
        <w:rPr>
          <w:rFonts w:ascii="Times New Roman" w:hAnsi="Times New Roman"/>
        </w:rPr>
        <w:t xml:space="preserve"> In Esoteric Astrology, he has an entire chapter entitled “Caste and Social Distinctions”</w:t>
      </w:r>
      <w:r>
        <w:rPr>
          <w:rStyle w:val="FootnoteReference"/>
          <w:rFonts w:ascii="Times New Roman" w:hAnsi="Times New Roman"/>
        </w:rPr>
        <w:footnoteReference w:id="9"/>
      </w:r>
      <w:r>
        <w:rPr>
          <w:rFonts w:ascii="Times New Roman" w:hAnsi="Times New Roman"/>
        </w:rPr>
        <w:t xml:space="preserve"> and although he chooses th</w:t>
      </w:r>
      <w:r>
        <w:rPr>
          <w:rFonts w:ascii="Times New Roman" w:hAnsi="Times New Roman"/>
        </w:rPr>
        <w:t>e</w:t>
      </w:r>
      <w:r>
        <w:rPr>
          <w:rFonts w:ascii="Times New Roman" w:hAnsi="Times New Roman"/>
        </w:rPr>
        <w:t xml:space="preserve"> words primarily to illustrate the spiritual evolution of humans, he references Hindu or Indian society </w:t>
      </w:r>
      <w:r>
        <w:rPr>
          <w:rFonts w:ascii="Times New Roman" w:hAnsi="Times New Roman"/>
        </w:rPr>
        <w:t>(and even Western society as well)</w:t>
      </w:r>
      <w:r>
        <w:rPr>
          <w:rFonts w:ascii="Times New Roman" w:hAnsi="Times New Roman"/>
        </w:rPr>
        <w:t xml:space="preserve"> </w:t>
      </w:r>
      <w:r>
        <w:rPr>
          <w:rFonts w:ascii="Times New Roman" w:hAnsi="Times New Roman"/>
        </w:rPr>
        <w:t xml:space="preserve">as dividing people up into “grades”. This is then parlayed into the discussion of souls having the potential to evolve from a lower to a higher state of being </w:t>
      </w:r>
      <w:r>
        <w:rPr>
          <w:rFonts w:ascii="Times New Roman" w:hAnsi="Times New Roman"/>
        </w:rPr>
        <w:t>(although he does make it clear that while “in the early stages of [the person’s] evolutionary caste” he should “remain within the bounds of rightly ordered laws and customs…”</w:t>
      </w:r>
      <w:r>
        <w:rPr>
          <w:rStyle w:val="FootnoteReference"/>
          <w:rFonts w:ascii="Times New Roman" w:hAnsi="Times New Roman"/>
        </w:rPr>
        <w:footnoteReference w:id="10"/>
      </w:r>
      <w:r>
        <w:rPr>
          <w:rFonts w:ascii="Times New Roman" w:hAnsi="Times New Roman"/>
        </w:rPr>
        <w:t>)</w:t>
      </w:r>
    </w:p>
    <w:p>
      <w:pPr>
        <w:pStyle w:val="Normal"/>
        <w:bidi w:val="0"/>
        <w:jc w:val="start"/>
        <w:rPr>
          <w:rFonts w:ascii="Times New Roman" w:hAnsi="Times New Roman"/>
        </w:rPr>
      </w:pPr>
      <w:r>
        <w:rPr>
          <w:rFonts w:ascii="Times New Roman" w:hAnsi="Times New Roman"/>
        </w:rPr>
        <w:t>We as readers should also take into account the historical and social context that Alan Leo is writing in.</w:t>
      </w:r>
    </w:p>
    <w:p>
      <w:pPr>
        <w:pStyle w:val="Normal"/>
        <w:bidi w:val="0"/>
        <w:jc w:val="start"/>
        <w:rPr>
          <w:rFonts w:ascii="Times New Roman" w:hAnsi="Times New Roman"/>
        </w:rPr>
      </w:pPr>
      <w:r>
        <w:rPr>
          <w:rFonts w:ascii="Times New Roman" w:hAnsi="Times New Roman"/>
        </w:rPr>
        <w:t xml:space="preserve">Given that, his work </w:t>
      </w:r>
      <w:r>
        <w:rPr>
          <w:rFonts w:ascii="Times New Roman" w:hAnsi="Times New Roman"/>
        </w:rPr>
        <w:t xml:space="preserve">is </w:t>
      </w:r>
      <w:r>
        <w:rPr>
          <w:rFonts w:ascii="Times New Roman" w:hAnsi="Times New Roman"/>
        </w:rPr>
        <w:t>quite groundbr</w:t>
      </w:r>
      <w:r>
        <w:rPr>
          <w:rFonts w:ascii="Times New Roman" w:hAnsi="Times New Roman"/>
        </w:rPr>
        <w:t>ea</w:t>
      </w:r>
      <w:r>
        <w:rPr>
          <w:rFonts w:ascii="Times New Roman" w:hAnsi="Times New Roman"/>
        </w:rPr>
        <w:t>king in the way that it sees astrology’s potential as a tool for self-improvement and development and not just a means to tell people who and what they are as if it were fixed with no room for change or improvement.</w:t>
      </w:r>
    </w:p>
    <w:p>
      <w:pPr>
        <w:pStyle w:val="Normal"/>
        <w:bidi w:val="0"/>
        <w:jc w:val="start"/>
        <w:rPr>
          <w:rFonts w:ascii="Times New Roman" w:hAnsi="Times New Roman"/>
        </w:rPr>
      </w:pPr>
      <w:r>
        <w:rPr>
          <w:rFonts w:ascii="Times New Roman" w:hAnsi="Times New Roman"/>
        </w:rPr>
        <w:t xml:space="preserve">At the end of the chapter, “Caste and Social Distinctions” he does include a section entitled, “Transcending Caste.”  Although the language might be antiquated, he does </w:t>
      </w:r>
      <w:r>
        <w:rPr>
          <w:rFonts w:ascii="Times New Roman" w:hAnsi="Times New Roman"/>
        </w:rPr>
        <w:t xml:space="preserve">make a point to </w:t>
      </w:r>
      <w:r>
        <w:rPr>
          <w:rFonts w:ascii="Times New Roman" w:hAnsi="Times New Roman"/>
        </w:rPr>
        <w:t xml:space="preserve">say that people need not be bound or remain in their “caste” but could move or rise above it by “effort and merit” suggesting that if one can move beyond their “caste” (spiritual or otherwise), it is not a fixed or inherent </w:t>
      </w:r>
      <w:r>
        <w:rPr>
          <w:rFonts w:ascii="Times New Roman" w:hAnsi="Times New Roman"/>
        </w:rPr>
        <w:t>condition</w:t>
      </w:r>
      <w:r>
        <w:rPr>
          <w:rFonts w:ascii="Times New Roman" w:hAnsi="Times New Roman"/>
        </w:rPr>
        <w:t>.</w:t>
      </w:r>
      <w:r>
        <w:rPr>
          <w:rStyle w:val="FootnoteReference"/>
          <w:rFonts w:ascii="Times New Roman" w:hAnsi="Times New Roman"/>
        </w:rPr>
        <w:footnoteReference w:id="11"/>
      </w:r>
      <w:r>
        <w:rPr>
          <w:rFonts w:ascii="Times New Roman" w:hAnsi="Times New Roman"/>
        </w:rPr>
        <w:t xml:space="preserve"> </w:t>
      </w:r>
    </w:p>
    <w:p>
      <w:pPr>
        <w:pStyle w:val="Normal"/>
        <w:bidi w:val="0"/>
        <w:jc w:val="start"/>
        <w:rPr>
          <w:rFonts w:ascii="Times New Roman" w:hAnsi="Times New Roman"/>
        </w:rPr>
      </w:pPr>
      <w:r>
        <w:rPr>
          <w:rFonts w:ascii="Times New Roman" w:hAnsi="Times New Roman"/>
        </w:rPr>
      </w:r>
    </w:p>
    <w:p>
      <w:pPr>
        <w:pStyle w:val="Normal"/>
        <w:bidi w:val="0"/>
        <w:jc w:val="start"/>
        <w:rPr>
          <w:rFonts w:ascii="Times New Roman" w:hAnsi="Times New Roman"/>
        </w:rPr>
      </w:pPr>
      <w:r>
        <w:rPr>
          <w:rFonts w:ascii="Times New Roman" w:hAnsi="Times New Roman"/>
        </w:rPr>
      </w:r>
    </w:p>
    <w:p>
      <w:pPr>
        <w:pStyle w:val="Normal"/>
        <w:bidi w:val="0"/>
        <w:jc w:val="start"/>
        <w:rPr>
          <w:rFonts w:ascii="Times New Roman" w:hAnsi="Times New Roman"/>
          <w:b/>
          <w:bCs/>
        </w:rPr>
      </w:pPr>
      <w:r>
        <w:rPr>
          <w:rFonts w:ascii="Times New Roman" w:hAnsi="Times New Roman"/>
          <w:b/>
          <w:bCs/>
        </w:rPr>
        <w:t>Liz Greene</w:t>
      </w:r>
    </w:p>
    <w:p>
      <w:pPr>
        <w:pStyle w:val="Normal"/>
        <w:bidi w:val="0"/>
        <w:jc w:val="start"/>
        <w:rPr>
          <w:rFonts w:ascii="Times New Roman" w:hAnsi="Times New Roman"/>
        </w:rPr>
      </w:pPr>
      <w:r>
        <w:rPr>
          <w:rFonts w:ascii="Times New Roman" w:hAnsi="Times New Roman"/>
        </w:rPr>
      </w:r>
    </w:p>
    <w:p>
      <w:pPr>
        <w:pStyle w:val="Normal"/>
        <w:bidi w:val="0"/>
        <w:jc w:val="start"/>
        <w:rPr>
          <w:rFonts w:ascii="Times New Roman" w:hAnsi="Times New Roman"/>
        </w:rPr>
      </w:pPr>
      <w:r>
        <w:rPr>
          <w:rFonts w:ascii="Times New Roman" w:hAnsi="Times New Roman"/>
        </w:rPr>
        <w:t xml:space="preserve">Liz Greene (1946 -) is an American-British astrologer </w:t>
      </w:r>
      <w:r>
        <w:rPr>
          <w:rFonts w:ascii="Times New Roman" w:hAnsi="Times New Roman"/>
        </w:rPr>
        <w:t>who is well known for her work in astrology that is heavily influenced by depth psychology and Jungian psychology.  She is a prolific author as well as a teacher, psychoanalyst and teacher.</w:t>
      </w:r>
      <w:r>
        <w:rPr>
          <w:rStyle w:val="FootnoteReference"/>
          <w:rFonts w:ascii="Times New Roman" w:hAnsi="Times New Roman"/>
        </w:rPr>
        <w:footnoteReference w:id="12"/>
      </w:r>
      <w:r>
        <w:rPr>
          <w:rFonts w:ascii="Times New Roman" w:hAnsi="Times New Roman"/>
        </w:rPr>
        <w:t xml:space="preserve">, </w:t>
      </w:r>
      <w:r>
        <w:rPr>
          <w:rStyle w:val="FootnoteReference"/>
          <w:rFonts w:ascii="Times New Roman" w:hAnsi="Times New Roman"/>
        </w:rPr>
        <w:footnoteReference w:id="13"/>
      </w:r>
      <w:r>
        <w:rPr>
          <w:rFonts w:ascii="Times New Roman" w:hAnsi="Times New Roman"/>
        </w:rPr>
        <w:t xml:space="preserve">  </w:t>
      </w:r>
      <w:r>
        <w:rPr>
          <w:rFonts w:ascii="Times New Roman" w:hAnsi="Times New Roman"/>
        </w:rPr>
        <w:t>Insofar as her philosophy of fate can be categorized, Bernadette Brady wr</w:t>
      </w:r>
      <w:r>
        <w:rPr>
          <w:rFonts w:ascii="Times New Roman" w:hAnsi="Times New Roman"/>
        </w:rPr>
        <w:t>it</w:t>
      </w:r>
      <w:r>
        <w:rPr>
          <w:rFonts w:ascii="Times New Roman" w:hAnsi="Times New Roman"/>
        </w:rPr>
        <w:t>e</w:t>
      </w:r>
      <w:r>
        <w:rPr>
          <w:rFonts w:ascii="Times New Roman" w:hAnsi="Times New Roman"/>
        </w:rPr>
        <w:t>s</w:t>
      </w:r>
      <w:r>
        <w:rPr>
          <w:rFonts w:ascii="Times New Roman" w:hAnsi="Times New Roman"/>
        </w:rPr>
        <w:t>, “</w:t>
      </w:r>
      <w:r>
        <w:rPr>
          <w:rFonts w:ascii="Times New Roman" w:hAnsi="Times New Roman"/>
        </w:rPr>
        <w:t>Jungian astrologer Liz Greene promoted what can be viewed as a neo-Stoic approach suggesting that humanity is largely fated but our minds are free.”</w:t>
      </w:r>
      <w:r>
        <w:rPr>
          <w:rStyle w:val="FootnoteReference"/>
          <w:rFonts w:ascii="Times New Roman" w:hAnsi="Times New Roman"/>
        </w:rPr>
        <w:footnoteReference w:id="14"/>
      </w:r>
      <w:r>
        <w:rPr>
          <w:rFonts w:ascii="Times New Roman" w:hAnsi="Times New Roman"/>
        </w:rPr>
        <w:t xml:space="preserve"> </w:t>
      </w:r>
    </w:p>
    <w:p>
      <w:pPr>
        <w:pStyle w:val="Normal"/>
        <w:bidi w:val="0"/>
        <w:jc w:val="start"/>
        <w:rPr>
          <w:rFonts w:ascii="Times New Roman" w:hAnsi="Times New Roman"/>
        </w:rPr>
      </w:pPr>
      <w:r>
        <w:rPr>
          <w:rFonts w:ascii="Times New Roman" w:hAnsi="Times New Roman"/>
        </w:rPr>
        <w:t>Greene’s theory of fate seems to be at least partly based on the idea of our unsconcious. She states, “...a great deal of what we assume to be fated, in terms of transits and progressions, is not fate at all – it is our unconscious complexes at work.  As individuals and as a collective, we unwittingly contribute to, create, or are drawn into situations which enact internal issues – either because we have been avoiding these issues in the past, or because they are simply ripe and… the right moment, has arrived.”</w:t>
      </w:r>
      <w:r>
        <w:rPr>
          <w:rStyle w:val="FootnoteReference"/>
          <w:rFonts w:ascii="Times New Roman" w:hAnsi="Times New Roman"/>
        </w:rPr>
        <w:footnoteReference w:id="15"/>
      </w:r>
      <w:r>
        <w:rPr>
          <w:rFonts w:ascii="Times New Roman" w:hAnsi="Times New Roman"/>
        </w:rPr>
        <w:t xml:space="preserve">  She does however say that she is “not a disbeliever” in karma and that perhaps there may be a kind of accruing of “substance” through lifetimes that can “act as a magnet” for various things experienced in the present life.</w:t>
      </w:r>
      <w:r>
        <w:rPr>
          <w:rStyle w:val="FootnoteReference"/>
          <w:rFonts w:ascii="Times New Roman" w:hAnsi="Times New Roman"/>
        </w:rPr>
        <w:footnoteReference w:id="16"/>
      </w:r>
      <w:r>
        <w:rPr>
          <w:rFonts w:ascii="Times New Roman" w:hAnsi="Times New Roman"/>
        </w:rPr>
        <w:t xml:space="preserve">  She elaborates on this further by saying that humans “create their world” based on the kinds of thoughts we create which can then manifest in our lived, material existence.  She writes, “...human beings do not earn free will except through self-discovery…”  She further explains that this self-discovery or insight doesn’t occur until experiencing a painful event forces them to look deeper.</w:t>
      </w:r>
      <w:r>
        <w:rPr>
          <w:rStyle w:val="FootnoteReference"/>
          <w:rFonts w:ascii="Times New Roman" w:hAnsi="Times New Roman"/>
        </w:rPr>
        <w:footnoteReference w:id="17"/>
      </w:r>
    </w:p>
    <w:p>
      <w:pPr>
        <w:pStyle w:val="Normal"/>
        <w:bidi w:val="0"/>
        <w:jc w:val="start"/>
        <w:rPr>
          <w:rFonts w:ascii="Times New Roman" w:hAnsi="Times New Roman"/>
        </w:rPr>
      </w:pPr>
      <w:r>
        <w:rPr>
          <w:rFonts w:ascii="Times New Roman" w:hAnsi="Times New Roman"/>
        </w:rPr>
      </w:r>
    </w:p>
    <w:p>
      <w:pPr>
        <w:pStyle w:val="Normal"/>
        <w:bidi w:val="0"/>
        <w:jc w:val="start"/>
        <w:rPr>
          <w:rFonts w:ascii="Times New Roman" w:hAnsi="Times New Roman"/>
        </w:rPr>
      </w:pPr>
      <w:r>
        <w:rPr>
          <w:rFonts w:ascii="Times New Roman" w:hAnsi="Times New Roman"/>
        </w:rPr>
        <w:t xml:space="preserve">In </w:t>
      </w:r>
      <w:r>
        <w:rPr>
          <w:rFonts w:ascii="Times New Roman" w:hAnsi="Times New Roman"/>
          <w:i/>
          <w:iCs/>
        </w:rPr>
        <w:t>The Astrology of Fate</w:t>
      </w:r>
      <w:r>
        <w:rPr>
          <w:rFonts w:ascii="Times New Roman" w:hAnsi="Times New Roman"/>
          <w:i w:val="false"/>
          <w:iCs w:val="false"/>
        </w:rPr>
        <w:t xml:space="preserve">, Liz Greene relates an experience that she believes is an example of “fatedness.”  During her college years, she was persuaded by a friend to have a consultation with the astrologer Isabel Hickey even though she was not that interested and somewhat unwilling to go.  She was impressed by the astrological reading’s accuracy.  Ms. Hickey encouraged Greene to study with her and seemed interested in having her as a student.  She then recounts how seemingly out of the blue, Hickey took a dislike to her, was insulting and would not allow her to attend classes.  The experience was intense and sudden and not surprising left her baffled and eventually concerned.  It started to bother her and made her wonder why this happened?  Had Isabel Hickey seen some horribly negative  things in her chart?  She </w:t>
      </w:r>
      <w:r>
        <w:rPr>
          <w:rFonts w:ascii="Times New Roman" w:hAnsi="Times New Roman"/>
          <w:i w:val="false"/>
          <w:iCs w:val="false"/>
        </w:rPr>
        <w:t xml:space="preserve">became more proficient in chart reading so she could perhaps understand what happened and came across a transit of “Jupiter in Gemini stationing direct on her natal Uranus” that led her </w:t>
      </w:r>
      <w:r>
        <w:rPr>
          <w:rFonts w:ascii="Times New Roman" w:hAnsi="Times New Roman"/>
          <w:i w:val="false"/>
          <w:iCs w:val="false"/>
        </w:rPr>
        <w:t xml:space="preserve">to </w:t>
      </w:r>
      <w:r>
        <w:rPr>
          <w:rFonts w:ascii="Times New Roman" w:hAnsi="Times New Roman"/>
          <w:i w:val="false"/>
          <w:iCs w:val="false"/>
        </w:rPr>
        <w:t>the</w:t>
      </w:r>
      <w:r>
        <w:rPr>
          <w:rFonts w:ascii="Times New Roman" w:hAnsi="Times New Roman"/>
          <w:i w:val="false"/>
          <w:iCs w:val="false"/>
        </w:rPr>
        <w:t xml:space="preserve"> conclusion that this event was one of sync</w:t>
      </w:r>
      <w:r>
        <w:rPr>
          <w:rFonts w:ascii="Times New Roman" w:hAnsi="Times New Roman"/>
          <w:i w:val="false"/>
          <w:iCs w:val="false"/>
        </w:rPr>
        <w:t>h</w:t>
      </w:r>
      <w:r>
        <w:rPr>
          <w:rFonts w:ascii="Times New Roman" w:hAnsi="Times New Roman"/>
          <w:i w:val="false"/>
          <w:iCs w:val="false"/>
        </w:rPr>
        <w:t xml:space="preserve">ronicity </w:t>
      </w:r>
      <w:r>
        <w:rPr>
          <w:rFonts w:ascii="Times New Roman" w:hAnsi="Times New Roman"/>
          <w:i w:val="false"/>
          <w:iCs w:val="false"/>
        </w:rPr>
        <w:t>and opportunity</w:t>
      </w:r>
      <w:r>
        <w:rPr>
          <w:rFonts w:ascii="Times New Roman" w:hAnsi="Times New Roman"/>
          <w:i w:val="false"/>
          <w:iCs w:val="false"/>
        </w:rPr>
        <w:t>.</w:t>
      </w:r>
      <w:r>
        <w:rPr>
          <w:rStyle w:val="FootnoteReference"/>
          <w:rFonts w:ascii="Times New Roman" w:hAnsi="Times New Roman"/>
          <w:i w:val="false"/>
          <w:iCs w:val="false"/>
        </w:rPr>
        <w:footnoteReference w:id="18"/>
      </w:r>
      <w:r>
        <w:rPr>
          <w:rFonts w:ascii="Times New Roman" w:hAnsi="Times New Roman"/>
          <w:i w:val="false"/>
          <w:iCs w:val="false"/>
        </w:rPr>
        <w:t xml:space="preserve"> </w:t>
      </w:r>
      <w:r>
        <w:rPr>
          <w:rFonts w:ascii="Times New Roman" w:hAnsi="Times New Roman"/>
          <w:i w:val="false"/>
          <w:iCs w:val="false"/>
        </w:rPr>
        <w:t>Liz Greene states the Hickey’s apparent hostility “… was precisely the right trigger to set me moving along my own path…”  She reflected that had she become one of Hickey’s students, she might just have copied Hickey’s way of practicing astrology instead of “finding her own way and developing her own insights…”</w:t>
      </w:r>
      <w:r>
        <w:rPr>
          <w:rStyle w:val="FootnoteReference"/>
          <w:rFonts w:ascii="Times New Roman" w:hAnsi="Times New Roman"/>
          <w:i w:val="false"/>
          <w:iCs w:val="false"/>
        </w:rPr>
        <w:footnoteReference w:id="19"/>
      </w:r>
    </w:p>
    <w:p>
      <w:pPr>
        <w:pStyle w:val="Normal"/>
        <w:bidi w:val="0"/>
        <w:jc w:val="start"/>
        <w:rPr>
          <w:i w:val="false"/>
          <w:i w:val="false"/>
          <w:iCs w:val="false"/>
        </w:rPr>
      </w:pPr>
      <w:r>
        <w:rPr>
          <w:rFonts w:ascii="Times New Roman" w:hAnsi="Times New Roman"/>
        </w:rPr>
      </w:r>
    </w:p>
    <w:p>
      <w:pPr>
        <w:pStyle w:val="Normal"/>
        <w:bidi w:val="0"/>
        <w:jc w:val="start"/>
        <w:rPr>
          <w:rFonts w:ascii="Times New Roman" w:hAnsi="Times New Roman"/>
        </w:rPr>
      </w:pPr>
      <w:r>
        <w:rPr>
          <w:rFonts w:ascii="Times New Roman" w:hAnsi="Times New Roman"/>
          <w:i w:val="false"/>
          <w:iCs w:val="false"/>
        </w:rPr>
        <w:t>It appears that Greene’s interpretation of fate here could be interpreted as helping her make peace with a difficult and seemingly inexplicable situation.  Through astrology and the concept of synchronicity, she could garner a sense of meaning and, even though it was a negative experience, she could transform it into something pos</w:t>
      </w:r>
      <w:r>
        <w:rPr>
          <w:rFonts w:ascii="Times New Roman" w:hAnsi="Times New Roman"/>
          <w:i w:val="false"/>
          <w:iCs w:val="false"/>
        </w:rPr>
        <w:t>i</w:t>
      </w:r>
      <w:r>
        <w:rPr>
          <w:rFonts w:ascii="Times New Roman" w:hAnsi="Times New Roman"/>
          <w:i w:val="false"/>
          <w:iCs w:val="false"/>
        </w:rPr>
        <w:t>tive by seeing it as a “fated opportunity.”</w:t>
      </w:r>
    </w:p>
    <w:p>
      <w:pPr>
        <w:pStyle w:val="Normal"/>
        <w:bidi w:val="0"/>
        <w:jc w:val="start"/>
        <w:rPr>
          <w:i w:val="false"/>
          <w:i w:val="false"/>
          <w:iCs w:val="false"/>
        </w:rPr>
      </w:pPr>
      <w:r>
        <w:rPr>
          <w:rFonts w:ascii="Times New Roman" w:hAnsi="Times New Roman"/>
        </w:rPr>
      </w:r>
    </w:p>
    <w:p>
      <w:pPr>
        <w:pStyle w:val="Normal"/>
        <w:bidi w:val="0"/>
        <w:jc w:val="start"/>
        <w:rPr>
          <w:rFonts w:ascii="Times New Roman" w:hAnsi="Times New Roman"/>
        </w:rPr>
      </w:pPr>
      <w:r>
        <w:rPr>
          <w:rFonts w:ascii="Times New Roman" w:hAnsi="Times New Roman"/>
          <w:i w:val="false"/>
          <w:iCs w:val="false"/>
        </w:rPr>
        <w:t xml:space="preserve">In a curious </w:t>
      </w:r>
      <w:r>
        <w:rPr>
          <w:rFonts w:ascii="Times New Roman" w:hAnsi="Times New Roman"/>
          <w:i w:val="false"/>
          <w:iCs w:val="false"/>
        </w:rPr>
        <w:t>and</w:t>
      </w:r>
      <w:r>
        <w:rPr>
          <w:rFonts w:ascii="Times New Roman" w:hAnsi="Times New Roman"/>
          <w:i w:val="false"/>
          <w:iCs w:val="false"/>
        </w:rPr>
        <w:t xml:space="preserve"> perhaps even </w:t>
      </w:r>
      <w:r>
        <w:rPr>
          <w:rFonts w:ascii="Times New Roman" w:hAnsi="Times New Roman"/>
          <w:i w:val="false"/>
          <w:iCs w:val="false"/>
        </w:rPr>
        <w:t>a</w:t>
      </w:r>
      <w:r>
        <w:rPr>
          <w:rFonts w:ascii="Times New Roman" w:hAnsi="Times New Roman"/>
          <w:i w:val="false"/>
          <w:iCs w:val="false"/>
        </w:rPr>
        <w:t xml:space="preserve"> dubious</w:t>
      </w:r>
      <w:r>
        <w:rPr>
          <w:rFonts w:ascii="Times New Roman" w:hAnsi="Times New Roman"/>
          <w:i w:val="false"/>
          <w:iCs w:val="false"/>
        </w:rPr>
        <w:t xml:space="preserve"> example of fate as “family inheritance”, she relates the story of an adult woman diagnosed with autism. [</w:t>
      </w:r>
      <w:r>
        <w:rPr>
          <w:rFonts w:ascii="Times New Roman" w:hAnsi="Times New Roman"/>
          <w:b w:val="false"/>
          <w:bCs w:val="false"/>
          <w:i w:val="false"/>
          <w:iCs w:val="false"/>
        </w:rPr>
        <w:t>note: the current thoughts and theories on autism have change</w:t>
      </w:r>
      <w:r>
        <w:rPr>
          <w:rFonts w:ascii="Times New Roman" w:hAnsi="Times New Roman"/>
          <w:b w:val="false"/>
          <w:bCs w:val="false"/>
          <w:i w:val="false"/>
          <w:iCs w:val="false"/>
        </w:rPr>
        <w:t>d</w:t>
      </w:r>
      <w:r>
        <w:rPr>
          <w:rFonts w:ascii="Times New Roman" w:hAnsi="Times New Roman"/>
          <w:b w:val="false"/>
          <w:bCs w:val="false"/>
          <w:i w:val="false"/>
          <w:iCs w:val="false"/>
        </w:rPr>
        <w:t xml:space="preserve"> quite a bit since the publication of </w:t>
      </w:r>
      <w:r>
        <w:rPr>
          <w:rFonts w:ascii="Times New Roman" w:hAnsi="Times New Roman"/>
          <w:b w:val="false"/>
          <w:bCs w:val="false"/>
          <w:i/>
          <w:iCs/>
        </w:rPr>
        <w:t>The Astrology of Fate</w:t>
      </w:r>
      <w:r>
        <w:rPr>
          <w:rFonts w:ascii="Times New Roman" w:hAnsi="Times New Roman"/>
          <w:b w:val="false"/>
          <w:bCs w:val="false"/>
          <w:i w:val="false"/>
          <w:iCs w:val="false"/>
        </w:rPr>
        <w:t xml:space="preserve"> was published and are beyond the scope of this paper.]</w:t>
      </w:r>
      <w:r>
        <w:rPr>
          <w:rFonts w:ascii="Times New Roman" w:hAnsi="Times New Roman"/>
          <w:i w:val="false"/>
          <w:iCs w:val="false"/>
        </w:rPr>
        <w:t xml:space="preserve">.  Greene writes that there </w:t>
      </w:r>
      <w:r>
        <w:rPr>
          <w:rFonts w:ascii="Times New Roman" w:hAnsi="Times New Roman"/>
          <w:i w:val="false"/>
          <w:iCs w:val="false"/>
        </w:rPr>
        <w:t xml:space="preserve">do </w:t>
      </w:r>
      <w:r>
        <w:rPr>
          <w:rFonts w:ascii="Times New Roman" w:hAnsi="Times New Roman"/>
          <w:i w:val="false"/>
          <w:iCs w:val="false"/>
        </w:rPr>
        <w:t>not seem</w:t>
      </w:r>
      <w:r>
        <w:rPr>
          <w:rFonts w:ascii="Times New Roman" w:hAnsi="Times New Roman"/>
          <w:i w:val="false"/>
          <w:iCs w:val="false"/>
        </w:rPr>
        <w:t xml:space="preserve"> to be a lot</w:t>
      </w:r>
      <w:r>
        <w:rPr>
          <w:rFonts w:ascii="Times New Roman" w:hAnsi="Times New Roman"/>
          <w:i w:val="false"/>
          <w:iCs w:val="false"/>
        </w:rPr>
        <w:t xml:space="preserve"> of astrological signatures that would explain or describe the woman’s demeanor or behavior (she is quick to say </w:t>
      </w:r>
      <w:r>
        <w:rPr>
          <w:rFonts w:ascii="Times New Roman" w:hAnsi="Times New Roman"/>
          <w:i w:val="false"/>
          <w:iCs w:val="false"/>
        </w:rPr>
        <w:t xml:space="preserve">she is not claiming to “see” autism in her chart) so she instead looks at collective astrological patterns in her family that suggest to Greene the psychological phenomenon of the “family scapegoat” or “identified patient.”  Here she seems to be drawing on the idea of a collective fate or </w:t>
      </w:r>
      <w:r>
        <w:rPr>
          <w:rFonts w:ascii="Times New Roman" w:hAnsi="Times New Roman"/>
          <w:i w:val="false"/>
          <w:iCs w:val="false"/>
        </w:rPr>
        <w:t>i</w:t>
      </w:r>
      <w:r>
        <w:rPr>
          <w:rFonts w:ascii="Times New Roman" w:hAnsi="Times New Roman"/>
          <w:i w:val="false"/>
          <w:iCs w:val="false"/>
        </w:rPr>
        <w:t xml:space="preserve">nherited psychology that then </w:t>
      </w:r>
      <w:r>
        <w:rPr>
          <w:rFonts w:ascii="Times New Roman" w:hAnsi="Times New Roman"/>
          <w:i w:val="false"/>
          <w:iCs w:val="false"/>
        </w:rPr>
        <w:t>could be</w:t>
      </w:r>
      <w:r>
        <w:rPr>
          <w:rFonts w:ascii="Times New Roman" w:hAnsi="Times New Roman"/>
          <w:i w:val="false"/>
          <w:iCs w:val="false"/>
        </w:rPr>
        <w:t xml:space="preserve"> manifest</w:t>
      </w:r>
      <w:r>
        <w:rPr>
          <w:rFonts w:ascii="Times New Roman" w:hAnsi="Times New Roman"/>
          <w:i w:val="false"/>
          <w:iCs w:val="false"/>
        </w:rPr>
        <w:t>ing</w:t>
      </w:r>
      <w:r>
        <w:rPr>
          <w:rFonts w:ascii="Times New Roman" w:hAnsi="Times New Roman"/>
          <w:i w:val="false"/>
          <w:iCs w:val="false"/>
        </w:rPr>
        <w:t xml:space="preserve"> in her as autistic tendencies.</w:t>
      </w:r>
      <w:r>
        <w:rPr>
          <w:rStyle w:val="FootnoteReference"/>
          <w:rFonts w:ascii="Times New Roman" w:hAnsi="Times New Roman"/>
          <w:i w:val="false"/>
          <w:iCs w:val="false"/>
        </w:rPr>
        <w:footnoteReference w:id="20"/>
      </w:r>
    </w:p>
    <w:p>
      <w:pPr>
        <w:pStyle w:val="Normal"/>
        <w:bidi w:val="0"/>
        <w:jc w:val="start"/>
        <w:rPr>
          <w:i w:val="false"/>
          <w:i w:val="false"/>
          <w:iCs w:val="false"/>
        </w:rPr>
      </w:pPr>
      <w:r>
        <w:rPr>
          <w:rFonts w:ascii="Times New Roman" w:hAnsi="Times New Roman"/>
        </w:rPr>
      </w:r>
    </w:p>
    <w:p>
      <w:pPr>
        <w:pStyle w:val="Normal"/>
        <w:bidi w:val="0"/>
        <w:jc w:val="start"/>
        <w:rPr>
          <w:rFonts w:ascii="Times New Roman" w:hAnsi="Times New Roman"/>
          <w:b/>
          <w:bCs/>
        </w:rPr>
      </w:pPr>
      <w:r>
        <w:rPr>
          <w:rFonts w:ascii="Times New Roman" w:hAnsi="Times New Roman"/>
          <w:b/>
          <w:bCs/>
          <w:i w:val="false"/>
          <w:iCs w:val="false"/>
        </w:rPr>
        <w:t xml:space="preserve">Some </w:t>
      </w:r>
      <w:r>
        <w:rPr>
          <w:rFonts w:ascii="Times New Roman" w:hAnsi="Times New Roman"/>
          <w:b/>
          <w:bCs/>
          <w:i w:val="false"/>
          <w:iCs w:val="false"/>
        </w:rPr>
        <w:t>S</w:t>
      </w:r>
      <w:r>
        <w:rPr>
          <w:rFonts w:ascii="Times New Roman" w:hAnsi="Times New Roman"/>
          <w:b/>
          <w:bCs/>
          <w:i w:val="false"/>
          <w:iCs w:val="false"/>
        </w:rPr>
        <w:t>imilarities Between Leo and Greene</w:t>
      </w:r>
    </w:p>
    <w:p>
      <w:pPr>
        <w:pStyle w:val="Normal"/>
        <w:bidi w:val="0"/>
        <w:jc w:val="start"/>
        <w:rPr>
          <w:rFonts w:ascii="Times New Roman" w:hAnsi="Times New Roman"/>
        </w:rPr>
      </w:pPr>
      <w:r>
        <w:rPr>
          <w:rFonts w:ascii="Times New Roman" w:hAnsi="Times New Roman"/>
        </w:rPr>
      </w:r>
    </w:p>
    <w:p>
      <w:pPr>
        <w:pStyle w:val="Normal"/>
        <w:bidi w:val="0"/>
        <w:jc w:val="start"/>
        <w:rPr>
          <w:rFonts w:ascii="Times New Roman" w:hAnsi="Times New Roman"/>
        </w:rPr>
      </w:pPr>
      <w:r>
        <w:rPr>
          <w:rFonts w:ascii="Times New Roman" w:hAnsi="Times New Roman"/>
        </w:rPr>
        <w:t xml:space="preserve">Both Leo and Greene perceive the birth cart (and hence the individual) as having multiple layers.  For Alan Leo, he breaks this down in a couple ways. First he discusses “lower” or untrained souls (new to spiritual evolution), older experienced souls and the “middle” or the vast majority of souls that are neither new or old. </w:t>
      </w:r>
      <w:r>
        <w:rPr>
          <w:rStyle w:val="FootnoteReference"/>
          <w:rFonts w:ascii="Times New Roman" w:hAnsi="Times New Roman"/>
        </w:rPr>
        <w:footnoteReference w:id="21"/>
      </w:r>
      <w:r>
        <w:rPr>
          <w:rFonts w:ascii="Times New Roman" w:hAnsi="Times New Roman"/>
        </w:rPr>
        <w:t xml:space="preserve"> The manner of chart interpretation would depend on what level of evolution that person might be considered. He also points out “three factors in human destiny [or fate]…” </w:t>
      </w:r>
      <w:r>
        <w:rPr>
          <w:rFonts w:ascii="Times New Roman" w:hAnsi="Times New Roman"/>
        </w:rPr>
        <w:t>which are “Heredity, Environment and Character.”  All these factors color and influence the “fate” along with the horoscope</w:t>
      </w:r>
      <w:r>
        <w:rPr>
          <w:rStyle w:val="FootnoteReference"/>
          <w:rFonts w:ascii="Times New Roman" w:hAnsi="Times New Roman"/>
        </w:rPr>
        <w:footnoteReference w:id="22"/>
      </w:r>
      <w:r>
        <w:rPr>
          <w:rFonts w:ascii="Times New Roman" w:hAnsi="Times New Roman"/>
        </w:rPr>
        <w:t xml:space="preserve"> but he emphasizes that the life and “fate” of an individual can be somewhat surmounted with ‘...prayer...a strong and determined will [that is] aided by knowledge and foresight.”</w:t>
      </w:r>
      <w:r>
        <w:rPr>
          <w:rStyle w:val="FootnoteReference"/>
          <w:rFonts w:ascii="Times New Roman" w:hAnsi="Times New Roman"/>
        </w:rPr>
        <w:footnoteReference w:id="23"/>
      </w:r>
    </w:p>
    <w:p>
      <w:pPr>
        <w:pStyle w:val="Normal"/>
        <w:bidi w:val="0"/>
        <w:jc w:val="start"/>
        <w:rPr>
          <w:rFonts w:ascii="Times New Roman" w:hAnsi="Times New Roman"/>
        </w:rPr>
      </w:pPr>
      <w:r>
        <w:rPr>
          <w:rFonts w:ascii="Times New Roman" w:hAnsi="Times New Roman"/>
        </w:rPr>
        <w:t>Liz Greene calls these layers, “Levels of Expression” in which she believes transits and progressions affect the horoscope.</w:t>
      </w:r>
      <w:r>
        <w:rPr>
          <w:rStyle w:val="FootnoteReference"/>
          <w:rFonts w:ascii="Times New Roman" w:hAnsi="Times New Roman"/>
        </w:rPr>
        <w:footnoteReference w:id="24"/>
      </w:r>
      <w:r>
        <w:rPr>
          <w:rFonts w:ascii="Times New Roman" w:hAnsi="Times New Roman"/>
        </w:rPr>
        <w:t xml:space="preserve">  They are  “Meaning” (teleology), “Emotional Stuff”  and “Materialisation”.  </w:t>
      </w:r>
    </w:p>
    <w:p>
      <w:pPr>
        <w:pStyle w:val="Normal"/>
        <w:bidi w:val="0"/>
        <w:jc w:val="start"/>
        <w:rPr>
          <w:rFonts w:ascii="Times New Roman" w:hAnsi="Times New Roman"/>
        </w:rPr>
      </w:pPr>
      <w:r>
        <w:rPr>
          <w:rFonts w:ascii="Times New Roman" w:hAnsi="Times New Roman"/>
        </w:rPr>
        <w:t>Meaning asks us to look at the transit, etc. and consider what might it be teaching us or what could we learn from it?  “Emotional Stuff” is more psychological and can point to where the transits, etc. might be activiating unconscious or emotional issues.  Lastly, “Materialisation” is “primarily concerned with what will happen in the material world.”</w:t>
      </w:r>
      <w:r>
        <w:rPr>
          <w:rStyle w:val="FootnoteReference"/>
          <w:rFonts w:ascii="Times New Roman" w:hAnsi="Times New Roman"/>
        </w:rPr>
        <w:footnoteReference w:id="25"/>
      </w:r>
    </w:p>
    <w:p>
      <w:pPr>
        <w:pStyle w:val="Normal"/>
        <w:bidi w:val="0"/>
        <w:jc w:val="start"/>
        <w:rPr>
          <w:rFonts w:ascii="Times New Roman" w:hAnsi="Times New Roman"/>
        </w:rPr>
      </w:pPr>
      <w:r>
        <w:rPr>
          <w:rFonts w:ascii="Times New Roman" w:hAnsi="Times New Roman"/>
        </w:rPr>
      </w:r>
    </w:p>
    <w:p>
      <w:pPr>
        <w:pStyle w:val="Normal"/>
        <w:bidi w:val="0"/>
        <w:jc w:val="start"/>
        <w:rPr>
          <w:rFonts w:ascii="Times New Roman" w:hAnsi="Times New Roman"/>
          <w:b/>
          <w:bCs/>
        </w:rPr>
      </w:pPr>
      <w:r>
        <w:rPr>
          <w:rFonts w:ascii="Times New Roman" w:hAnsi="Times New Roman"/>
          <w:b/>
          <w:bCs/>
        </w:rPr>
        <w:t>Thoughts on Fate and Astrology</w:t>
      </w:r>
    </w:p>
    <w:p>
      <w:pPr>
        <w:pStyle w:val="Normal"/>
        <w:bidi w:val="0"/>
        <w:jc w:val="start"/>
        <w:rPr>
          <w:rFonts w:ascii="Times New Roman" w:hAnsi="Times New Roman"/>
        </w:rPr>
      </w:pPr>
      <w:r>
        <w:rPr>
          <w:rFonts w:ascii="Times New Roman" w:hAnsi="Times New Roman"/>
        </w:rPr>
      </w:r>
    </w:p>
    <w:p>
      <w:pPr>
        <w:pStyle w:val="Normal"/>
        <w:bidi w:val="0"/>
        <w:jc w:val="start"/>
        <w:rPr>
          <w:rFonts w:ascii="Times New Roman" w:hAnsi="Times New Roman"/>
        </w:rPr>
      </w:pPr>
      <w:r>
        <w:rPr>
          <w:rFonts w:ascii="Times New Roman" w:hAnsi="Times New Roman"/>
        </w:rPr>
        <w:t>G</w:t>
      </w:r>
      <w:r>
        <w:rPr>
          <w:rFonts w:ascii="Times New Roman" w:hAnsi="Times New Roman"/>
        </w:rPr>
        <w:t xml:space="preserve">rappling with </w:t>
      </w:r>
      <w:r>
        <w:rPr>
          <w:rFonts w:ascii="Times New Roman" w:hAnsi="Times New Roman"/>
        </w:rPr>
        <w:t xml:space="preserve">various notions of </w:t>
      </w:r>
      <w:r>
        <w:rPr>
          <w:rFonts w:ascii="Times New Roman" w:hAnsi="Times New Roman"/>
        </w:rPr>
        <w:t xml:space="preserve">fate </w:t>
      </w:r>
      <w:r>
        <w:rPr>
          <w:rFonts w:ascii="Times New Roman" w:hAnsi="Times New Roman"/>
        </w:rPr>
        <w:t>(and also free will)</w:t>
      </w:r>
      <w:r>
        <w:rPr>
          <w:rFonts w:ascii="Times New Roman" w:hAnsi="Times New Roman"/>
        </w:rPr>
        <w:t xml:space="preserve">, </w:t>
      </w:r>
      <w:r>
        <w:rPr>
          <w:rFonts w:ascii="Times New Roman" w:hAnsi="Times New Roman"/>
        </w:rPr>
        <w:t>whether</w:t>
      </w:r>
      <w:r>
        <w:rPr>
          <w:rFonts w:ascii="Times New Roman" w:hAnsi="Times New Roman"/>
        </w:rPr>
        <w:t xml:space="preserve"> it is approached theoretically or philosophically, </w:t>
      </w:r>
      <w:r>
        <w:rPr>
          <w:rFonts w:ascii="Times New Roman" w:hAnsi="Times New Roman"/>
        </w:rPr>
        <w:t xml:space="preserve">seems to </w:t>
      </w:r>
      <w:r>
        <w:rPr>
          <w:rFonts w:ascii="Times New Roman" w:hAnsi="Times New Roman"/>
        </w:rPr>
        <w:t xml:space="preserve">speak to the larger need for humans to understand things like injustice </w:t>
      </w:r>
      <w:r>
        <w:rPr>
          <w:rFonts w:ascii="Times New Roman" w:hAnsi="Times New Roman"/>
        </w:rPr>
        <w:t xml:space="preserve">or </w:t>
      </w:r>
      <w:r>
        <w:rPr>
          <w:rFonts w:ascii="Times New Roman" w:hAnsi="Times New Roman"/>
        </w:rPr>
        <w:t>why some</w:t>
      </w:r>
      <w:r>
        <w:rPr>
          <w:rFonts w:ascii="Times New Roman" w:hAnsi="Times New Roman"/>
        </w:rPr>
        <w:t xml:space="preserve"> people seem to live a “blessed life” or </w:t>
      </w:r>
      <w:r>
        <w:rPr>
          <w:rFonts w:ascii="Times New Roman" w:hAnsi="Times New Roman"/>
        </w:rPr>
        <w:t xml:space="preserve">how </w:t>
      </w:r>
      <w:r>
        <w:rPr>
          <w:rFonts w:ascii="Times New Roman" w:hAnsi="Times New Roman"/>
        </w:rPr>
        <w:t>a sudden</w:t>
      </w:r>
      <w:r>
        <w:rPr>
          <w:rFonts w:ascii="Times New Roman" w:hAnsi="Times New Roman"/>
        </w:rPr>
        <w:t xml:space="preserve"> illness </w:t>
      </w:r>
      <w:r>
        <w:rPr>
          <w:rFonts w:ascii="Times New Roman" w:hAnsi="Times New Roman"/>
        </w:rPr>
        <w:t xml:space="preserve">or accident </w:t>
      </w:r>
      <w:r>
        <w:rPr>
          <w:rFonts w:ascii="Times New Roman" w:hAnsi="Times New Roman"/>
        </w:rPr>
        <w:t>occurs</w:t>
      </w:r>
      <w:r>
        <w:rPr>
          <w:rFonts w:ascii="Times New Roman" w:hAnsi="Times New Roman"/>
        </w:rPr>
        <w:t xml:space="preserve">.    </w:t>
      </w:r>
      <w:r>
        <w:rPr>
          <w:rFonts w:ascii="Times New Roman" w:hAnsi="Times New Roman"/>
        </w:rPr>
        <w:t>For example, questions like  “</w:t>
      </w:r>
      <w:r>
        <w:rPr>
          <w:rFonts w:ascii="Times New Roman" w:hAnsi="Times New Roman"/>
        </w:rPr>
        <w:t xml:space="preserve">Why me?”  “Why did I survive?”  “Why </w:t>
      </w:r>
      <w:r>
        <w:rPr>
          <w:rFonts w:ascii="Times New Roman" w:hAnsi="Times New Roman"/>
        </w:rPr>
        <w:t>do</w:t>
      </w:r>
      <w:r>
        <w:rPr>
          <w:rFonts w:ascii="Times New Roman" w:hAnsi="Times New Roman"/>
        </w:rPr>
        <w:t xml:space="preserve"> </w:t>
      </w:r>
      <w:r>
        <w:rPr>
          <w:rFonts w:ascii="Times New Roman" w:hAnsi="Times New Roman"/>
        </w:rPr>
        <w:t xml:space="preserve">innocent </w:t>
      </w:r>
      <w:r>
        <w:rPr>
          <w:rFonts w:ascii="Times New Roman" w:hAnsi="Times New Roman"/>
        </w:rPr>
        <w:t xml:space="preserve">children die?” </w:t>
      </w:r>
      <w:r>
        <w:rPr>
          <w:rFonts w:ascii="Times New Roman" w:hAnsi="Times New Roman"/>
        </w:rPr>
        <w:t xml:space="preserve">or “What did I do to deserve this good fortune?” are fairly common </w:t>
      </w:r>
      <w:r>
        <w:rPr>
          <w:rFonts w:ascii="Times New Roman" w:hAnsi="Times New Roman"/>
        </w:rPr>
        <w:t>and can be applied to both personal and global or universal questions</w:t>
      </w:r>
      <w:r>
        <w:rPr>
          <w:rFonts w:ascii="Times New Roman" w:hAnsi="Times New Roman"/>
        </w:rPr>
        <w:t>.  There is often a kind of</w:t>
      </w:r>
      <w:r>
        <w:rPr>
          <w:rFonts w:ascii="Times New Roman" w:hAnsi="Times New Roman"/>
        </w:rPr>
        <w:t xml:space="preserve"> </w:t>
      </w:r>
      <w:r>
        <w:rPr>
          <w:rFonts w:ascii="Times New Roman" w:hAnsi="Times New Roman"/>
        </w:rPr>
        <w:t>c</w:t>
      </w:r>
      <w:r>
        <w:rPr>
          <w:rFonts w:ascii="Times New Roman" w:hAnsi="Times New Roman"/>
        </w:rPr>
        <w:t xml:space="preserve">ognitive dissonance </w:t>
      </w:r>
      <w:r>
        <w:rPr>
          <w:rFonts w:ascii="Times New Roman" w:hAnsi="Times New Roman"/>
        </w:rPr>
        <w:t>that can develop around</w:t>
      </w:r>
      <w:r>
        <w:rPr>
          <w:rFonts w:ascii="Times New Roman" w:hAnsi="Times New Roman"/>
        </w:rPr>
        <w:t xml:space="preserve"> the apparent randomness of tragedy or </w:t>
      </w:r>
      <w:r>
        <w:rPr>
          <w:rFonts w:ascii="Times New Roman" w:hAnsi="Times New Roman"/>
        </w:rPr>
        <w:t xml:space="preserve">success or events that are perceived as positive or negative.  </w:t>
      </w:r>
      <w:r>
        <w:rPr>
          <w:rFonts w:ascii="Times New Roman" w:hAnsi="Times New Roman"/>
        </w:rPr>
        <w:t xml:space="preserve">It’s no surprise that the book, </w:t>
      </w:r>
      <w:r>
        <w:rPr>
          <w:rFonts w:ascii="Times New Roman" w:hAnsi="Times New Roman"/>
          <w:i/>
          <w:iCs/>
        </w:rPr>
        <w:t>Why Bad Things Happen to Good People</w:t>
      </w:r>
      <w:r>
        <w:rPr>
          <w:rFonts w:ascii="Times New Roman" w:hAnsi="Times New Roman"/>
          <w:i w:val="false"/>
          <w:iCs w:val="false"/>
        </w:rPr>
        <w:t>,</w:t>
      </w:r>
      <w:r>
        <w:rPr>
          <w:rStyle w:val="FootnoteReference"/>
          <w:rFonts w:ascii="Times New Roman" w:hAnsi="Times New Roman"/>
          <w:i w:val="false"/>
          <w:iCs w:val="false"/>
        </w:rPr>
        <w:footnoteReference w:id="26"/>
      </w:r>
      <w:r>
        <w:rPr>
          <w:rFonts w:ascii="Times New Roman" w:hAnsi="Times New Roman"/>
          <w:i w:val="false"/>
          <w:iCs w:val="false"/>
        </w:rPr>
        <w:t xml:space="preserve"> was and continues to be a bestseller.  Although it is based in the author’s (a rabbi) understanding or interpretation </w:t>
      </w:r>
      <w:r>
        <w:rPr>
          <w:rFonts w:ascii="Times New Roman" w:hAnsi="Times New Roman"/>
          <w:i w:val="false"/>
          <w:iCs w:val="false"/>
        </w:rPr>
        <w:t>of God and not astrology, it seems to have a similar appeal in that it seems to help readers place their “fate” in a spiritual or philosophical context.</w:t>
      </w:r>
      <w:r>
        <w:rPr>
          <w:rStyle w:val="FootnoteReference"/>
          <w:rFonts w:ascii="Times New Roman" w:hAnsi="Times New Roman"/>
          <w:i w:val="false"/>
          <w:iCs w:val="false"/>
        </w:rPr>
        <w:footnoteReference w:id="27"/>
      </w:r>
    </w:p>
    <w:p>
      <w:pPr>
        <w:pStyle w:val="Normal"/>
        <w:bidi w:val="0"/>
        <w:jc w:val="start"/>
        <w:rPr>
          <w:rFonts w:ascii="Times New Roman" w:hAnsi="Times New Roman"/>
        </w:rPr>
      </w:pPr>
      <w:r>
        <w:rPr>
          <w:rFonts w:ascii="Times New Roman" w:hAnsi="Times New Roman"/>
        </w:rPr>
      </w:r>
    </w:p>
    <w:p>
      <w:pPr>
        <w:pStyle w:val="Normal"/>
        <w:bidi w:val="0"/>
        <w:jc w:val="start"/>
        <w:rPr>
          <w:rFonts w:ascii="Times New Roman" w:hAnsi="Times New Roman"/>
        </w:rPr>
      </w:pPr>
      <w:r>
        <w:rPr>
          <w:rFonts w:ascii="Times New Roman" w:hAnsi="Times New Roman"/>
        </w:rPr>
        <w:t xml:space="preserve">In “Living with Fate: The Lifestyle of Contemporary Astrologers”, Bernadette Brady </w:t>
      </w:r>
      <w:r>
        <w:rPr>
          <w:rFonts w:ascii="Times New Roman" w:hAnsi="Times New Roman"/>
        </w:rPr>
        <w:t>discusses how various astrologers perceive and deal with the idea (or the reality) of fate.</w:t>
      </w:r>
      <w:r>
        <w:rPr>
          <w:rStyle w:val="FootnoteReference"/>
          <w:rFonts w:ascii="Times New Roman" w:hAnsi="Times New Roman"/>
        </w:rPr>
        <w:footnoteReference w:id="28"/>
      </w:r>
      <w:r>
        <w:rPr>
          <w:rFonts w:ascii="Times New Roman" w:hAnsi="Times New Roman"/>
        </w:rPr>
        <w:t xml:space="preserve">  Although they have different takes on fate and how they approach it, what they seem to have in common is that the practice of astrology helps give direction, meaning and in some cases concrete ideas in dealing with fate.  It’s a framework that can guide them.  In the case of an astrologer named James who, after looking at his chart felt it predicted potential “violence or even death”, </w:t>
      </w:r>
      <w:r>
        <w:rPr>
          <w:rFonts w:ascii="Times New Roman" w:hAnsi="Times New Roman"/>
        </w:rPr>
        <w:t>decided to move to ameliorate the negative events he was anticipating.</w:t>
      </w:r>
      <w:r>
        <w:rPr>
          <w:rStyle w:val="FootnoteReference"/>
          <w:rFonts w:ascii="Times New Roman" w:hAnsi="Times New Roman"/>
        </w:rPr>
        <w:footnoteReference w:id="29"/>
      </w:r>
      <w:r>
        <w:rPr>
          <w:rFonts w:ascii="Times New Roman" w:hAnsi="Times New Roman"/>
        </w:rPr>
        <w:t xml:space="preserve">  Although he still was met with difficulty (including injury and being robbed) using astrology seemed to give him a sense of control.  He was not totally powerless over this challenging time in his life.</w:t>
      </w:r>
    </w:p>
    <w:p>
      <w:pPr>
        <w:pStyle w:val="Normal"/>
        <w:bidi w:val="0"/>
        <w:jc w:val="start"/>
        <w:rPr>
          <w:rFonts w:ascii="Times New Roman" w:hAnsi="Times New Roman"/>
        </w:rPr>
      </w:pPr>
      <w:r>
        <w:rPr>
          <w:rFonts w:ascii="Times New Roman" w:hAnsi="Times New Roman"/>
        </w:rPr>
      </w:r>
    </w:p>
    <w:p>
      <w:pPr>
        <w:pStyle w:val="Normal"/>
        <w:bidi w:val="0"/>
        <w:jc w:val="start"/>
        <w:rPr>
          <w:rFonts w:ascii="Times New Roman" w:hAnsi="Times New Roman"/>
        </w:rPr>
      </w:pPr>
      <w:r>
        <w:rPr>
          <w:rFonts w:ascii="Times New Roman" w:hAnsi="Times New Roman"/>
        </w:rPr>
        <w:t>An Indian frien</w:t>
      </w:r>
      <w:r>
        <w:rPr>
          <w:rFonts w:ascii="Times New Roman" w:hAnsi="Times New Roman"/>
        </w:rPr>
        <w:t>d who is a practicing Hindu</w:t>
      </w:r>
      <w:r>
        <w:rPr>
          <w:rFonts w:ascii="Times New Roman" w:hAnsi="Times New Roman"/>
        </w:rPr>
        <w:t xml:space="preserve"> </w:t>
      </w:r>
      <w:r>
        <w:rPr>
          <w:rFonts w:ascii="Times New Roman" w:hAnsi="Times New Roman"/>
        </w:rPr>
        <w:t>said for her</w:t>
      </w:r>
      <w:r>
        <w:rPr>
          <w:rFonts w:ascii="Times New Roman" w:hAnsi="Times New Roman"/>
        </w:rPr>
        <w:t xml:space="preserve"> faith and fate go together – to have faith in fate or personal karma </w:t>
      </w:r>
      <w:r>
        <w:rPr>
          <w:rFonts w:ascii="Times New Roman" w:hAnsi="Times New Roman"/>
        </w:rPr>
        <w:t xml:space="preserve">(as described in her birthchart) gives her a feeling of centeredness. </w:t>
      </w:r>
      <w:r>
        <w:rPr>
          <w:rFonts w:ascii="Times New Roman" w:hAnsi="Times New Roman"/>
        </w:rPr>
        <w:t xml:space="preserve"> </w:t>
      </w:r>
      <w:r>
        <w:rPr>
          <w:rFonts w:ascii="Times New Roman" w:hAnsi="Times New Roman"/>
        </w:rPr>
        <w:t>While m</w:t>
      </w:r>
      <w:r>
        <w:rPr>
          <w:rFonts w:ascii="Times New Roman" w:hAnsi="Times New Roman"/>
        </w:rPr>
        <w:t xml:space="preserve">any might see this kind of fatalistic view as restrictive or negative, for her it gives a sense of connection with the divine and a kind of </w:t>
      </w:r>
      <w:r>
        <w:rPr>
          <w:rFonts w:ascii="Times New Roman" w:hAnsi="Times New Roman"/>
        </w:rPr>
        <w:t>comfort in knowing all is determined – “</w:t>
      </w:r>
      <w:r>
        <w:rPr>
          <w:rFonts w:ascii="Times New Roman" w:hAnsi="Times New Roman"/>
        </w:rPr>
        <w:t>its in God’s hands.”</w:t>
      </w:r>
      <w:r>
        <w:rPr>
          <w:rFonts w:ascii="Times New Roman" w:hAnsi="Times New Roman"/>
        </w:rPr>
        <w:t xml:space="preserve">  This helped her dea</w:t>
      </w:r>
      <w:r>
        <w:rPr>
          <w:rFonts w:ascii="Times New Roman" w:hAnsi="Times New Roman"/>
        </w:rPr>
        <w:t xml:space="preserve">l with her father’s sudden and unexpected death – it was his time. </w:t>
      </w:r>
      <w:r>
        <w:rPr>
          <w:rFonts w:ascii="Times New Roman" w:hAnsi="Times New Roman"/>
        </w:rPr>
        <w:t>Even though to her it seemed to come from out of the blue or untimely and unfair, she ultimately believed it was fated to happen at that time and therefore, part of a greater order.</w:t>
      </w:r>
      <w:r>
        <w:rPr>
          <w:rFonts w:ascii="Times New Roman" w:hAnsi="Times New Roman"/>
        </w:rPr>
        <w:t xml:space="preserve">  </w:t>
      </w:r>
      <w:r>
        <w:rPr>
          <w:rFonts w:ascii="Times New Roman" w:hAnsi="Times New Roman"/>
        </w:rPr>
        <w:t xml:space="preserve">However, </w:t>
      </w:r>
      <w:r>
        <w:rPr>
          <w:rFonts w:ascii="Times New Roman" w:hAnsi="Times New Roman"/>
        </w:rPr>
        <w:t xml:space="preserve">despite this apparent fatalistic approach she, like many Hindus, believes that amelioration of karma in this life and the next can happen through ritual, prayer and service to others. </w:t>
      </w:r>
      <w:r>
        <w:rPr>
          <w:rFonts w:ascii="Times New Roman" w:hAnsi="Times New Roman"/>
        </w:rPr>
        <w:t xml:space="preserve">In </w:t>
      </w:r>
      <w:r>
        <w:rPr>
          <w:rFonts w:ascii="Times New Roman" w:hAnsi="Times New Roman"/>
          <w:i/>
          <w:iCs/>
        </w:rPr>
        <w:t>Astrology and Cosmology in the World’s Religions,</w:t>
      </w:r>
      <w:r>
        <w:rPr>
          <w:rFonts w:ascii="Times New Roman" w:hAnsi="Times New Roman"/>
        </w:rPr>
        <w:t xml:space="preserve"> Nick Campion makes the point that consulting an Indian/Vedic astrologer does not simply involve passively accepting one’s fate but often requires active participation by the querent in the form of ritual or prayer in an attempt to prevent or ameliorate future difficulties. </w:t>
      </w:r>
      <w:r>
        <w:rPr>
          <w:rStyle w:val="FootnoteReference"/>
          <w:rFonts w:ascii="Times New Roman" w:hAnsi="Times New Roman"/>
        </w:rPr>
        <w:footnoteReference w:id="30"/>
      </w:r>
      <w:r>
        <w:rPr>
          <w:rFonts w:ascii="Times New Roman" w:hAnsi="Times New Roman"/>
        </w:rPr>
        <w:t xml:space="preserve">  </w:t>
      </w:r>
      <w:r>
        <w:rPr>
          <w:rFonts w:ascii="Times New Roman" w:hAnsi="Times New Roman"/>
        </w:rPr>
        <w:t>My friend</w:t>
      </w:r>
      <w:r>
        <w:rPr>
          <w:rFonts w:ascii="Times New Roman" w:hAnsi="Times New Roman"/>
        </w:rPr>
        <w:t xml:space="preserve"> frequently consults her (Vedic) astrologer to time events such as weddings, </w:t>
      </w:r>
      <w:r>
        <w:rPr>
          <w:rFonts w:ascii="Times New Roman" w:hAnsi="Times New Roman"/>
        </w:rPr>
        <w:t>travel</w:t>
      </w:r>
      <w:r>
        <w:rPr>
          <w:rFonts w:ascii="Times New Roman" w:hAnsi="Times New Roman"/>
        </w:rPr>
        <w:t xml:space="preserve"> and even the birth of her daughter (her delivery was a planned C-section</w:t>
      </w:r>
      <w:r>
        <w:rPr>
          <w:rFonts w:ascii="Times New Roman" w:hAnsi="Times New Roman"/>
        </w:rPr>
        <w:t>). She had her</w:t>
      </w:r>
      <w:r>
        <w:rPr>
          <w:rFonts w:ascii="Times New Roman" w:hAnsi="Times New Roman"/>
        </w:rPr>
        <w:t xml:space="preserve"> astrol</w:t>
      </w:r>
      <w:r>
        <w:rPr>
          <w:rFonts w:ascii="Times New Roman" w:hAnsi="Times New Roman"/>
        </w:rPr>
        <w:t>o</w:t>
      </w:r>
      <w:r>
        <w:rPr>
          <w:rFonts w:ascii="Times New Roman" w:hAnsi="Times New Roman"/>
        </w:rPr>
        <w:t xml:space="preserve">ger choose her daughters birthday and time (within </w:t>
      </w:r>
      <w:r>
        <w:rPr>
          <w:rFonts w:ascii="Times New Roman" w:hAnsi="Times New Roman"/>
        </w:rPr>
        <w:t>the</w:t>
      </w:r>
      <w:r>
        <w:rPr>
          <w:rFonts w:ascii="Times New Roman" w:hAnsi="Times New Roman"/>
        </w:rPr>
        <w:t xml:space="preserve"> bounds of</w:t>
      </w:r>
      <w:r>
        <w:rPr>
          <w:rFonts w:ascii="Times New Roman" w:hAnsi="Times New Roman"/>
        </w:rPr>
        <w:t xml:space="preserve"> her</w:t>
      </w:r>
      <w:r>
        <w:rPr>
          <w:rFonts w:ascii="Times New Roman" w:hAnsi="Times New Roman"/>
        </w:rPr>
        <w:t xml:space="preserve"> doctor’s suggest</w:t>
      </w:r>
      <w:r>
        <w:rPr>
          <w:rFonts w:ascii="Times New Roman" w:hAnsi="Times New Roman"/>
        </w:rPr>
        <w:t>ed timeline</w:t>
      </w:r>
      <w:r>
        <w:rPr>
          <w:rFonts w:ascii="Times New Roman" w:hAnsi="Times New Roman"/>
        </w:rPr>
        <w:t xml:space="preserve">) in order to obtain what she and the astrologer thought would be the most beneficial moment to be born.  </w:t>
      </w:r>
      <w:r>
        <w:rPr>
          <w:rFonts w:ascii="Times New Roman" w:hAnsi="Times New Roman"/>
        </w:rPr>
        <w:t>Of course, t</w:t>
      </w:r>
      <w:r>
        <w:rPr>
          <w:rFonts w:ascii="Times New Roman" w:hAnsi="Times New Roman"/>
        </w:rPr>
        <w:t>h</w:t>
      </w:r>
      <w:r>
        <w:rPr>
          <w:rFonts w:ascii="Times New Roman" w:hAnsi="Times New Roman"/>
        </w:rPr>
        <w:t>e act of consult</w:t>
      </w:r>
      <w:r>
        <w:rPr>
          <w:rFonts w:ascii="Times New Roman" w:hAnsi="Times New Roman"/>
        </w:rPr>
        <w:t>at</w:t>
      </w:r>
      <w:r>
        <w:rPr>
          <w:rFonts w:ascii="Times New Roman" w:hAnsi="Times New Roman"/>
        </w:rPr>
        <w:t xml:space="preserve">ion </w:t>
      </w:r>
      <w:r>
        <w:rPr>
          <w:rFonts w:ascii="Times New Roman" w:hAnsi="Times New Roman"/>
        </w:rPr>
        <w:t>with her</w:t>
      </w:r>
      <w:r>
        <w:rPr>
          <w:rFonts w:ascii="Times New Roman" w:hAnsi="Times New Roman"/>
        </w:rPr>
        <w:t xml:space="preserve"> astrologer could </w:t>
      </w:r>
      <w:r>
        <w:rPr>
          <w:rFonts w:ascii="Times New Roman" w:hAnsi="Times New Roman"/>
        </w:rPr>
        <w:t xml:space="preserve">of course </w:t>
      </w:r>
      <w:r>
        <w:rPr>
          <w:rFonts w:ascii="Times New Roman" w:hAnsi="Times New Roman"/>
        </w:rPr>
        <w:t>also</w:t>
      </w:r>
      <w:r>
        <w:rPr>
          <w:rFonts w:ascii="Times New Roman" w:hAnsi="Times New Roman"/>
        </w:rPr>
        <w:t xml:space="preserve"> be seen as predestined or the hand of fate, ensuring the universe would ultimately be determining </w:t>
      </w:r>
      <w:r>
        <w:rPr>
          <w:rFonts w:ascii="Times New Roman" w:hAnsi="Times New Roman"/>
        </w:rPr>
        <w:t>her daughter’s entrance into this world</w:t>
      </w:r>
      <w:r>
        <w:rPr>
          <w:rFonts w:ascii="Times New Roman" w:hAnsi="Times New Roman"/>
        </w:rPr>
        <w:t>.</w:t>
      </w:r>
      <w:r>
        <w:rPr>
          <w:rFonts w:ascii="Times New Roman" w:hAnsi="Times New Roman"/>
        </w:rPr>
        <w:t>)</w:t>
      </w:r>
    </w:p>
    <w:p>
      <w:pPr>
        <w:pStyle w:val="Normal"/>
        <w:bidi w:val="0"/>
        <w:jc w:val="start"/>
        <w:rPr>
          <w:rFonts w:ascii="Times New Roman" w:hAnsi="Times New Roman"/>
        </w:rPr>
      </w:pPr>
      <w:r>
        <w:rPr>
          <w:rFonts w:ascii="Times New Roman" w:hAnsi="Times New Roman"/>
        </w:rPr>
      </w:r>
    </w:p>
    <w:p>
      <w:pPr>
        <w:pStyle w:val="Normal"/>
        <w:bidi w:val="0"/>
        <w:jc w:val="start"/>
        <w:rPr>
          <w:rFonts w:ascii="Times New Roman" w:hAnsi="Times New Roman"/>
          <w:b/>
          <w:bCs/>
        </w:rPr>
      </w:pPr>
      <w:r>
        <w:rPr>
          <w:rFonts w:ascii="Times New Roman" w:hAnsi="Times New Roman"/>
          <w:b/>
          <w:bCs/>
        </w:rPr>
        <w:t>Some concepts from</w:t>
      </w:r>
      <w:r>
        <w:rPr>
          <w:rFonts w:ascii="Times New Roman" w:hAnsi="Times New Roman"/>
          <w:b/>
          <w:bCs/>
        </w:rPr>
        <w:t xml:space="preserve"> Liz Greene and Alan Leo in practice – a client’s approach</w:t>
      </w:r>
    </w:p>
    <w:p>
      <w:pPr>
        <w:pStyle w:val="Normal"/>
        <w:bidi w:val="0"/>
        <w:jc w:val="start"/>
        <w:rPr>
          <w:rFonts w:ascii="Times New Roman" w:hAnsi="Times New Roman"/>
        </w:rPr>
      </w:pPr>
      <w:r>
        <w:rPr>
          <w:rFonts w:ascii="Times New Roman" w:hAnsi="Times New Roman"/>
        </w:rPr>
      </w:r>
    </w:p>
    <w:p>
      <w:pPr>
        <w:pStyle w:val="Normal"/>
        <w:bidi w:val="0"/>
        <w:jc w:val="start"/>
        <w:rPr>
          <w:rFonts w:ascii="Times New Roman" w:hAnsi="Times New Roman"/>
        </w:rPr>
      </w:pPr>
      <w:r>
        <w:rPr>
          <w:rFonts w:ascii="Times New Roman" w:hAnsi="Times New Roman"/>
        </w:rPr>
        <w:t xml:space="preserve">I once had a </w:t>
      </w:r>
      <w:r>
        <w:rPr>
          <w:rFonts w:ascii="Times New Roman" w:hAnsi="Times New Roman"/>
        </w:rPr>
        <w:t xml:space="preserve">client, a man in his early 70’s,  that was interested in having a chart reading for the first time </w:t>
      </w:r>
      <w:r>
        <w:rPr>
          <w:rFonts w:ascii="Times New Roman" w:hAnsi="Times New Roman"/>
        </w:rPr>
        <w:t>in his life</w:t>
      </w:r>
      <w:r>
        <w:rPr>
          <w:rFonts w:ascii="Times New Roman" w:hAnsi="Times New Roman"/>
        </w:rPr>
        <w:t xml:space="preserve">.  </w:t>
      </w:r>
      <w:r>
        <w:rPr>
          <w:rFonts w:ascii="Times New Roman" w:hAnsi="Times New Roman"/>
        </w:rPr>
        <w:t xml:space="preserve">He had long been interested in astrology and other subjects that would be considered “new age.”  </w:t>
      </w:r>
      <w:r>
        <w:rPr>
          <w:rFonts w:ascii="Times New Roman" w:hAnsi="Times New Roman"/>
        </w:rPr>
        <w:t>He was s</w:t>
      </w:r>
      <w:r>
        <w:rPr>
          <w:rFonts w:ascii="Times New Roman" w:hAnsi="Times New Roman"/>
        </w:rPr>
        <w:t>piritually inclined but not religious.  Although in the present time he was a happy law-abiding individual that held a job and had a good social support group of fri</w:t>
      </w:r>
      <w:r>
        <w:rPr>
          <w:rFonts w:ascii="Times New Roman" w:hAnsi="Times New Roman"/>
        </w:rPr>
        <w:t>en</w:t>
      </w:r>
      <w:r>
        <w:rPr>
          <w:rFonts w:ascii="Times New Roman" w:hAnsi="Times New Roman"/>
        </w:rPr>
        <w:t xml:space="preserve">ds, his past </w:t>
      </w:r>
      <w:r>
        <w:rPr>
          <w:rFonts w:ascii="Times New Roman" w:hAnsi="Times New Roman"/>
        </w:rPr>
        <w:t xml:space="preserve">was quite different.  He grew up </w:t>
      </w:r>
      <w:r>
        <w:rPr>
          <w:rFonts w:ascii="Times New Roman" w:hAnsi="Times New Roman"/>
        </w:rPr>
        <w:t xml:space="preserve">in a </w:t>
      </w:r>
      <w:r>
        <w:rPr>
          <w:rFonts w:ascii="Times New Roman" w:hAnsi="Times New Roman"/>
        </w:rPr>
        <w:t xml:space="preserve">poor, Irish immigrant family in dangerous neighborhood </w:t>
      </w:r>
      <w:r>
        <w:rPr>
          <w:rFonts w:ascii="Times New Roman" w:hAnsi="Times New Roman"/>
        </w:rPr>
        <w:t>in New York City</w:t>
      </w:r>
      <w:r>
        <w:rPr>
          <w:rFonts w:ascii="Times New Roman" w:hAnsi="Times New Roman"/>
        </w:rPr>
        <w:t xml:space="preserve">. Throughout his youth he had been in and out of jail for theft and assault </w:t>
      </w:r>
      <w:r>
        <w:rPr>
          <w:rFonts w:ascii="Times New Roman" w:hAnsi="Times New Roman"/>
        </w:rPr>
        <w:t>(and mental institutions after being diagnosed as “emotionally disturbed</w:t>
      </w:r>
      <w:r>
        <w:rPr>
          <w:rFonts w:ascii="Times New Roman" w:hAnsi="Times New Roman"/>
        </w:rPr>
        <w:t>.</w:t>
      </w:r>
      <w:r>
        <w:rPr>
          <w:rFonts w:ascii="Times New Roman" w:hAnsi="Times New Roman"/>
        </w:rPr>
        <w:t>)</w:t>
      </w:r>
      <w:r>
        <w:rPr>
          <w:rFonts w:ascii="Times New Roman" w:hAnsi="Times New Roman"/>
        </w:rPr>
        <w:t xml:space="preserve">  H</w:t>
      </w:r>
      <w:r>
        <w:rPr>
          <w:rFonts w:ascii="Times New Roman" w:hAnsi="Times New Roman"/>
        </w:rPr>
        <w:t xml:space="preserve">e eventually hooked up with the political group, “The Weather Underground” and became a fugitive </w:t>
      </w:r>
      <w:r>
        <w:rPr>
          <w:rFonts w:ascii="Times New Roman" w:hAnsi="Times New Roman"/>
        </w:rPr>
        <w:t>after he</w:t>
      </w:r>
      <w:r>
        <w:rPr>
          <w:rFonts w:ascii="Times New Roman" w:hAnsi="Times New Roman"/>
        </w:rPr>
        <w:t xml:space="preserve"> he assaulted a police officer and escaped </w:t>
      </w:r>
      <w:r>
        <w:rPr>
          <w:rFonts w:ascii="Times New Roman" w:hAnsi="Times New Roman"/>
        </w:rPr>
        <w:t>capture by the police</w:t>
      </w:r>
      <w:r>
        <w:rPr>
          <w:rFonts w:ascii="Times New Roman" w:hAnsi="Times New Roman"/>
        </w:rPr>
        <w:t xml:space="preserve">.  During the period when he was in hiding (about 9 months) in San Francisco, </w:t>
      </w:r>
      <w:r>
        <w:rPr>
          <w:rFonts w:ascii="Times New Roman" w:hAnsi="Times New Roman"/>
        </w:rPr>
        <w:t>(what he would describe as a very depressing but transform</w:t>
      </w:r>
      <w:r>
        <w:rPr>
          <w:rFonts w:ascii="Times New Roman" w:hAnsi="Times New Roman"/>
        </w:rPr>
        <w:t>a</w:t>
      </w:r>
      <w:r>
        <w:rPr>
          <w:rFonts w:ascii="Times New Roman" w:hAnsi="Times New Roman"/>
        </w:rPr>
        <w:t>tive time)</w:t>
      </w:r>
      <w:r>
        <w:rPr>
          <w:rFonts w:ascii="Times New Roman" w:hAnsi="Times New Roman"/>
        </w:rPr>
        <w:t xml:space="preserve"> he was </w:t>
      </w:r>
      <w:r>
        <w:rPr>
          <w:rFonts w:ascii="Times New Roman" w:hAnsi="Times New Roman"/>
        </w:rPr>
        <w:t xml:space="preserve">taken in by and </w:t>
      </w:r>
      <w:r>
        <w:rPr>
          <w:rFonts w:ascii="Times New Roman" w:hAnsi="Times New Roman"/>
        </w:rPr>
        <w:t xml:space="preserve">living with spiritually inclined people </w:t>
      </w:r>
      <w:r>
        <w:rPr>
          <w:rFonts w:ascii="Times New Roman" w:hAnsi="Times New Roman"/>
        </w:rPr>
        <w:t>(</w:t>
      </w:r>
      <w:r>
        <w:rPr>
          <w:rFonts w:ascii="Times New Roman" w:hAnsi="Times New Roman"/>
        </w:rPr>
        <w:t xml:space="preserve">“hippies” </w:t>
      </w:r>
      <w:r>
        <w:rPr>
          <w:rFonts w:ascii="Times New Roman" w:hAnsi="Times New Roman"/>
        </w:rPr>
        <w:t xml:space="preserve">by his description.)  They were very influential </w:t>
      </w:r>
      <w:r>
        <w:rPr>
          <w:rFonts w:ascii="Times New Roman" w:hAnsi="Times New Roman"/>
        </w:rPr>
        <w:t>with</w:t>
      </w:r>
      <w:r>
        <w:rPr>
          <w:rFonts w:ascii="Times New Roman" w:hAnsi="Times New Roman"/>
        </w:rPr>
        <w:t xml:space="preserve"> him</w:t>
      </w:r>
      <w:r>
        <w:rPr>
          <w:rFonts w:ascii="Times New Roman" w:hAnsi="Times New Roman"/>
        </w:rPr>
        <w:t xml:space="preserve"> and he began to change.  </w:t>
      </w:r>
      <w:r>
        <w:rPr>
          <w:rFonts w:ascii="Times New Roman" w:hAnsi="Times New Roman"/>
        </w:rPr>
        <w:t>He became a voracious reader and was particularly</w:t>
      </w:r>
      <w:r>
        <w:rPr>
          <w:rFonts w:ascii="Times New Roman" w:hAnsi="Times New Roman"/>
        </w:rPr>
        <w:t xml:space="preserve"> interested in spiritual, “</w:t>
      </w:r>
      <w:r>
        <w:rPr>
          <w:rFonts w:ascii="Times New Roman" w:hAnsi="Times New Roman"/>
        </w:rPr>
        <w:t>new age” and psychology books.  It turned</w:t>
      </w:r>
      <w:r>
        <w:rPr>
          <w:rFonts w:ascii="Times New Roman" w:hAnsi="Times New Roman"/>
        </w:rPr>
        <w:t xml:space="preserve"> </w:t>
      </w:r>
      <w:r>
        <w:rPr>
          <w:rFonts w:ascii="Times New Roman" w:hAnsi="Times New Roman"/>
        </w:rPr>
        <w:t>helped turn</w:t>
      </w:r>
      <w:r>
        <w:rPr>
          <w:rFonts w:ascii="Times New Roman" w:hAnsi="Times New Roman"/>
        </w:rPr>
        <w:t xml:space="preserve"> his life around.  He was eventually found and served time in prison </w:t>
      </w:r>
      <w:r>
        <w:rPr>
          <w:rFonts w:ascii="Times New Roman" w:hAnsi="Times New Roman"/>
        </w:rPr>
        <w:t xml:space="preserve">for the assault charge </w:t>
      </w:r>
      <w:r>
        <w:rPr>
          <w:rFonts w:ascii="Times New Roman" w:hAnsi="Times New Roman"/>
        </w:rPr>
        <w:t xml:space="preserve">where he continued to read and learn </w:t>
      </w:r>
      <w:r>
        <w:rPr>
          <w:rFonts w:ascii="Times New Roman" w:hAnsi="Times New Roman"/>
        </w:rPr>
        <w:t xml:space="preserve">more </w:t>
      </w:r>
      <w:r>
        <w:rPr>
          <w:rFonts w:ascii="Times New Roman" w:hAnsi="Times New Roman"/>
        </w:rPr>
        <w:t xml:space="preserve">about </w:t>
      </w:r>
      <w:r>
        <w:rPr>
          <w:rFonts w:ascii="Times New Roman" w:hAnsi="Times New Roman"/>
        </w:rPr>
        <w:t xml:space="preserve">psychology and </w:t>
      </w:r>
      <w:r>
        <w:rPr>
          <w:rFonts w:ascii="Times New Roman" w:hAnsi="Times New Roman"/>
        </w:rPr>
        <w:t>different spiritual philosophies.</w:t>
      </w:r>
    </w:p>
    <w:p>
      <w:pPr>
        <w:pStyle w:val="Normal"/>
        <w:bidi w:val="0"/>
        <w:jc w:val="start"/>
        <w:rPr>
          <w:rFonts w:ascii="Times New Roman" w:hAnsi="Times New Roman"/>
        </w:rPr>
      </w:pPr>
      <w:r>
        <w:rPr>
          <w:rFonts w:ascii="Times New Roman" w:hAnsi="Times New Roman"/>
        </w:rPr>
        <w:t>When he came for his reading, h</w:t>
      </w:r>
      <w:r>
        <w:rPr>
          <w:rFonts w:ascii="Times New Roman" w:hAnsi="Times New Roman"/>
        </w:rPr>
        <w:t>e had no interest in look</w:t>
      </w:r>
      <w:r>
        <w:rPr>
          <w:rFonts w:ascii="Times New Roman" w:hAnsi="Times New Roman"/>
        </w:rPr>
        <w:t>ing</w:t>
      </w:r>
      <w:r>
        <w:rPr>
          <w:rFonts w:ascii="Times New Roman" w:hAnsi="Times New Roman"/>
        </w:rPr>
        <w:t xml:space="preserve"> at future trends (transits, progressions, etc.) but </w:t>
      </w:r>
      <w:r>
        <w:rPr>
          <w:rFonts w:ascii="Times New Roman" w:hAnsi="Times New Roman"/>
        </w:rPr>
        <w:t xml:space="preserve">instead </w:t>
      </w:r>
      <w:r>
        <w:rPr>
          <w:rFonts w:ascii="Times New Roman" w:hAnsi="Times New Roman"/>
        </w:rPr>
        <w:t xml:space="preserve">wanted to go backward </w:t>
      </w:r>
      <w:r>
        <w:rPr>
          <w:rFonts w:ascii="Times New Roman" w:hAnsi="Times New Roman"/>
        </w:rPr>
        <w:t xml:space="preserve">in time </w:t>
      </w:r>
      <w:r>
        <w:rPr>
          <w:rFonts w:ascii="Times New Roman" w:hAnsi="Times New Roman"/>
        </w:rPr>
        <w:t xml:space="preserve">and </w:t>
      </w:r>
      <w:r>
        <w:rPr>
          <w:rFonts w:ascii="Times New Roman" w:hAnsi="Times New Roman"/>
        </w:rPr>
        <w:t>get</w:t>
      </w:r>
      <w:r>
        <w:rPr>
          <w:rFonts w:ascii="Times New Roman" w:hAnsi="Times New Roman"/>
        </w:rPr>
        <w:t xml:space="preserve"> a fairly detailed reading </w:t>
      </w:r>
      <w:r>
        <w:rPr>
          <w:rFonts w:ascii="Times New Roman" w:hAnsi="Times New Roman"/>
        </w:rPr>
        <w:t>of</w:t>
      </w:r>
      <w:r>
        <w:rPr>
          <w:rFonts w:ascii="Times New Roman" w:hAnsi="Times New Roman"/>
        </w:rPr>
        <w:t xml:space="preserve"> the several years surrounding these events </w:t>
      </w:r>
      <w:r>
        <w:rPr>
          <w:rFonts w:ascii="Times New Roman" w:hAnsi="Times New Roman"/>
        </w:rPr>
        <w:t xml:space="preserve">for the purpose of understanding this painful period from a psychological and for him </w:t>
      </w:r>
      <w:r>
        <w:rPr>
          <w:rFonts w:ascii="Times New Roman" w:hAnsi="Times New Roman"/>
        </w:rPr>
        <w:t>just as</w:t>
      </w:r>
      <w:r>
        <w:rPr>
          <w:rFonts w:ascii="Times New Roman" w:hAnsi="Times New Roman"/>
        </w:rPr>
        <w:t xml:space="preserve"> importantly, from a spiritual or as he put it a “karmic” perspective. </w:t>
      </w:r>
    </w:p>
    <w:p>
      <w:pPr>
        <w:pStyle w:val="Normal"/>
        <w:bidi w:val="0"/>
        <w:jc w:val="start"/>
        <w:rPr>
          <w:rFonts w:ascii="Times New Roman" w:hAnsi="Times New Roman"/>
        </w:rPr>
      </w:pPr>
      <w:r>
        <w:rPr>
          <w:rFonts w:ascii="Times New Roman" w:hAnsi="Times New Roman"/>
        </w:rPr>
        <w:t xml:space="preserve">What </w:t>
      </w:r>
      <w:r>
        <w:rPr>
          <w:rFonts w:ascii="Times New Roman" w:hAnsi="Times New Roman"/>
        </w:rPr>
        <w:t>could</w:t>
      </w:r>
      <w:r>
        <w:rPr>
          <w:rFonts w:ascii="Times New Roman" w:hAnsi="Times New Roman"/>
        </w:rPr>
        <w:t xml:space="preserve"> he gain from this?  At the point of his chart reading these events had happened more than 45 years ago.</w:t>
      </w:r>
    </w:p>
    <w:p>
      <w:pPr>
        <w:pStyle w:val="Normal"/>
        <w:bidi w:val="0"/>
        <w:jc w:val="start"/>
        <w:rPr>
          <w:rFonts w:ascii="Times New Roman" w:hAnsi="Times New Roman"/>
        </w:rPr>
      </w:pPr>
      <w:r>
        <w:rPr>
          <w:rFonts w:ascii="Times New Roman" w:hAnsi="Times New Roman"/>
        </w:rPr>
        <w:t xml:space="preserve">Like with Alan Leo’s approach, it was </w:t>
      </w:r>
      <w:r>
        <w:rPr>
          <w:rFonts w:ascii="Times New Roman" w:hAnsi="Times New Roman"/>
        </w:rPr>
        <w:t>the client’s</w:t>
      </w:r>
      <w:r>
        <w:rPr>
          <w:rFonts w:ascii="Times New Roman" w:hAnsi="Times New Roman"/>
        </w:rPr>
        <w:t xml:space="preserve"> belief that he was destined to be born in a particular social class, family circumstances and experience certain life events </w:t>
      </w:r>
      <w:r>
        <w:rPr>
          <w:rFonts w:ascii="Times New Roman" w:hAnsi="Times New Roman"/>
        </w:rPr>
        <w:t xml:space="preserve">and wanted to understand potential spiritual lessons associated with that.  </w:t>
      </w:r>
      <w:r>
        <w:rPr>
          <w:rFonts w:ascii="Times New Roman" w:hAnsi="Times New Roman"/>
        </w:rPr>
        <w:t xml:space="preserve">And as with Greene’s approach, he believed that at the time, he was largely unconscious or unaware of how certain unconscious energies </w:t>
      </w:r>
      <w:r>
        <w:rPr>
          <w:rFonts w:ascii="Times New Roman" w:hAnsi="Times New Roman"/>
        </w:rPr>
        <w:t>were</w:t>
      </w:r>
      <w:r>
        <w:rPr>
          <w:rFonts w:ascii="Times New Roman" w:hAnsi="Times New Roman"/>
        </w:rPr>
        <w:t xml:space="preserve"> play</w:t>
      </w:r>
      <w:r>
        <w:rPr>
          <w:rFonts w:ascii="Times New Roman" w:hAnsi="Times New Roman"/>
        </w:rPr>
        <w:t>ing</w:t>
      </w:r>
      <w:r>
        <w:rPr>
          <w:rFonts w:ascii="Times New Roman" w:hAnsi="Times New Roman"/>
        </w:rPr>
        <w:t xml:space="preserve"> out in his life </w:t>
      </w:r>
      <w:r>
        <w:rPr>
          <w:rFonts w:ascii="Times New Roman" w:hAnsi="Times New Roman"/>
        </w:rPr>
        <w:t>and, given the knowledge he had now he wanted to try to get a new perspective on the potential psychological dynamics that were playing out</w:t>
      </w:r>
      <w:r>
        <w:rPr>
          <w:rFonts w:ascii="Times New Roman" w:hAnsi="Times New Roman"/>
        </w:rPr>
        <w:t xml:space="preserve">. </w:t>
      </w:r>
      <w:r>
        <w:rPr>
          <w:rFonts w:ascii="Times New Roman" w:hAnsi="Times New Roman"/>
        </w:rPr>
        <w:t>H</w:t>
      </w:r>
      <w:r>
        <w:rPr>
          <w:rFonts w:ascii="Times New Roman" w:hAnsi="Times New Roman"/>
        </w:rPr>
        <w:t>e was curious to compare how he might deal with those same transits or astrological influences had they happened to him in the present day as the person he is now.</w:t>
      </w:r>
    </w:p>
    <w:p>
      <w:pPr>
        <w:pStyle w:val="Normal"/>
        <w:bidi w:val="0"/>
        <w:jc w:val="start"/>
        <w:rPr>
          <w:rFonts w:ascii="Times New Roman" w:hAnsi="Times New Roman"/>
        </w:rPr>
      </w:pPr>
      <w:r>
        <w:rPr>
          <w:rFonts w:ascii="Times New Roman" w:hAnsi="Times New Roman"/>
        </w:rPr>
        <w:t xml:space="preserve">It was fascinating to see and </w:t>
      </w:r>
      <w:r>
        <w:rPr>
          <w:rFonts w:ascii="Times New Roman" w:hAnsi="Times New Roman"/>
        </w:rPr>
        <w:t>also</w:t>
      </w:r>
      <w:r>
        <w:rPr>
          <w:rFonts w:ascii="Times New Roman" w:hAnsi="Times New Roman"/>
        </w:rPr>
        <w:t xml:space="preserve"> share with him his insights on how he believed those same astro</w:t>
      </w:r>
      <w:r>
        <w:rPr>
          <w:rFonts w:ascii="Times New Roman" w:hAnsi="Times New Roman"/>
        </w:rPr>
        <w:t>logical</w:t>
      </w:r>
      <w:r>
        <w:rPr>
          <w:rFonts w:ascii="Times New Roman" w:hAnsi="Times New Roman"/>
        </w:rPr>
        <w:t xml:space="preserve"> influences </w:t>
      </w:r>
      <w:r>
        <w:rPr>
          <w:rFonts w:ascii="Times New Roman" w:hAnsi="Times New Roman"/>
        </w:rPr>
        <w:t>could</w:t>
      </w:r>
      <w:r>
        <w:rPr>
          <w:rFonts w:ascii="Times New Roman" w:hAnsi="Times New Roman"/>
        </w:rPr>
        <w:t xml:space="preserve"> manifest </w:t>
      </w:r>
      <w:r>
        <w:rPr>
          <w:rFonts w:ascii="Times New Roman" w:hAnsi="Times New Roman"/>
        </w:rPr>
        <w:t xml:space="preserve">somewhat </w:t>
      </w:r>
      <w:r>
        <w:rPr>
          <w:rFonts w:ascii="Times New Roman" w:hAnsi="Times New Roman"/>
        </w:rPr>
        <w:t xml:space="preserve">differently </w:t>
      </w:r>
      <w:r>
        <w:rPr>
          <w:rFonts w:ascii="Times New Roman" w:hAnsi="Times New Roman"/>
        </w:rPr>
        <w:t>in his present life</w:t>
      </w:r>
      <w:r>
        <w:rPr>
          <w:rFonts w:ascii="Times New Roman" w:hAnsi="Times New Roman"/>
        </w:rPr>
        <w:t xml:space="preserve"> although “energetically” </w:t>
      </w:r>
      <w:r>
        <w:rPr>
          <w:rFonts w:ascii="Times New Roman" w:hAnsi="Times New Roman"/>
        </w:rPr>
        <w:t>the transits, directions, etc</w:t>
      </w:r>
      <w:r>
        <w:rPr>
          <w:rFonts w:ascii="Times New Roman" w:hAnsi="Times New Roman"/>
        </w:rPr>
        <w:t xml:space="preserve"> would be the same.</w:t>
      </w:r>
    </w:p>
    <w:p>
      <w:pPr>
        <w:pStyle w:val="Normal"/>
        <w:bidi w:val="0"/>
        <w:jc w:val="start"/>
        <w:rPr>
          <w:rFonts w:ascii="Times New Roman" w:hAnsi="Times New Roman"/>
        </w:rPr>
      </w:pPr>
      <w:r>
        <w:rPr>
          <w:rFonts w:ascii="Times New Roman" w:hAnsi="Times New Roman"/>
        </w:rPr>
      </w:r>
    </w:p>
    <w:p>
      <w:pPr>
        <w:pStyle w:val="Normal"/>
        <w:bidi w:val="0"/>
        <w:jc w:val="start"/>
        <w:rPr>
          <w:rFonts w:ascii="Times New Roman" w:hAnsi="Times New Roman"/>
          <w:b/>
          <w:bCs/>
        </w:rPr>
      </w:pPr>
      <w:r>
        <w:rPr>
          <w:rFonts w:ascii="Times New Roman" w:hAnsi="Times New Roman"/>
          <w:b/>
          <w:bCs/>
        </w:rPr>
        <w:t>Conclusion</w:t>
      </w:r>
    </w:p>
    <w:p>
      <w:pPr>
        <w:pStyle w:val="Normal"/>
        <w:bidi w:val="0"/>
        <w:jc w:val="start"/>
        <w:rPr>
          <w:b w:val="false"/>
          <w:bCs w:val="false"/>
        </w:rPr>
      </w:pPr>
      <w:r>
        <w:rPr>
          <w:rFonts w:ascii="Times New Roman" w:hAnsi="Times New Roman"/>
          <w:b/>
          <w:bCs/>
        </w:rPr>
      </w:r>
    </w:p>
    <w:p>
      <w:pPr>
        <w:pStyle w:val="Normal"/>
        <w:bidi w:val="0"/>
        <w:jc w:val="start"/>
        <w:rPr>
          <w:rFonts w:ascii="Times New Roman" w:hAnsi="Times New Roman"/>
          <w:b/>
          <w:bCs/>
        </w:rPr>
      </w:pPr>
      <w:r>
        <w:rPr>
          <w:rFonts w:ascii="Times New Roman" w:hAnsi="Times New Roman"/>
          <w:b w:val="false"/>
          <w:bCs w:val="false"/>
        </w:rPr>
        <w:t>This essay discussed the work of astrologers Alan Leo and Liz Greene and how they understand and utilize the concept of fate in astrology in their practice and in their writing.  It also looked as some similarities they share in this regard.  It discussed the need for many people to use fate to try to understand or grapple with uncertainty or make peace with personal or global experiences and how astrology is often used to meet this need.</w:t>
      </w:r>
    </w:p>
    <w:p>
      <w:pPr>
        <w:pStyle w:val="Normal"/>
        <w:bidi w:val="0"/>
        <w:jc w:val="start"/>
        <w:rPr>
          <w:rFonts w:ascii="Times New Roman" w:hAnsi="Times New Roman"/>
        </w:rPr>
      </w:pPr>
      <w:r>
        <w:rPr>
          <w:rFonts w:ascii="Times New Roman" w:hAnsi="Times New Roman"/>
          <w:b w:val="false"/>
          <w:bCs w:val="false"/>
        </w:rPr>
        <w:t>Finally it described one man’s experience of utilizing the concepts of both psychology (Greene) and spirituality or karma (Leo) in his astrological reading to gain insights into his past and to see how he may have grown or evolved.</w:t>
      </w:r>
    </w:p>
    <w:p>
      <w:pPr>
        <w:pStyle w:val="Normal"/>
        <w:bidi w:val="0"/>
        <w:jc w:val="start"/>
        <w:rPr>
          <w:b w:val="false"/>
          <w:bCs w:val="false"/>
        </w:rPr>
      </w:pPr>
      <w:r>
        <w:rPr>
          <w:rFonts w:ascii="Times New Roman" w:hAnsi="Times New Roman"/>
        </w:rPr>
      </w:r>
      <w:r>
        <w:br w:type="page"/>
      </w:r>
    </w:p>
    <w:p>
      <w:pPr>
        <w:pStyle w:val="Normal"/>
        <w:bidi w:val="0"/>
        <w:jc w:val="start"/>
        <w:rPr>
          <w:b/>
          <w:bCs/>
        </w:rPr>
      </w:pPr>
      <w:r>
        <w:rPr>
          <w:b/>
          <w:bCs/>
        </w:rPr>
        <w:t>Bibliography</w:t>
      </w:r>
    </w:p>
    <w:p>
      <w:pPr>
        <w:pStyle w:val="Normal"/>
        <w:bidi w:val="0"/>
        <w:jc w:val="start"/>
        <w:rPr/>
      </w:pPr>
      <w:r>
        <w:rPr/>
      </w:r>
    </w:p>
    <w:p>
      <w:pPr>
        <w:pStyle w:val="Normal"/>
        <w:bidi w:val="0"/>
        <w:jc w:val="start"/>
        <w:rPr/>
      </w:pPr>
      <w:r>
        <w:rPr/>
        <w:t>Brady, Bernadette – Some Philosophical Roots of Determinism in Astrology, paper presented at Bath Spa University, 18 February 2008.</w:t>
      </w:r>
    </w:p>
    <w:p>
      <w:pPr>
        <w:pStyle w:val="Normal"/>
        <w:bidi w:val="0"/>
        <w:jc w:val="start"/>
        <w:rPr/>
      </w:pPr>
      <w:r>
        <w:rPr/>
      </w:r>
    </w:p>
    <w:p>
      <w:pPr>
        <w:pStyle w:val="Normal"/>
        <w:bidi w:val="0"/>
        <w:jc w:val="start"/>
        <w:rPr/>
      </w:pPr>
      <w:r>
        <w:rPr/>
        <w:t>Brady, Bernadette – Living with Fate: The Lifestyle of Contemporary Astrologers, Journal for the Study of Religion, Nature and Culture, 2019-01, Volume 13.</w:t>
      </w:r>
    </w:p>
    <w:p>
      <w:pPr>
        <w:pStyle w:val="Normal"/>
        <w:bidi w:val="0"/>
        <w:jc w:val="start"/>
        <w:rPr/>
      </w:pPr>
      <w:r>
        <w:rPr/>
      </w:r>
    </w:p>
    <w:p>
      <w:pPr>
        <w:pStyle w:val="Normal"/>
        <w:bidi w:val="0"/>
        <w:jc w:val="start"/>
        <w:rPr/>
      </w:pPr>
      <w:r>
        <w:rPr/>
        <w:t xml:space="preserve">Burns, William, (Editor) – </w:t>
      </w:r>
      <w:r>
        <w:rPr>
          <w:i/>
          <w:iCs/>
        </w:rPr>
        <w:t>Astrology Through History: Interpreting the Stars from Ancient Mesopotamia to the Present,</w:t>
      </w:r>
      <w:r>
        <w:rPr/>
        <w:t xml:space="preserve"> Santa Barbara, ABC-CLIO, 2018.</w:t>
      </w:r>
    </w:p>
    <w:p>
      <w:pPr>
        <w:pStyle w:val="Normal"/>
        <w:bidi w:val="0"/>
        <w:jc w:val="start"/>
        <w:rPr/>
      </w:pPr>
      <w:r>
        <w:rPr/>
      </w:r>
    </w:p>
    <w:p>
      <w:pPr>
        <w:pStyle w:val="Normal"/>
        <w:bidi w:val="0"/>
        <w:jc w:val="start"/>
        <w:rPr/>
      </w:pPr>
      <w:r>
        <w:rPr/>
        <w:t xml:space="preserve">Campion, Nicholas – </w:t>
      </w:r>
      <w:r>
        <w:rPr>
          <w:i/>
          <w:iCs/>
        </w:rPr>
        <w:t>Astrology and Popular Religion in the Modern West</w:t>
      </w:r>
      <w:r>
        <w:rPr/>
        <w:t>, London, Routledge, 2012.</w:t>
      </w:r>
    </w:p>
    <w:p>
      <w:pPr>
        <w:pStyle w:val="Normal"/>
        <w:bidi w:val="0"/>
        <w:jc w:val="start"/>
        <w:rPr/>
      </w:pPr>
      <w:r>
        <w:rPr/>
      </w:r>
    </w:p>
    <w:p>
      <w:pPr>
        <w:pStyle w:val="Normal"/>
        <w:bidi w:val="0"/>
        <w:jc w:val="start"/>
        <w:rPr/>
      </w:pPr>
      <w:r>
        <w:rPr/>
        <w:t xml:space="preserve">Campion, Nicholas – </w:t>
      </w:r>
      <w:r>
        <w:rPr>
          <w:i/>
          <w:iCs/>
        </w:rPr>
        <w:t>A History of Western Astrology, Volume 2: The Medieval and Modern Worlds</w:t>
      </w:r>
      <w:r>
        <w:rPr/>
        <w:t>, London, Bloomsbury, 2009.</w:t>
      </w:r>
    </w:p>
    <w:p>
      <w:pPr>
        <w:pStyle w:val="Normal"/>
        <w:bidi w:val="0"/>
        <w:jc w:val="start"/>
        <w:rPr/>
      </w:pPr>
      <w:r>
        <w:rPr/>
      </w:r>
    </w:p>
    <w:p>
      <w:pPr>
        <w:pStyle w:val="Normal"/>
        <w:bidi w:val="0"/>
        <w:jc w:val="start"/>
        <w:rPr/>
      </w:pPr>
      <w:r>
        <w:rPr/>
        <w:t xml:space="preserve">Campion, Nicholas – </w:t>
      </w:r>
      <w:r>
        <w:rPr>
          <w:i/>
          <w:iCs/>
        </w:rPr>
        <w:t>Astrology and Cosmology in the World’s Religions,</w:t>
      </w:r>
      <w:r>
        <w:rPr/>
        <w:t xml:space="preserve"> New York, New York University Press, 2012.</w:t>
      </w:r>
    </w:p>
    <w:p>
      <w:pPr>
        <w:pStyle w:val="Normal"/>
        <w:bidi w:val="0"/>
        <w:jc w:val="start"/>
        <w:rPr/>
      </w:pPr>
      <w:r>
        <w:rPr/>
      </w:r>
    </w:p>
    <w:p>
      <w:pPr>
        <w:pStyle w:val="Normal"/>
        <w:bidi w:val="0"/>
        <w:jc w:val="start"/>
        <w:rPr/>
      </w:pPr>
      <w:r>
        <w:rPr/>
        <w:t xml:space="preserve">Kushner, Harold – </w:t>
      </w:r>
      <w:r>
        <w:rPr>
          <w:i/>
          <w:iCs/>
        </w:rPr>
        <w:t>When Bad Things Happen to Good People</w:t>
      </w:r>
      <w:r>
        <w:rPr/>
        <w:t>, New York, Anchor Books, 1981</w:t>
      </w:r>
    </w:p>
    <w:p>
      <w:pPr>
        <w:pStyle w:val="Normal"/>
        <w:bidi w:val="0"/>
        <w:jc w:val="start"/>
        <w:rPr/>
      </w:pPr>
      <w:r>
        <w:rPr/>
      </w:r>
    </w:p>
    <w:p>
      <w:pPr>
        <w:pStyle w:val="Normal"/>
        <w:bidi w:val="0"/>
        <w:jc w:val="start"/>
        <w:rPr/>
      </w:pPr>
      <w:r>
        <w:rPr/>
        <w:t xml:space="preserve">Kushner, Harold – </w:t>
      </w:r>
      <w:r>
        <w:rPr>
          <w:i/>
          <w:iCs/>
        </w:rPr>
        <w:t>When Bad Things Happen to Good People</w:t>
      </w:r>
      <w:r>
        <w:rPr/>
        <w:t xml:space="preserve">, https://www.goodreads.com/book/show/46676.When_Bad_Things_Happen_to_Good_People </w:t>
      </w:r>
    </w:p>
    <w:p>
      <w:pPr>
        <w:pStyle w:val="Normal"/>
        <w:bidi w:val="0"/>
        <w:jc w:val="start"/>
        <w:rPr/>
      </w:pPr>
      <w:r>
        <w:rPr/>
      </w:r>
    </w:p>
    <w:p>
      <w:pPr>
        <w:pStyle w:val="Normal"/>
        <w:bidi w:val="0"/>
        <w:jc w:val="start"/>
        <w:rPr/>
      </w:pPr>
      <w:r>
        <w:rPr/>
        <w:t xml:space="preserve">Leo, Allan – </w:t>
      </w:r>
      <w:r>
        <w:rPr>
          <w:i/>
          <w:iCs/>
        </w:rPr>
        <w:t>Esoteric Astrology</w:t>
      </w:r>
      <w:r>
        <w:rPr/>
        <w:t>, Rochester, Destiny Books, 1983.</w:t>
      </w:r>
    </w:p>
    <w:p>
      <w:pPr>
        <w:pStyle w:val="Normal"/>
        <w:bidi w:val="0"/>
        <w:jc w:val="start"/>
        <w:rPr/>
      </w:pPr>
      <w:r>
        <w:rPr/>
      </w:r>
    </w:p>
    <w:p>
      <w:pPr>
        <w:pStyle w:val="Normal"/>
        <w:bidi w:val="0"/>
        <w:jc w:val="start"/>
        <w:rPr/>
      </w:pPr>
      <w:r>
        <w:rPr/>
        <w:t xml:space="preserve">Leo, Allan – </w:t>
      </w:r>
      <w:r>
        <w:rPr>
          <w:i/>
          <w:iCs/>
        </w:rPr>
        <w:t>Astrology for All</w:t>
      </w:r>
      <w:r>
        <w:rPr/>
        <w:t>, London, Fowler &amp; Co., 1899.</w:t>
      </w:r>
    </w:p>
    <w:p>
      <w:pPr>
        <w:pStyle w:val="Normal"/>
        <w:bidi w:val="0"/>
        <w:jc w:val="start"/>
        <w:rPr/>
      </w:pPr>
      <w:r>
        <w:rPr/>
      </w:r>
    </w:p>
    <w:p>
      <w:pPr>
        <w:pStyle w:val="Normal"/>
        <w:bidi w:val="0"/>
        <w:jc w:val="start"/>
        <w:rPr/>
      </w:pPr>
      <w:r>
        <w:rPr/>
        <w:t xml:space="preserve">Leo, Allan – </w:t>
      </w:r>
      <w:r>
        <w:rPr>
          <w:i/>
          <w:iCs/>
        </w:rPr>
        <w:t>The Progressed Horoscope</w:t>
      </w:r>
      <w:r>
        <w:rPr/>
        <w:t>, Rochester, Destiny Books, 1989.</w:t>
      </w:r>
    </w:p>
    <w:p>
      <w:pPr>
        <w:pStyle w:val="Normal"/>
        <w:bidi w:val="0"/>
        <w:jc w:val="start"/>
        <w:rPr/>
      </w:pPr>
      <w:r>
        <w:rPr/>
      </w:r>
    </w:p>
    <w:p>
      <w:pPr>
        <w:pStyle w:val="Normal"/>
        <w:bidi w:val="0"/>
        <w:jc w:val="start"/>
        <w:rPr/>
      </w:pPr>
      <w:r>
        <w:rPr/>
        <w:t xml:space="preserve">Leo, Allan – </w:t>
      </w:r>
      <w:r>
        <w:rPr>
          <w:i/>
          <w:iCs/>
        </w:rPr>
        <w:t>The Key to Your Own Nativity,</w:t>
      </w:r>
      <w:r>
        <w:rPr/>
        <w:t xml:space="preserve"> London, Fowler &amp; Co., 1927</w:t>
      </w:r>
    </w:p>
    <w:p>
      <w:pPr>
        <w:pStyle w:val="Normal"/>
        <w:bidi w:val="0"/>
        <w:jc w:val="start"/>
        <w:rPr/>
      </w:pPr>
      <w:r>
        <w:rPr/>
      </w:r>
    </w:p>
    <w:p>
      <w:pPr>
        <w:pStyle w:val="Normal"/>
        <w:bidi w:val="0"/>
        <w:jc w:val="start"/>
        <w:rPr/>
      </w:pPr>
      <w:r>
        <w:rPr/>
        <w:t xml:space="preserve">Leo, Bessie (and others) – </w:t>
      </w:r>
      <w:r>
        <w:rPr>
          <w:i/>
          <w:iCs/>
        </w:rPr>
        <w:t>The Life and Work of Alan Leo</w:t>
      </w:r>
      <w:r>
        <w:rPr/>
        <w:t>, London, Fowler &amp; Co., 1919</w:t>
      </w:r>
    </w:p>
    <w:p>
      <w:pPr>
        <w:pStyle w:val="Normal"/>
        <w:bidi w:val="0"/>
        <w:jc w:val="start"/>
        <w:rPr/>
      </w:pPr>
      <w:r>
        <w:rPr/>
      </w:r>
    </w:p>
    <w:p>
      <w:pPr>
        <w:pStyle w:val="Normal"/>
        <w:bidi w:val="0"/>
        <w:jc w:val="start"/>
        <w:rPr/>
      </w:pPr>
      <w:r>
        <w:rPr/>
        <w:t xml:space="preserve">Greene, Liz – </w:t>
      </w:r>
      <w:r>
        <w:rPr>
          <w:i/>
          <w:iCs/>
        </w:rPr>
        <w:t>Saturn: A New Look at an Old Devil</w:t>
      </w:r>
      <w:r>
        <w:rPr/>
        <w:t>, York Beach, Samuel Weiser, 1993.</w:t>
      </w:r>
    </w:p>
    <w:p>
      <w:pPr>
        <w:pStyle w:val="Normal"/>
        <w:bidi w:val="0"/>
        <w:jc w:val="start"/>
        <w:rPr/>
      </w:pPr>
      <w:r>
        <w:rPr/>
      </w:r>
    </w:p>
    <w:p>
      <w:pPr>
        <w:pStyle w:val="Normal"/>
        <w:bidi w:val="0"/>
        <w:jc w:val="start"/>
        <w:rPr/>
      </w:pPr>
      <w:r>
        <w:rPr/>
        <w:t xml:space="preserve">Greene, Liz – </w:t>
      </w:r>
      <w:r>
        <w:rPr>
          <w:i/>
          <w:iCs/>
        </w:rPr>
        <w:t>The Astrology of Fate</w:t>
      </w:r>
      <w:r>
        <w:rPr/>
        <w:t>, York Beach, Samuel Weiser, 1984.</w:t>
      </w:r>
    </w:p>
    <w:p>
      <w:pPr>
        <w:pStyle w:val="Normal"/>
        <w:bidi w:val="0"/>
        <w:jc w:val="start"/>
        <w:rPr/>
      </w:pPr>
      <w:r>
        <w:rPr/>
      </w:r>
    </w:p>
    <w:p>
      <w:pPr>
        <w:pStyle w:val="Normal"/>
        <w:bidi w:val="0"/>
        <w:jc w:val="start"/>
        <w:rPr/>
      </w:pPr>
      <w:r>
        <w:rPr/>
        <w:t xml:space="preserve">Greene, Liz – </w:t>
      </w:r>
      <w:r>
        <w:rPr>
          <w:i/>
          <w:iCs/>
        </w:rPr>
        <w:t>Jung’s Studies in Astrology: Prophecy, Magic and the Qualities of Time</w:t>
      </w:r>
      <w:r>
        <w:rPr/>
        <w:t>, Abingdon, Routledge, 2018.</w:t>
      </w:r>
    </w:p>
    <w:p>
      <w:pPr>
        <w:pStyle w:val="Normal"/>
        <w:bidi w:val="0"/>
        <w:jc w:val="start"/>
        <w:rPr/>
      </w:pPr>
      <w:r>
        <w:rPr/>
      </w:r>
    </w:p>
    <w:p>
      <w:pPr>
        <w:pStyle w:val="Normal"/>
        <w:bidi w:val="0"/>
        <w:jc w:val="start"/>
        <w:rPr/>
      </w:pPr>
      <w:r>
        <w:rPr/>
        <w:t xml:space="preserve">Greene, Liz – </w:t>
      </w:r>
      <w:r>
        <w:rPr>
          <w:i/>
          <w:iCs/>
        </w:rPr>
        <w:t>The Horoscope in Manifestation: Psychology and Prediction</w:t>
      </w:r>
      <w:r>
        <w:rPr/>
        <w:t>, Swanage, The Wessex Astrologer, 2023.</w:t>
      </w:r>
    </w:p>
    <w:p>
      <w:pPr>
        <w:pStyle w:val="Normal"/>
        <w:bidi w:val="0"/>
        <w:jc w:val="start"/>
        <w:rPr>
          <w:b w:val="false"/>
          <w:bCs w:val="false"/>
        </w:rPr>
      </w:pPr>
      <w:r>
        <w:rPr/>
      </w:r>
    </w:p>
    <w:sectPr>
      <w:headerReference w:type="default" r:id="rId3"/>
      <w:footnotePr>
        <w:numFmt w:val="decimal"/>
      </w:footnotePr>
      <w:type w:val="nextPage"/>
      <w:pgSz w:w="12240" w:h="15840"/>
      <w:pgMar w:left="1134" w:right="1134" w:gutter="0" w:header="1134" w:top="1969" w:footer="0" w:bottom="1134"/>
      <w:pgNumType w:start="1" w:fmt="decimal"/>
      <w:formProt w:val="false"/>
      <w:textDirection w:val="lrTb"/>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Tahoma">
    <w:charset w:val="00" w:characterSet="windows-1252"/>
    <w:family w:val="swiss"/>
    <w:pitch w:val="variable"/>
  </w:font>
  <w:font w:name="Liberation Sans">
    <w:altName w:val="Arial"/>
    <w:charset w:val="00" w:characterSet="windows-1252"/>
    <w:family w:val="swiss"/>
    <w:pitch w:val="variable"/>
  </w:font>
  <w:font w:name="Georgia">
    <w:charset w:val="00" w:characterSet="windows-1252"/>
    <w:family w:val="roman"/>
    <w:pitch w:val="variable"/>
  </w:font>
  <w:font w:name="Trebuchet MS">
    <w:charset w:val="00" w:characterSet="windows-1252"/>
    <w:family w:val="swiss"/>
    <w:pitch w:val="variable"/>
  </w:font>
  <w:font w:name="Calibri">
    <w:charset w:val="00" w:characterSet="windows-1252"/>
    <w:family w:val="swiss"/>
    <w:pitch w:val="variable"/>
  </w:font>
  <w:font w:name="Times New Roman">
    <w:charset w:val="01"/>
    <w:family w:val="roman"/>
    <w:pitch w:val="variable"/>
  </w:font>
  <w:font w:name="BerkeleyStd-Book">
    <w:charset w:val="00" w:characterSet="windows-1252"/>
    <w:family w:val="auto"/>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footnote w:id="0" w:type="separator">
    <w:p>
      <w:pPr>
        <w:rPr>
          <w:sz w:val="12"/>
        </w:rPr>
      </w:pPr>
      <w:r>
        <w:separator/>
      </w:r>
    </w:p>
  </w:footnote>
  <w:footnote w:id="1" w:type="continuationSeparator">
    <w:p>
      <w:pPr>
        <w:rPr>
          <w:sz w:val="12"/>
        </w:rPr>
      </w:pPr>
      <w:r>
        <w:continuationSeparator/>
      </w:r>
    </w:p>
  </w:footnote>
  <w:footnote w:id="2">
    <w:p>
      <w:pPr>
        <w:pStyle w:val="Normal"/>
        <w:bidi w:val="0"/>
        <w:jc w:val="start"/>
        <w:rPr/>
      </w:pPr>
      <w:r>
        <w:rPr>
          <w:rStyle w:val="FootnoteCharacters"/>
        </w:rPr>
        <w:footnoteRef/>
      </w:r>
      <w:r>
        <w:rPr/>
        <w:t xml:space="preserve"> </w:t>
      </w:r>
      <w:r>
        <w:rPr>
          <w:sz w:val="20"/>
          <w:szCs w:val="20"/>
        </w:rPr>
        <w:t xml:space="preserve">Campion, Nicholas – </w:t>
      </w:r>
      <w:r>
        <w:rPr>
          <w:i/>
          <w:iCs/>
          <w:sz w:val="20"/>
          <w:szCs w:val="20"/>
        </w:rPr>
        <w:t>A History of Western Astrology, Volume 2: The Medieval and Modern Worlds</w:t>
      </w:r>
      <w:r>
        <w:rPr>
          <w:sz w:val="20"/>
          <w:szCs w:val="20"/>
        </w:rPr>
        <w:t>, London, Bloomsbury, 2009.</w:t>
      </w:r>
    </w:p>
  </w:footnote>
  <w:footnote w:id="3">
    <w:p>
      <w:pPr>
        <w:pStyle w:val="FootnoteText"/>
        <w:bidi w:val="0"/>
        <w:jc w:val="start"/>
        <w:rPr/>
      </w:pPr>
      <w:r>
        <w:rPr>
          <w:rStyle w:val="FootnoteCharacters"/>
        </w:rPr>
        <w:footnoteRef/>
      </w:r>
      <w:r>
        <w:rPr/>
        <w:tab/>
        <w:t>Campion, ibid. p. 231</w:t>
      </w:r>
    </w:p>
  </w:footnote>
  <w:footnote w:id="4">
    <w:p>
      <w:pPr>
        <w:pStyle w:val="Normal"/>
        <w:bidi w:val="0"/>
        <w:jc w:val="start"/>
        <w:rPr>
          <w:rFonts w:ascii="Times New Roman" w:hAnsi="Times New Roman"/>
          <w:sz w:val="20"/>
          <w:szCs w:val="20"/>
        </w:rPr>
      </w:pPr>
      <w:r>
        <w:rPr>
          <w:rStyle w:val="FootnoteCharacters"/>
        </w:rPr>
        <w:footnoteRef/>
      </w:r>
      <w:r>
        <w:rPr>
          <w:rFonts w:ascii="Times New Roman" w:hAnsi="Times New Roman"/>
          <w:sz w:val="20"/>
          <w:szCs w:val="20"/>
        </w:rPr>
        <w:t xml:space="preserve"> </w:t>
      </w:r>
      <w:r>
        <w:rPr>
          <w:rFonts w:ascii="Times New Roman" w:hAnsi="Times New Roman"/>
          <w:sz w:val="20"/>
          <w:szCs w:val="20"/>
        </w:rPr>
        <w:t xml:space="preserve">Burns, William, (Editor) – </w:t>
      </w:r>
      <w:r>
        <w:rPr>
          <w:rFonts w:ascii="Times New Roman" w:hAnsi="Times New Roman"/>
          <w:i/>
          <w:iCs/>
          <w:sz w:val="20"/>
          <w:szCs w:val="20"/>
        </w:rPr>
        <w:t>Astrology Through History: Interpreting the Stars from Ancient Mesopotamia to the Present,</w:t>
      </w:r>
      <w:r>
        <w:rPr>
          <w:rFonts w:ascii="Times New Roman" w:hAnsi="Times New Roman"/>
          <w:sz w:val="20"/>
          <w:szCs w:val="20"/>
        </w:rPr>
        <w:t xml:space="preserve"> Santa Barbara, ABC-CLIO, 2018. </w:t>
      </w:r>
      <w:r>
        <w:rPr>
          <w:rFonts w:ascii="Times New Roman" w:hAnsi="Times New Roman"/>
          <w:sz w:val="20"/>
          <w:szCs w:val="20"/>
        </w:rPr>
        <w:t>p. 199</w:t>
      </w:r>
    </w:p>
  </w:footnote>
  <w:footnote w:id="5">
    <w:p>
      <w:pPr>
        <w:pStyle w:val="Normal"/>
        <w:bidi w:val="0"/>
        <w:jc w:val="start"/>
        <w:rPr>
          <w:sz w:val="20"/>
          <w:szCs w:val="20"/>
        </w:rPr>
      </w:pPr>
      <w:r>
        <w:rPr>
          <w:rStyle w:val="FootnoteCharacters"/>
        </w:rPr>
        <w:footnoteRef/>
      </w:r>
      <w:r>
        <w:rPr>
          <w:sz w:val="20"/>
          <w:szCs w:val="20"/>
        </w:rPr>
        <w:t xml:space="preserve"> </w:t>
      </w:r>
      <w:r>
        <w:rPr>
          <w:sz w:val="20"/>
          <w:szCs w:val="20"/>
        </w:rPr>
        <w:t xml:space="preserve">Brady, Bernadette – Living with Fate: The Lifestyle of Contemporary Astrologers, Journal for the Study of Religion, Nature and Culture, 2019-01, Volume 13. </w:t>
      </w:r>
      <w:r>
        <w:rPr>
          <w:sz w:val="20"/>
          <w:szCs w:val="20"/>
        </w:rPr>
        <w:t>p.36</w:t>
      </w:r>
    </w:p>
  </w:footnote>
  <w:footnote w:id="6">
    <w:p>
      <w:pPr>
        <w:pStyle w:val="Normal"/>
        <w:bidi w:val="0"/>
        <w:jc w:val="start"/>
        <w:rPr>
          <w:sz w:val="20"/>
          <w:szCs w:val="20"/>
        </w:rPr>
      </w:pPr>
      <w:r>
        <w:rPr>
          <w:rStyle w:val="FootnoteCharacters"/>
        </w:rPr>
        <w:footnoteRef/>
      </w:r>
      <w:r>
        <w:rPr>
          <w:sz w:val="20"/>
          <w:szCs w:val="20"/>
        </w:rPr>
        <w:t xml:space="preserve">Leo, Allan – </w:t>
      </w:r>
      <w:r>
        <w:rPr>
          <w:i/>
          <w:iCs/>
          <w:sz w:val="20"/>
          <w:szCs w:val="20"/>
        </w:rPr>
        <w:t>The Progressed Horoscope</w:t>
      </w:r>
      <w:r>
        <w:rPr>
          <w:sz w:val="20"/>
          <w:szCs w:val="20"/>
        </w:rPr>
        <w:t xml:space="preserve">, Rochester, Destiny Books, 1989., </w:t>
      </w:r>
      <w:r>
        <w:rPr>
          <w:sz w:val="20"/>
          <w:szCs w:val="20"/>
        </w:rPr>
        <w:t>p.iii</w:t>
      </w:r>
    </w:p>
  </w:footnote>
  <w:footnote w:id="7">
    <w:p>
      <w:pPr>
        <w:pStyle w:val="Normal"/>
        <w:bidi w:val="0"/>
        <w:jc w:val="start"/>
        <w:rPr>
          <w:sz w:val="20"/>
          <w:szCs w:val="20"/>
        </w:rPr>
      </w:pPr>
      <w:r>
        <w:rPr>
          <w:rStyle w:val="FootnoteCharacters"/>
        </w:rPr>
        <w:footnoteRef/>
      </w:r>
      <w:r>
        <w:rPr>
          <w:sz w:val="20"/>
          <w:szCs w:val="20"/>
        </w:rPr>
        <w:t xml:space="preserve">Leo, Allan – </w:t>
      </w:r>
      <w:r>
        <w:rPr>
          <w:i/>
          <w:iCs/>
          <w:sz w:val="20"/>
          <w:szCs w:val="20"/>
        </w:rPr>
        <w:t>The Key to Your Own Nativity,</w:t>
      </w:r>
      <w:r>
        <w:rPr>
          <w:sz w:val="20"/>
          <w:szCs w:val="20"/>
        </w:rPr>
        <w:t xml:space="preserve"> London, Fowler &amp; Co., 1927, </w:t>
      </w:r>
      <w:r>
        <w:rPr>
          <w:sz w:val="20"/>
          <w:szCs w:val="20"/>
        </w:rPr>
        <w:t>p.303</w:t>
      </w:r>
    </w:p>
  </w:footnote>
  <w:footnote w:id="8">
    <w:p>
      <w:pPr>
        <w:pStyle w:val="FootnoteText"/>
        <w:bidi w:val="0"/>
        <w:jc w:val="start"/>
        <w:rPr/>
      </w:pPr>
      <w:r>
        <w:rPr>
          <w:rStyle w:val="FootnoteCharacters"/>
        </w:rPr>
        <w:footnoteRef/>
      </w:r>
      <w:r>
        <w:rPr/>
        <w:tab/>
        <w:t>Leo, ibid. p.303</w:t>
      </w:r>
    </w:p>
  </w:footnote>
  <w:footnote w:id="9">
    <w:p>
      <w:pPr>
        <w:pStyle w:val="Normal"/>
        <w:bidi w:val="0"/>
        <w:jc w:val="start"/>
        <w:rPr/>
      </w:pPr>
      <w:r>
        <w:rPr>
          <w:rStyle w:val="FootnoteCharacters"/>
        </w:rPr>
        <w:footnoteRef/>
      </w:r>
      <w:r>
        <w:rPr/>
        <w:t xml:space="preserve"> </w:t>
      </w:r>
      <w:r>
        <w:rPr>
          <w:sz w:val="20"/>
          <w:szCs w:val="20"/>
        </w:rPr>
        <w:t xml:space="preserve">Leo, Allan – </w:t>
      </w:r>
      <w:r>
        <w:rPr>
          <w:i/>
          <w:iCs/>
          <w:sz w:val="20"/>
          <w:szCs w:val="20"/>
        </w:rPr>
        <w:t>Esoteric Astrology</w:t>
      </w:r>
      <w:r>
        <w:rPr>
          <w:sz w:val="20"/>
          <w:szCs w:val="20"/>
        </w:rPr>
        <w:t>, Rochester, Destiny Books, 1983</w:t>
      </w:r>
      <w:r>
        <w:rPr/>
        <w:t>.</w:t>
      </w:r>
    </w:p>
  </w:footnote>
  <w:footnote w:id="10">
    <w:p>
      <w:pPr>
        <w:pStyle w:val="FootnoteText"/>
        <w:bidi w:val="0"/>
        <w:jc w:val="start"/>
        <w:rPr/>
      </w:pPr>
      <w:r>
        <w:rPr>
          <w:rStyle w:val="FootnoteCharacters"/>
        </w:rPr>
        <w:footnoteRef/>
      </w:r>
      <w:r>
        <w:rPr/>
        <w:tab/>
        <w:t>Leo, ibid. p. 42</w:t>
      </w:r>
    </w:p>
  </w:footnote>
  <w:footnote w:id="11">
    <w:p>
      <w:pPr>
        <w:pStyle w:val="FootnoteText"/>
        <w:bidi w:val="0"/>
        <w:jc w:val="start"/>
        <w:rPr/>
      </w:pPr>
      <w:r>
        <w:rPr>
          <w:rStyle w:val="FootnoteCharacters"/>
        </w:rPr>
        <w:footnoteRef/>
      </w:r>
      <w:r>
        <w:rPr/>
        <w:tab/>
        <w:t>Leo, ibid p. 42</w:t>
      </w:r>
    </w:p>
  </w:footnote>
  <w:footnote w:id="12">
    <w:p>
      <w:pPr>
        <w:pStyle w:val="Normal"/>
        <w:bidi w:val="0"/>
        <w:jc w:val="start"/>
        <w:rPr/>
      </w:pPr>
      <w:r>
        <w:rPr>
          <w:rStyle w:val="FootnoteCharacters"/>
        </w:rPr>
        <w:footnoteRef/>
      </w:r>
      <w:r>
        <w:rPr>
          <w:sz w:val="20"/>
          <w:szCs w:val="20"/>
        </w:rPr>
        <w:t xml:space="preserve"> </w:t>
      </w:r>
      <w:hyperlink r:id="rId1">
        <w:r>
          <w:rPr>
            <w:rStyle w:val="Hyperlink"/>
            <w:sz w:val="20"/>
            <w:szCs w:val="20"/>
          </w:rPr>
          <w:t>https://www.jungiananalysts.org.uk/member/liz-greene/</w:t>
        </w:r>
      </w:hyperlink>
    </w:p>
  </w:footnote>
  <w:footnote w:id="13">
    <w:p>
      <w:pPr>
        <w:pStyle w:val="Normal"/>
        <w:bidi w:val="0"/>
        <w:jc w:val="start"/>
        <w:rPr/>
      </w:pPr>
      <w:r>
        <w:rPr>
          <w:rStyle w:val="FootnoteCharacters"/>
        </w:rPr>
        <w:footnoteRef/>
      </w:r>
      <w:r>
        <w:rPr>
          <w:sz w:val="20"/>
          <w:szCs w:val="20"/>
        </w:rPr>
        <w:t xml:space="preserve"> </w:t>
      </w:r>
      <w:hyperlink r:id="rId2">
        <w:r>
          <w:rPr>
            <w:rStyle w:val="Hyperlink"/>
            <w:sz w:val="20"/>
            <w:szCs w:val="20"/>
          </w:rPr>
          <w:t>https://cpalondon.com/liz/</w:t>
        </w:r>
      </w:hyperlink>
    </w:p>
  </w:footnote>
  <w:footnote w:id="14">
    <w:p>
      <w:pPr>
        <w:pStyle w:val="Normal"/>
        <w:bidi w:val="0"/>
        <w:jc w:val="start"/>
        <w:rPr>
          <w:sz w:val="20"/>
          <w:szCs w:val="20"/>
        </w:rPr>
      </w:pPr>
      <w:r>
        <w:rPr>
          <w:rStyle w:val="FootnoteCharacters"/>
        </w:rPr>
        <w:footnoteRef/>
      </w:r>
      <w:r>
        <w:rPr>
          <w:sz w:val="20"/>
          <w:szCs w:val="20"/>
        </w:rPr>
        <w:t xml:space="preserve"> </w:t>
      </w:r>
      <w:r>
        <w:rPr>
          <w:sz w:val="20"/>
          <w:szCs w:val="20"/>
        </w:rPr>
        <w:t xml:space="preserve">Burns, William, (Editor) – </w:t>
      </w:r>
      <w:r>
        <w:rPr>
          <w:i/>
          <w:iCs/>
          <w:sz w:val="20"/>
          <w:szCs w:val="20"/>
        </w:rPr>
        <w:t>Astrology Through History: Interpreting the Stars from Ancient Mesopotamia to the Present,</w:t>
      </w:r>
      <w:r>
        <w:rPr>
          <w:sz w:val="20"/>
          <w:szCs w:val="20"/>
        </w:rPr>
        <w:t xml:space="preserve"> Santa Barbara, ABC-CLIO, 2018. </w:t>
      </w:r>
      <w:r>
        <w:rPr>
          <w:sz w:val="20"/>
          <w:szCs w:val="20"/>
        </w:rPr>
        <w:t>p. 116</w:t>
      </w:r>
    </w:p>
  </w:footnote>
  <w:footnote w:id="15">
    <w:p>
      <w:pPr>
        <w:pStyle w:val="Normal"/>
        <w:bidi w:val="0"/>
        <w:jc w:val="start"/>
        <w:rPr/>
      </w:pPr>
      <w:r>
        <w:rPr>
          <w:rStyle w:val="FootnoteCharacters"/>
        </w:rPr>
        <w:footnoteRef/>
      </w:r>
      <w:r>
        <w:rPr/>
        <w:t xml:space="preserve"> </w:t>
      </w:r>
      <w:r>
        <w:rPr>
          <w:sz w:val="20"/>
          <w:szCs w:val="20"/>
        </w:rPr>
        <w:t xml:space="preserve">Greene, Liz – </w:t>
      </w:r>
      <w:r>
        <w:rPr>
          <w:i/>
          <w:iCs/>
          <w:sz w:val="20"/>
          <w:szCs w:val="20"/>
        </w:rPr>
        <w:t>The Horoscope in Manifestation: Psychology and Prediction</w:t>
      </w:r>
      <w:r>
        <w:rPr>
          <w:sz w:val="20"/>
          <w:szCs w:val="20"/>
        </w:rPr>
        <w:t>, Swanage, The Wessex Astrologer, 2023</w:t>
      </w:r>
      <w:r>
        <w:rPr/>
        <w:t xml:space="preserve">., </w:t>
      </w:r>
      <w:r>
        <w:rPr>
          <w:sz w:val="20"/>
          <w:szCs w:val="20"/>
        </w:rPr>
        <w:t>p.132</w:t>
      </w:r>
    </w:p>
  </w:footnote>
  <w:footnote w:id="16">
    <w:p>
      <w:pPr>
        <w:pStyle w:val="FootnoteText"/>
        <w:bidi w:val="0"/>
        <w:jc w:val="start"/>
        <w:rPr/>
      </w:pPr>
      <w:r>
        <w:rPr>
          <w:rStyle w:val="FootnoteCharacters"/>
        </w:rPr>
        <w:footnoteRef/>
      </w:r>
      <w:r>
        <w:rPr/>
        <w:tab/>
        <w:t>Greene, ibid p. 133</w:t>
      </w:r>
    </w:p>
  </w:footnote>
  <w:footnote w:id="17">
    <w:p>
      <w:pPr>
        <w:pStyle w:val="Normal"/>
        <w:bidi w:val="0"/>
        <w:jc w:val="start"/>
        <w:rPr/>
      </w:pPr>
      <w:r>
        <w:rPr>
          <w:rStyle w:val="FootnoteCharacters"/>
        </w:rPr>
        <w:footnoteRef/>
      </w:r>
      <w:r>
        <w:rPr/>
        <w:t xml:space="preserve"> </w:t>
      </w:r>
      <w:r>
        <w:rPr>
          <w:sz w:val="20"/>
          <w:szCs w:val="20"/>
        </w:rPr>
        <w:t xml:space="preserve">Greene, Liz – </w:t>
      </w:r>
      <w:r>
        <w:rPr>
          <w:i/>
          <w:iCs/>
          <w:sz w:val="20"/>
          <w:szCs w:val="20"/>
        </w:rPr>
        <w:t>Saturn: A New Look at an Old Devil</w:t>
      </w:r>
      <w:r>
        <w:rPr>
          <w:sz w:val="20"/>
          <w:szCs w:val="20"/>
        </w:rPr>
        <w:t xml:space="preserve">, York Beach, Samuel Weiser, 1993., </w:t>
      </w:r>
      <w:r>
        <w:rPr>
          <w:sz w:val="20"/>
          <w:szCs w:val="20"/>
        </w:rPr>
        <w:t>p.11, 12</w:t>
      </w:r>
    </w:p>
  </w:footnote>
  <w:footnote w:id="18">
    <w:p>
      <w:pPr>
        <w:pStyle w:val="Normal"/>
        <w:bidi w:val="0"/>
        <w:jc w:val="start"/>
        <w:rPr>
          <w:sz w:val="20"/>
          <w:szCs w:val="20"/>
        </w:rPr>
      </w:pPr>
      <w:r>
        <w:rPr>
          <w:rStyle w:val="FootnoteCharacters"/>
        </w:rPr>
        <w:footnoteRef/>
      </w:r>
      <w:r>
        <w:rPr>
          <w:sz w:val="20"/>
          <w:szCs w:val="20"/>
        </w:rPr>
        <w:t xml:space="preserve"> </w:t>
      </w:r>
      <w:r>
        <w:rPr>
          <w:sz w:val="20"/>
          <w:szCs w:val="20"/>
        </w:rPr>
        <w:t xml:space="preserve">Greene, Liz – </w:t>
      </w:r>
      <w:r>
        <w:rPr>
          <w:i/>
          <w:iCs/>
          <w:sz w:val="20"/>
          <w:szCs w:val="20"/>
        </w:rPr>
        <w:t>The Astrology of Fate</w:t>
      </w:r>
      <w:r>
        <w:rPr>
          <w:sz w:val="20"/>
          <w:szCs w:val="20"/>
        </w:rPr>
        <w:t xml:space="preserve">, York Beach, Samuel Weiser, 1984. </w:t>
      </w:r>
      <w:r>
        <w:rPr>
          <w:sz w:val="20"/>
          <w:szCs w:val="20"/>
        </w:rPr>
        <w:t>p.273-275</w:t>
      </w:r>
    </w:p>
  </w:footnote>
  <w:footnote w:id="19">
    <w:p>
      <w:pPr>
        <w:pStyle w:val="FootnoteText"/>
        <w:bidi w:val="0"/>
        <w:jc w:val="start"/>
        <w:rPr/>
      </w:pPr>
      <w:r>
        <w:rPr>
          <w:rStyle w:val="FootnoteCharacters"/>
        </w:rPr>
        <w:footnoteRef/>
      </w:r>
      <w:r>
        <w:rPr/>
        <w:tab/>
        <w:t>Greene, ibid. p. 274</w:t>
      </w:r>
    </w:p>
  </w:footnote>
  <w:footnote w:id="20">
    <w:p>
      <w:pPr>
        <w:pStyle w:val="FootnoteText"/>
        <w:bidi w:val="0"/>
        <w:jc w:val="start"/>
        <w:rPr/>
      </w:pPr>
      <w:r>
        <w:rPr>
          <w:rStyle w:val="FootnoteCharacters"/>
        </w:rPr>
        <w:footnoteRef/>
      </w:r>
      <w:r>
        <w:rPr/>
        <w:tab/>
        <w:t xml:space="preserve">Greene, ibid. p. </w:t>
      </w:r>
      <w:r>
        <w:rPr/>
        <w:t>89-121</w:t>
      </w:r>
    </w:p>
  </w:footnote>
  <w:footnote w:id="21">
    <w:p>
      <w:pPr>
        <w:pStyle w:val="Normal"/>
        <w:bidi w:val="0"/>
        <w:jc w:val="start"/>
        <w:rPr/>
      </w:pPr>
      <w:r>
        <w:rPr>
          <w:rStyle w:val="FootnoteCharacters"/>
        </w:rPr>
        <w:footnoteRef/>
      </w:r>
      <w:r>
        <w:rPr/>
        <w:t xml:space="preserve"> </w:t>
      </w:r>
      <w:r>
        <w:rPr>
          <w:sz w:val="20"/>
          <w:szCs w:val="20"/>
        </w:rPr>
        <w:t xml:space="preserve">Leo, Allan – </w:t>
      </w:r>
      <w:r>
        <w:rPr>
          <w:i/>
          <w:iCs/>
          <w:sz w:val="20"/>
          <w:szCs w:val="20"/>
        </w:rPr>
        <w:t>The Progressed Horoscope</w:t>
      </w:r>
      <w:r>
        <w:rPr>
          <w:sz w:val="20"/>
          <w:szCs w:val="20"/>
        </w:rPr>
        <w:t xml:space="preserve">, Rochester, Destiny Books, 1989. </w:t>
      </w:r>
      <w:r>
        <w:rPr>
          <w:sz w:val="20"/>
          <w:szCs w:val="20"/>
        </w:rPr>
        <w:t>p.xi</w:t>
      </w:r>
    </w:p>
  </w:footnote>
  <w:footnote w:id="22">
    <w:p>
      <w:pPr>
        <w:pStyle w:val="FootnoteText"/>
        <w:bidi w:val="0"/>
        <w:jc w:val="start"/>
        <w:rPr/>
      </w:pPr>
      <w:r>
        <w:rPr>
          <w:rStyle w:val="FootnoteCharacters"/>
        </w:rPr>
        <w:footnoteRef/>
      </w:r>
      <w:r>
        <w:rPr/>
        <w:tab/>
        <w:t>Leo, ibid. p.1-3</w:t>
      </w:r>
    </w:p>
  </w:footnote>
  <w:footnote w:id="23">
    <w:p>
      <w:pPr>
        <w:pStyle w:val="FootnoteText"/>
        <w:bidi w:val="0"/>
        <w:jc w:val="start"/>
        <w:rPr/>
      </w:pPr>
      <w:r>
        <w:rPr>
          <w:rStyle w:val="FootnoteCharacters"/>
        </w:rPr>
        <w:footnoteRef/>
      </w:r>
      <w:r>
        <w:rPr/>
        <w:tab/>
        <w:t>Leo, ibid p. 270</w:t>
      </w:r>
    </w:p>
  </w:footnote>
  <w:footnote w:id="24">
    <w:p>
      <w:pPr>
        <w:pStyle w:val="Normal"/>
        <w:bidi w:val="0"/>
        <w:jc w:val="start"/>
        <w:rPr>
          <w:sz w:val="20"/>
          <w:szCs w:val="20"/>
        </w:rPr>
      </w:pPr>
      <w:r>
        <w:rPr>
          <w:rStyle w:val="FootnoteCharacters"/>
        </w:rPr>
        <w:footnoteRef/>
      </w:r>
      <w:r>
        <w:rPr>
          <w:sz w:val="20"/>
          <w:szCs w:val="20"/>
        </w:rPr>
        <w:t xml:space="preserve"> </w:t>
      </w:r>
      <w:r>
        <w:rPr>
          <w:sz w:val="20"/>
          <w:szCs w:val="20"/>
        </w:rPr>
        <w:t xml:space="preserve">Greene, Liz – </w:t>
      </w:r>
      <w:r>
        <w:rPr>
          <w:i/>
          <w:iCs/>
          <w:sz w:val="20"/>
          <w:szCs w:val="20"/>
        </w:rPr>
        <w:t>The Horoscope in Manifestation: Psychology and Prediction</w:t>
      </w:r>
      <w:r>
        <w:rPr>
          <w:sz w:val="20"/>
          <w:szCs w:val="20"/>
        </w:rPr>
        <w:t xml:space="preserve">, Swanage, The Wessex Astrologer, 2023 </w:t>
      </w:r>
      <w:r>
        <w:rPr>
          <w:sz w:val="20"/>
          <w:szCs w:val="20"/>
        </w:rPr>
        <w:t>p. 135-142</w:t>
      </w:r>
    </w:p>
  </w:footnote>
  <w:footnote w:id="25">
    <w:p>
      <w:pPr>
        <w:pStyle w:val="FootnoteText"/>
        <w:bidi w:val="0"/>
        <w:jc w:val="start"/>
        <w:rPr/>
      </w:pPr>
      <w:r>
        <w:rPr>
          <w:rStyle w:val="FootnoteCharacters"/>
        </w:rPr>
        <w:footnoteRef/>
      </w:r>
      <w:r>
        <w:rPr/>
        <w:tab/>
        <w:t>Greene, ibid. p.141</w:t>
      </w:r>
    </w:p>
  </w:footnote>
  <w:footnote w:id="26">
    <w:p>
      <w:pPr>
        <w:pStyle w:val="Normal"/>
        <w:bidi w:val="0"/>
        <w:jc w:val="start"/>
        <w:rPr>
          <w:sz w:val="20"/>
          <w:szCs w:val="20"/>
        </w:rPr>
      </w:pPr>
      <w:r>
        <w:rPr>
          <w:rStyle w:val="FootnoteCharacters"/>
        </w:rPr>
        <w:footnoteRef/>
      </w:r>
      <w:r>
        <w:rPr>
          <w:sz w:val="20"/>
          <w:szCs w:val="20"/>
        </w:rPr>
        <w:t xml:space="preserve">Kushner, Harold – </w:t>
      </w:r>
      <w:r>
        <w:rPr>
          <w:i/>
          <w:iCs/>
          <w:sz w:val="20"/>
          <w:szCs w:val="20"/>
        </w:rPr>
        <w:t>When Bad Things Happen to Good People</w:t>
      </w:r>
      <w:r>
        <w:rPr>
          <w:sz w:val="20"/>
          <w:szCs w:val="20"/>
        </w:rPr>
        <w:t>, New York, Anchor Books, 1981</w:t>
      </w:r>
    </w:p>
  </w:footnote>
  <w:footnote w:id="27">
    <w:p>
      <w:pPr>
        <w:pStyle w:val="Normal"/>
        <w:bidi w:val="0"/>
        <w:jc w:val="start"/>
        <w:rPr>
          <w:sz w:val="20"/>
          <w:szCs w:val="20"/>
        </w:rPr>
      </w:pPr>
      <w:r>
        <w:rPr>
          <w:rStyle w:val="FootnoteCharacters"/>
        </w:rPr>
        <w:footnoteRef/>
      </w:r>
      <w:r>
        <w:rPr>
          <w:sz w:val="20"/>
          <w:szCs w:val="20"/>
        </w:rPr>
        <w:t xml:space="preserve"> </w:t>
      </w:r>
      <w:r>
        <w:rPr>
          <w:sz w:val="20"/>
          <w:szCs w:val="20"/>
        </w:rPr>
        <w:t xml:space="preserve">https://www.goodreads.com/book/show/46676.When_Bad_Things_Happen_to_Good_People </w:t>
      </w:r>
    </w:p>
  </w:footnote>
  <w:footnote w:id="28">
    <w:p>
      <w:pPr>
        <w:pStyle w:val="Normal"/>
        <w:bidi w:val="0"/>
        <w:jc w:val="start"/>
        <w:rPr>
          <w:sz w:val="20"/>
          <w:szCs w:val="20"/>
        </w:rPr>
      </w:pPr>
      <w:r>
        <w:rPr>
          <w:rStyle w:val="FootnoteCharacters"/>
        </w:rPr>
        <w:footnoteRef/>
      </w:r>
      <w:r>
        <w:rPr>
          <w:sz w:val="20"/>
          <w:szCs w:val="20"/>
        </w:rPr>
        <w:t xml:space="preserve"> </w:t>
      </w:r>
      <w:r>
        <w:rPr>
          <w:sz w:val="20"/>
          <w:szCs w:val="20"/>
        </w:rPr>
        <w:t>Brady, Bernadette – Living with Fate: The Lifestyle of Contemporary Astrologers, Journal for the Study of Religion, Nature and Culture, 2019-01, Volume 13.</w:t>
      </w:r>
    </w:p>
  </w:footnote>
  <w:footnote w:id="29">
    <w:p>
      <w:pPr>
        <w:pStyle w:val="FootnoteText"/>
        <w:bidi w:val="0"/>
        <w:jc w:val="start"/>
        <w:rPr/>
      </w:pPr>
      <w:r>
        <w:rPr>
          <w:rStyle w:val="FootnoteCharacters"/>
        </w:rPr>
        <w:footnoteRef/>
      </w:r>
      <w:r>
        <w:rPr/>
        <w:tab/>
        <w:t>Brady, ibid. p.38</w:t>
      </w:r>
    </w:p>
  </w:footnote>
  <w:footnote w:id="30">
    <w:p>
      <w:pPr>
        <w:pStyle w:val="Normal"/>
        <w:bidi w:val="0"/>
        <w:jc w:val="start"/>
        <w:rPr>
          <w:sz w:val="20"/>
          <w:szCs w:val="20"/>
        </w:rPr>
      </w:pPr>
      <w:r>
        <w:rPr>
          <w:rStyle w:val="FootnoteCharacters"/>
        </w:rPr>
        <w:footnoteRef/>
      </w:r>
      <w:r>
        <w:rPr>
          <w:sz w:val="20"/>
          <w:szCs w:val="20"/>
        </w:rPr>
        <w:t xml:space="preserve">Campion, Nicholas – </w:t>
      </w:r>
      <w:r>
        <w:rPr>
          <w:i/>
          <w:iCs/>
          <w:sz w:val="20"/>
          <w:szCs w:val="20"/>
        </w:rPr>
        <w:t>Astrology and Cosmology in the World’s Religions,</w:t>
      </w:r>
      <w:r>
        <w:rPr>
          <w:sz w:val="20"/>
          <w:szCs w:val="20"/>
        </w:rPr>
        <w:t xml:space="preserve"> New York, New York University Press, 2012, </w:t>
      </w:r>
      <w:r>
        <w:rPr>
          <w:sz w:val="20"/>
          <w:szCs w:val="20"/>
        </w:rPr>
        <w:t>p. 120</w:t>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bidi w:val="0"/>
      <w:jc w:val="end"/>
      <w:rPr/>
    </w:pPr>
    <w:bookmarkStart w:id="12" w:name="PageNumWizard_HEADER_Default_Page_Style1"/>
    <w:r>
      <w:rPr/>
      <w:fldChar w:fldCharType="begin"/>
    </w:r>
    <w:r>
      <w:rPr/>
      <w:instrText xml:space="preserve"> PAGE </w:instrText>
    </w:r>
    <w:r>
      <w:rPr/>
      <w:fldChar w:fldCharType="separate"/>
    </w:r>
    <w:r>
      <w:rPr/>
      <w:t>9</w:t>
    </w:r>
    <w:r>
      <w:rPr/>
      <w:fldChar w:fldCharType="end"/>
    </w:r>
    <w:bookmarkEnd w:id="12"/>
  </w:p>
  <w:p>
    <w:pPr>
      <w:pStyle w:val="Header"/>
      <w:bidi w:val="0"/>
      <w:jc w:val="start"/>
      <w:rPr/>
    </w:pPr>
    <w:r>
      <w:rPr/>
      <w:t>Doris Maat 2322109</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pStyle w:val="Heading3"/>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bering>
</file>

<file path=word/settings.xml><?xml version="1.0" encoding="utf-8"?>
<w:settings xmlns:w="http://schemas.openxmlformats.org/wordprocessingml/2006/main">
  <w:zoom w:percent="100"/>
  <w:defaultTabStop w:val="709"/>
  <w:autoHyphenation w:val="true"/>
  <w:hyphenationZone w:val="0"/>
  <w:footnotePr>
    <w:numFmt w:val="decimal"/>
    <w:footnote w:id="0"/>
    <w:footnote w:id="1"/>
  </w:footnotePr>
  <w:compat>
    <w:compatSetting w:name="compatibilityMode" w:uri="http://schemas.microsoft.com/office/word" w:val="15"/>
    <w:compatSetting w:name="useWord2013TrackBottomHyphenation" w:uri="http://schemas.microsoft.com/office/word" w:val="1"/>
    <w:compatSetting w:name="allowHyphenationAtTrackBottom" w:uri="http://schemas.microsoft.com/office/word" w:val="1"/>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kern w:val="2"/>
        <w:sz w:val="24"/>
        <w:szCs w:val="24"/>
        <w:lang w:val="en-US" w:eastAsia="zh-CN" w:bidi="hi-IN"/>
      </w:rPr>
    </w:rPrDefault>
    <w:pPrDefault>
      <w:pPr>
        <w:widowControl/>
        <w:suppressAutoHyphens w:val="true"/>
      </w:pPr>
    </w:pPrDefault>
  </w:docDefaults>
  <w:style w:type="paragraph" w:styleId="Normal">
    <w:name w:val="Normal"/>
    <w:qFormat/>
    <w:pPr>
      <w:widowControl/>
      <w:bidi w:val="0"/>
    </w:pPr>
    <w:rPr>
      <w:rFonts w:ascii="Liberation Serif" w:hAnsi="Liberation Serif" w:eastAsia="NSimSun" w:cs="Lucida Sans"/>
      <w:color w:val="auto"/>
      <w:kern w:val="2"/>
      <w:sz w:val="24"/>
      <w:szCs w:val="24"/>
      <w:lang w:val="en-US" w:eastAsia="zh-CN" w:bidi="hi-IN"/>
    </w:rPr>
  </w:style>
  <w:style w:type="paragraph" w:styleId="Heading3">
    <w:name w:val="heading 3"/>
    <w:basedOn w:val="Normal"/>
    <w:next w:val="BodyText"/>
    <w:qFormat/>
    <w:pPr>
      <w:keepNext w:val="true"/>
      <w:numPr>
        <w:ilvl w:val="2"/>
        <w:numId w:val="1"/>
      </w:numPr>
      <w:ind w:hanging="0" w:start="720" w:end="0"/>
      <w:jc w:val="both"/>
      <w:outlineLvl w:val="2"/>
    </w:pPr>
    <w:rPr>
      <w:rFonts w:ascii="Tahoma" w:hAnsi="Tahoma" w:cs="Tahoma"/>
      <w:b/>
      <w:bCs/>
      <w:sz w:val="20"/>
      <w:szCs w:val="20"/>
    </w:rPr>
  </w:style>
  <w:style w:type="character" w:styleId="FootnoteCharacters">
    <w:name w:val="Footnote Characters"/>
    <w:qFormat/>
    <w:rPr/>
  </w:style>
  <w:style w:type="character" w:styleId="FootnoteReference">
    <w:name w:val="footnote reference"/>
    <w:rPr>
      <w:vertAlign w:val="superscript"/>
    </w:rPr>
  </w:style>
  <w:style w:type="character" w:styleId="EndnoteReference">
    <w:name w:val="endnote reference"/>
    <w:rPr>
      <w:vertAlign w:val="superscript"/>
    </w:rPr>
  </w:style>
  <w:style w:type="character" w:styleId="EndnoteCharacters">
    <w:name w:val="Endnote Characters"/>
    <w:qFormat/>
    <w:rPr/>
  </w:style>
  <w:style w:type="character" w:styleId="Hyperlink">
    <w:name w:val="Hyperlink"/>
    <w:rPr>
      <w:color w:val="000080"/>
      <w:u w:val="single"/>
    </w:rPr>
  </w:style>
  <w:style w:type="character" w:styleId="FollowedHyperlink">
    <w:name w:val="FollowedHyperlink"/>
    <w:rPr>
      <w:color w:val="800000"/>
      <w:u w:val="single"/>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HeaderandFooter">
    <w:name w:val="Header and Footer"/>
    <w:basedOn w:val="Normal"/>
    <w:qFormat/>
    <w:pPr>
      <w:suppressLineNumbers/>
      <w:tabs>
        <w:tab w:val="clear" w:pos="709"/>
        <w:tab w:val="center" w:pos="4986" w:leader="none"/>
        <w:tab w:val="right" w:pos="9972" w:leader="none"/>
      </w:tabs>
    </w:pPr>
    <w:rPr/>
  </w:style>
  <w:style w:type="paragraph" w:styleId="Header">
    <w:name w:val="header"/>
    <w:basedOn w:val="HeaderandFooter"/>
    <w:pPr>
      <w:suppressLineNumbers/>
    </w:pPr>
    <w:rPr/>
  </w:style>
  <w:style w:type="paragraph" w:styleId="NormalWeb">
    <w:name w:val="Normal (Web)"/>
    <w:basedOn w:val="Normal"/>
    <w:qFormat/>
    <w:pPr>
      <w:spacing w:before="280" w:after="280"/>
    </w:pPr>
    <w:rPr>
      <w:rFonts w:ascii="Georgia" w:hAnsi="Georgia" w:cs="Georgia"/>
      <w:color w:val="000000"/>
      <w:sz w:val="21"/>
      <w:szCs w:val="21"/>
    </w:rPr>
  </w:style>
  <w:style w:type="paragraph" w:styleId="FootnoteText">
    <w:name w:val="footnote text"/>
    <w:basedOn w:val="Normal"/>
    <w:pPr>
      <w:suppressLineNumbers/>
      <w:ind w:hanging="340" w:start="340"/>
    </w:pPr>
    <w:rPr>
      <w:sz w:val="20"/>
      <w:szCs w:val="20"/>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eader" Target="header1.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
</Relationships>
</file>

<file path=word/_rels/footnotes.xml.rels><?xml version="1.0" encoding="UTF-8"?>
<Relationships xmlns="http://schemas.openxmlformats.org/package/2006/relationships"><Relationship Id="rId1" Type="http://schemas.openxmlformats.org/officeDocument/2006/relationships/hyperlink" Target="https://www.jungiananalysts.org.uk/member/liz-greene/" TargetMode="External"/><Relationship Id="rId2" Type="http://schemas.openxmlformats.org/officeDocument/2006/relationships/hyperlink" Target="https://cpalondon.com/liz/" TargetMode="Externa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80</TotalTime>
  <Application>LibreOffice/24.8.3.2$Windows_X86_64 LibreOffice_project/48a6bac9e7e268aeb4c3483fcf825c94556d9f92</Application>
  <AppVersion>15.0000</AppVersion>
  <Pages>9</Pages>
  <Words>3669</Words>
  <Characters>19094</Characters>
  <CharactersWithSpaces>22806</CharactersWithSpaces>
  <Paragraphs>122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2025-01-05T12:14:51Z</dcterms:created>
  <dc:creator/>
  <dc:description/>
  <dc:language>en-US</dc:language>
  <cp:lastModifiedBy/>
  <dcterms:modified xsi:type="dcterms:W3CDTF">2025-01-06T18:47:36Z</dcterms:modified>
  <cp:revision>17</cp:revision>
  <dc:subject/>
  <dc:title/>
</cp:coreProperties>
</file>