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43BED6D9"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3F7BAA">
              <w:rPr>
                <w:rFonts w:ascii="Times New Roman" w:hAnsi="Times New Roman" w:cs="Times New Roman"/>
                <w:b/>
                <w:color w:val="auto"/>
                <w:sz w:val="48"/>
              </w:rPr>
              <w:t>Miranda Goldsack</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402A6CB2"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5B24CE">
              <w:rPr>
                <w:rFonts w:ascii="Times New Roman" w:hAnsi="Times New Roman" w:cs="Times New Roman"/>
                <w:b/>
                <w:color w:val="auto"/>
                <w:sz w:val="48"/>
              </w:rPr>
              <w:t xml:space="preserve"> </w:t>
            </w:r>
            <w:hyperlink r:id="rId11" w:history="1">
              <w:r w:rsidR="005B24CE" w:rsidRPr="00083858">
                <w:rPr>
                  <w:rStyle w:val="Hyperlink"/>
                  <w:rFonts w:ascii="Times New Roman" w:hAnsi="Times New Roman" w:cs="Times New Roman"/>
                  <w:b/>
                  <w:sz w:val="48"/>
                </w:rPr>
                <w:t>goldsack-miranda@hotmail.co.uk</w:t>
              </w:r>
            </w:hyperlink>
            <w:r w:rsidR="005B24CE">
              <w:rPr>
                <w:rFonts w:ascii="Times New Roman" w:hAnsi="Times New Roman" w:cs="Times New Roman"/>
                <w:b/>
                <w:color w:val="auto"/>
                <w:sz w:val="48"/>
              </w:rPr>
              <w:t xml:space="preserve"> </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3698BE28" w14:textId="77777777" w:rsidR="005B24CE" w:rsidRPr="005D3F07" w:rsidRDefault="005B24CE" w:rsidP="005B24CE">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1901519</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proofErr w:type="gramStart"/>
      <w:r>
        <w:rPr>
          <w:b/>
          <w:color w:val="auto"/>
          <w:sz w:val="24"/>
          <w:szCs w:val="24"/>
        </w:rPr>
        <w:t>Guidance</w:t>
      </w:r>
      <w:r w:rsidR="00084DA6">
        <w:rPr>
          <w:b/>
          <w:color w:val="auto"/>
          <w:sz w:val="24"/>
          <w:szCs w:val="24"/>
        </w:rPr>
        <w:t>;</w:t>
      </w:r>
      <w:proofErr w:type="gramEnd"/>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DD47150" w14:textId="77777777" w:rsidR="003F7BAA" w:rsidRPr="003F7BAA" w:rsidRDefault="003F7BAA" w:rsidP="003F7BAA">
            <w:pPr>
              <w:jc w:val="both"/>
              <w:rPr>
                <w:sz w:val="24"/>
                <w:szCs w:val="24"/>
              </w:rPr>
            </w:pPr>
            <w:r w:rsidRPr="003F7BAA">
              <w:rPr>
                <w:sz w:val="24"/>
                <w:szCs w:val="24"/>
              </w:rPr>
              <w:t>I was allocated 14-year-old child 1 (C1) to undertake a child and family assessment due to missing and found notifications from police and C1’s use of class A drug ecstasy. Prior to conducting this assessment, I searched for previous social work (SW) involvement with the family, where I read over a chronology of past significant events. I also updated this chronology with recent information to support me to identify themes and to plan the best way to approach the family and the current situation (Parker, 2021).</w:t>
            </w:r>
          </w:p>
          <w:p w14:paraId="4A0BE4E0" w14:textId="77777777" w:rsidR="003F7BAA" w:rsidRPr="003F7BAA" w:rsidRDefault="003F7BAA" w:rsidP="003F7BAA">
            <w:pPr>
              <w:jc w:val="both"/>
              <w:rPr>
                <w:sz w:val="24"/>
                <w:szCs w:val="24"/>
              </w:rPr>
            </w:pPr>
          </w:p>
          <w:p w14:paraId="455844E9" w14:textId="77777777" w:rsidR="003F7BAA" w:rsidRPr="003F7BAA" w:rsidRDefault="003F7BAA" w:rsidP="003F7BAA">
            <w:pPr>
              <w:jc w:val="both"/>
              <w:rPr>
                <w:sz w:val="24"/>
                <w:szCs w:val="24"/>
              </w:rPr>
            </w:pPr>
            <w:r w:rsidRPr="003F7BAA">
              <w:rPr>
                <w:sz w:val="24"/>
                <w:szCs w:val="24"/>
              </w:rPr>
              <w:t xml:space="preserve">It was identified by analysing the chronology that C1’s mother Adult 1 (A1) had been known to social services in the past due to domestic violent relationships with two different partners which may have caused much Adverse Childhood Experiences (ACE’s) for C1. Considering this, it was felt that C1’s ACE’s may have caused escalation in behaviours and recent use of ecstasy as research links ACE’s and substance use in adolescents (Afifi et al, 2020). </w:t>
            </w:r>
          </w:p>
          <w:p w14:paraId="665868D2" w14:textId="77777777" w:rsidR="003F7BAA" w:rsidRPr="003F7BAA" w:rsidRDefault="003F7BAA" w:rsidP="003F7BAA">
            <w:pPr>
              <w:jc w:val="both"/>
              <w:rPr>
                <w:sz w:val="24"/>
                <w:szCs w:val="24"/>
              </w:rPr>
            </w:pPr>
          </w:p>
          <w:p w14:paraId="68BA39BF" w14:textId="77777777" w:rsidR="003F7BAA" w:rsidRPr="003F7BAA" w:rsidRDefault="003F7BAA" w:rsidP="003F7BAA">
            <w:pPr>
              <w:jc w:val="both"/>
              <w:rPr>
                <w:sz w:val="24"/>
                <w:szCs w:val="24"/>
              </w:rPr>
            </w:pPr>
            <w:r w:rsidRPr="003F7BAA">
              <w:rPr>
                <w:sz w:val="24"/>
                <w:szCs w:val="24"/>
              </w:rPr>
              <w:t xml:space="preserve">However, the last domestic incident was reported three years ago so, it was of importance to discover what had changed in C1’s life by exploring with C1 about her current situation holistically. This would offer an opportunity for C1 to be understood as a whole person by considering her physical, social, emotional, intellectual, and spiritual development (Ruch, 2005). It was felt that this would also work well with Bronfenbrenner’s ecological systems theory 1979, to look at external and internal systems which is positively and negatively impacting C1’s life course trajectory (Shelton, 2018). </w:t>
            </w:r>
          </w:p>
          <w:p w14:paraId="4B463F16" w14:textId="77777777" w:rsidR="003F7BAA" w:rsidRPr="003F7BAA" w:rsidRDefault="003F7BAA" w:rsidP="003F7BAA">
            <w:pPr>
              <w:jc w:val="both"/>
              <w:rPr>
                <w:sz w:val="24"/>
                <w:szCs w:val="24"/>
              </w:rPr>
            </w:pPr>
          </w:p>
          <w:p w14:paraId="60EEFBA4" w14:textId="77777777" w:rsidR="003F7BAA" w:rsidRPr="003F7BAA" w:rsidRDefault="003F7BAA" w:rsidP="003F7BAA">
            <w:pPr>
              <w:jc w:val="both"/>
              <w:rPr>
                <w:sz w:val="24"/>
                <w:szCs w:val="24"/>
              </w:rPr>
            </w:pPr>
            <w:r w:rsidRPr="003F7BAA">
              <w:rPr>
                <w:sz w:val="24"/>
                <w:szCs w:val="24"/>
              </w:rPr>
              <w:t xml:space="preserve">Upon discussing this case with a senior practitioner within the team it was identified that C1’s name has been affiliated with other vulnerable young people in the local area. This highlights the importance of communicating with other professionals even within the same organisation </w:t>
            </w:r>
            <w:r w:rsidRPr="003F7BAA">
              <w:rPr>
                <w:sz w:val="24"/>
                <w:szCs w:val="24"/>
              </w:rPr>
              <w:lastRenderedPageBreak/>
              <w:t>as it can provide further information which will help identify the individuals needs and best intervention.</w:t>
            </w:r>
          </w:p>
          <w:p w14:paraId="4B38BBD0" w14:textId="77777777" w:rsidR="003F7BAA" w:rsidRPr="003F7BAA" w:rsidRDefault="003F7BAA" w:rsidP="003F7BAA">
            <w:pPr>
              <w:jc w:val="both"/>
              <w:rPr>
                <w:sz w:val="24"/>
                <w:szCs w:val="24"/>
              </w:rPr>
            </w:pPr>
          </w:p>
          <w:p w14:paraId="5A89F05B" w14:textId="77777777" w:rsidR="003F7BAA" w:rsidRPr="003F7BAA" w:rsidRDefault="003F7BAA" w:rsidP="003F7BAA">
            <w:pPr>
              <w:jc w:val="both"/>
              <w:rPr>
                <w:sz w:val="24"/>
                <w:szCs w:val="24"/>
              </w:rPr>
            </w:pPr>
            <w:r w:rsidRPr="003F7BAA">
              <w:rPr>
                <w:sz w:val="24"/>
                <w:szCs w:val="24"/>
              </w:rPr>
              <w:t xml:space="preserve">We spoke about the lack of resources in rural Wales to keep these young people out of trouble such as substance use due to rurality and funding. It is felt that due to these deficits, it is causing issues around facilitating prevention and early intervention one of the Social Services and Wellbeing (Wales) (SSWWA) Act 2014’s fundamental principles. It was felt that if there had been more facilities such as youth clubs it could have prevented C1 and her peers from dabbling in drugs. </w:t>
            </w:r>
          </w:p>
          <w:p w14:paraId="78D6AC12" w14:textId="77777777" w:rsidR="003F7BAA" w:rsidRPr="003F7BAA" w:rsidRDefault="003F7BAA" w:rsidP="003F7BAA">
            <w:pPr>
              <w:jc w:val="both"/>
              <w:rPr>
                <w:sz w:val="24"/>
                <w:szCs w:val="24"/>
              </w:rPr>
            </w:pPr>
          </w:p>
          <w:p w14:paraId="5E9426A6" w14:textId="77777777" w:rsidR="003F7BAA" w:rsidRPr="003F7BAA" w:rsidRDefault="003F7BAA" w:rsidP="003F7BAA">
            <w:pPr>
              <w:jc w:val="both"/>
              <w:rPr>
                <w:sz w:val="24"/>
                <w:szCs w:val="24"/>
              </w:rPr>
            </w:pPr>
            <w:r w:rsidRPr="003F7BAA">
              <w:rPr>
                <w:sz w:val="24"/>
                <w:szCs w:val="24"/>
              </w:rPr>
              <w:t xml:space="preserve">However, since Brexit the European Regional Development and European Social Funds has now been replaced by the United Kingdom (UK) Shared Prosperity Fund (UKSPF). It has resulted in rural Welsh communities being £243 million worse off since leaving the European Union (Evans, 2022). Yet, since Covid19 and the rise in costs this may have increased. </w:t>
            </w:r>
          </w:p>
          <w:p w14:paraId="749B8EBC" w14:textId="77777777" w:rsidR="003F7BAA" w:rsidRPr="003F7BAA" w:rsidRDefault="003F7BAA" w:rsidP="003F7BAA">
            <w:pPr>
              <w:jc w:val="both"/>
              <w:rPr>
                <w:sz w:val="24"/>
                <w:szCs w:val="24"/>
              </w:rPr>
            </w:pPr>
          </w:p>
          <w:p w14:paraId="0EBFB9BC" w14:textId="77777777" w:rsidR="003F7BAA" w:rsidRPr="003F7BAA" w:rsidRDefault="003F7BAA" w:rsidP="003F7BAA">
            <w:pPr>
              <w:jc w:val="both"/>
              <w:rPr>
                <w:sz w:val="24"/>
                <w:szCs w:val="24"/>
              </w:rPr>
            </w:pPr>
            <w:r w:rsidRPr="003F7BAA">
              <w:rPr>
                <w:sz w:val="24"/>
                <w:szCs w:val="24"/>
              </w:rPr>
              <w:t xml:space="preserve">The children’s commissioner annual report states that tackling poverty and inequality will remain central drivers in the development of policies and programmes across government (Drakeford and Hut, 2023). This has filtered down to local Corporate Strategies 2022-2027 to boost economy in the local area which will support the growth and access to resources which will help families like C1 in the future (Local Authority X, 2024). </w:t>
            </w:r>
          </w:p>
          <w:p w14:paraId="6C452973" w14:textId="77777777" w:rsidR="003F7BAA" w:rsidRPr="003F7BAA" w:rsidRDefault="003F7BAA" w:rsidP="003F7BAA">
            <w:pPr>
              <w:jc w:val="both"/>
              <w:rPr>
                <w:sz w:val="24"/>
                <w:szCs w:val="24"/>
              </w:rPr>
            </w:pPr>
          </w:p>
          <w:p w14:paraId="34541DE9" w14:textId="77777777" w:rsidR="003F7BAA" w:rsidRPr="003F7BAA" w:rsidRDefault="003F7BAA" w:rsidP="003F7BAA">
            <w:pPr>
              <w:jc w:val="both"/>
              <w:rPr>
                <w:sz w:val="24"/>
                <w:szCs w:val="24"/>
              </w:rPr>
            </w:pPr>
            <w:r w:rsidRPr="003F7BAA">
              <w:rPr>
                <w:sz w:val="24"/>
                <w:szCs w:val="24"/>
              </w:rPr>
              <w:t xml:space="preserve">Nevertheless, due to lack of funding currently available it highlights that C1’s Macro systems such as political systems are having an oppressive impact on C1’s life. Therefore, this would need to be reflected when working with C1 and her family to manage expectations when C1’s needs had been identified due to lack of resources (Watson and West, 2006). Considering this it would also prove difficult to truly facilitate some legislation for example the Well-being of Future Generations (Wales) Act 2015, such as resilience and equality as many areas of Wales are still disadvantaged due to geographics. </w:t>
            </w:r>
          </w:p>
          <w:p w14:paraId="1A0C344F" w14:textId="77777777" w:rsidR="003F7BAA" w:rsidRPr="003F7BAA" w:rsidRDefault="003F7BAA" w:rsidP="003F7BAA">
            <w:pPr>
              <w:jc w:val="both"/>
              <w:rPr>
                <w:sz w:val="24"/>
                <w:szCs w:val="24"/>
              </w:rPr>
            </w:pPr>
          </w:p>
          <w:p w14:paraId="613F8B2C" w14:textId="77777777" w:rsidR="003F7BAA" w:rsidRPr="003F7BAA" w:rsidRDefault="003F7BAA" w:rsidP="003F7BAA">
            <w:pPr>
              <w:jc w:val="both"/>
              <w:rPr>
                <w:sz w:val="24"/>
                <w:szCs w:val="24"/>
              </w:rPr>
            </w:pPr>
            <w:r w:rsidRPr="003F7BAA">
              <w:rPr>
                <w:sz w:val="24"/>
                <w:szCs w:val="24"/>
              </w:rPr>
              <w:t>To identify C1’s needs it was felt that using a narrative approach would allow C1 and A1 to express their wishes and feelings of their own circumstances in a semi structured manner (Healy, 2014). This offered the family an opportunity for a person-centred approach following the code of professional practice (Social Care Wales, 2017). However, it also supported inquiries to focus on the main risks and concerns regarding C1 due to the referral’s received from police and safeguard C1 from harm, as A1 tended to drift off in conversation (Smith, 2019).</w:t>
            </w:r>
          </w:p>
          <w:p w14:paraId="5DCAF3F8" w14:textId="77777777" w:rsidR="003F7BAA" w:rsidRPr="003F7BAA" w:rsidRDefault="003F7BAA" w:rsidP="003F7BAA">
            <w:pPr>
              <w:jc w:val="both"/>
              <w:rPr>
                <w:sz w:val="24"/>
                <w:szCs w:val="24"/>
              </w:rPr>
            </w:pPr>
          </w:p>
          <w:p w14:paraId="4DFE5AE4" w14:textId="77777777" w:rsidR="003F7BAA" w:rsidRPr="003F7BAA" w:rsidRDefault="003F7BAA" w:rsidP="003F7BAA">
            <w:pPr>
              <w:jc w:val="both"/>
              <w:rPr>
                <w:sz w:val="24"/>
                <w:szCs w:val="24"/>
              </w:rPr>
            </w:pPr>
            <w:r w:rsidRPr="003F7BAA">
              <w:rPr>
                <w:sz w:val="24"/>
                <w:szCs w:val="24"/>
              </w:rPr>
              <w:t xml:space="preserve">Both A1 and C1 identify as white British where an offer to undertake the assessment in the medium of Welsh or another language was provided following the Welsh Language Measure 2011. Fortunately, this was declined as both family members first language is English as is mine, and no cultural needs where identified (Banks, 2012). Nevertheless, had the family required the assessment to be undertaken in Welsh this would have been facilitated by another team member. </w:t>
            </w:r>
          </w:p>
          <w:p w14:paraId="31F1C8F3" w14:textId="77777777" w:rsidR="003F7BAA" w:rsidRPr="003F7BAA" w:rsidRDefault="003F7BAA" w:rsidP="003F7BAA">
            <w:pPr>
              <w:jc w:val="both"/>
              <w:rPr>
                <w:sz w:val="24"/>
                <w:szCs w:val="24"/>
              </w:rPr>
            </w:pPr>
          </w:p>
          <w:p w14:paraId="23B6F03D" w14:textId="77777777" w:rsidR="003F7BAA" w:rsidRPr="003F7BAA" w:rsidRDefault="003F7BAA" w:rsidP="003F7BAA">
            <w:pPr>
              <w:jc w:val="both"/>
              <w:rPr>
                <w:sz w:val="24"/>
                <w:szCs w:val="24"/>
              </w:rPr>
            </w:pPr>
            <w:r w:rsidRPr="003F7BAA">
              <w:rPr>
                <w:sz w:val="24"/>
                <w:szCs w:val="24"/>
              </w:rPr>
              <w:t xml:space="preserve">Yet, this could have caused issues with time scaling due to lack of Welsh speaking social workers available, as in 2022, only 29% of social care workforce reported that they understand </w:t>
            </w:r>
            <w:r w:rsidRPr="003F7BAA">
              <w:rPr>
                <w:sz w:val="24"/>
                <w:szCs w:val="24"/>
              </w:rPr>
              <w:lastRenderedPageBreak/>
              <w:t xml:space="preserve">Welsh to some sort of degree (Social Care Wales, 2022). Had the assessment been postponed due to language barriers this could result in concerns escalating and putting a child at risk, failing to provide early intervention SSWWA 2014. </w:t>
            </w:r>
          </w:p>
          <w:p w14:paraId="3C2B2575" w14:textId="77777777" w:rsidR="003F7BAA" w:rsidRPr="003F7BAA" w:rsidRDefault="003F7BAA" w:rsidP="003F7BAA">
            <w:pPr>
              <w:jc w:val="both"/>
              <w:rPr>
                <w:sz w:val="24"/>
                <w:szCs w:val="24"/>
              </w:rPr>
            </w:pPr>
          </w:p>
          <w:p w14:paraId="5E48D66A" w14:textId="77777777" w:rsidR="003F7BAA" w:rsidRPr="003F7BAA" w:rsidRDefault="003F7BAA" w:rsidP="003F7BAA">
            <w:pPr>
              <w:jc w:val="both"/>
              <w:rPr>
                <w:sz w:val="24"/>
                <w:szCs w:val="24"/>
              </w:rPr>
            </w:pPr>
            <w:r w:rsidRPr="003F7BAA">
              <w:rPr>
                <w:sz w:val="24"/>
                <w:szCs w:val="24"/>
              </w:rPr>
              <w:t xml:space="preserve">Nevertheless, failing to provide communication in a individuals preferred language can also have a detrimental impact. Reflecting on Victoria </w:t>
            </w:r>
            <w:proofErr w:type="spellStart"/>
            <w:r w:rsidRPr="003F7BAA">
              <w:rPr>
                <w:sz w:val="24"/>
                <w:szCs w:val="24"/>
              </w:rPr>
              <w:t>Climbre</w:t>
            </w:r>
            <w:proofErr w:type="spellEnd"/>
            <w:r w:rsidRPr="003F7BAA">
              <w:rPr>
                <w:sz w:val="24"/>
                <w:szCs w:val="24"/>
              </w:rPr>
              <w:t xml:space="preserve"> has taught social work the importance of this as they were not offered an interpreter despite her first language being French which could have provided a different outcome for Victoria and safeguarded her from harm (Cleaver, Cawson, Gorin, &amp; Walker, 2009).</w:t>
            </w:r>
          </w:p>
          <w:p w14:paraId="2B568357" w14:textId="77777777" w:rsidR="003F7BAA" w:rsidRPr="003F7BAA" w:rsidRDefault="003F7BAA" w:rsidP="003F7BAA">
            <w:pPr>
              <w:jc w:val="both"/>
              <w:rPr>
                <w:sz w:val="24"/>
                <w:szCs w:val="24"/>
              </w:rPr>
            </w:pPr>
          </w:p>
          <w:p w14:paraId="30F96A7C" w14:textId="77777777" w:rsidR="003F7BAA" w:rsidRPr="003F7BAA" w:rsidRDefault="003F7BAA" w:rsidP="003F7BAA">
            <w:pPr>
              <w:jc w:val="both"/>
              <w:rPr>
                <w:sz w:val="24"/>
                <w:szCs w:val="24"/>
              </w:rPr>
            </w:pPr>
            <w:r w:rsidRPr="003F7BAA">
              <w:rPr>
                <w:sz w:val="24"/>
                <w:szCs w:val="24"/>
              </w:rPr>
              <w:t xml:space="preserve">Therefore, it is felt that it would be beneficial to develop my Welsh skills as this would not only support timescales and the Welsh Government's Strategic Framework more than Just words but to also help safeguard individuals better by communicating with individuals and professionals in their first language. This will help support co-production and reduce risks of losing valuable information through translation while adhering to legislation. Yet, as the family’s first language is English it permitted me to undertake this assessment and explain to the family my role and remit. </w:t>
            </w:r>
          </w:p>
          <w:p w14:paraId="6B76F4A1" w14:textId="77777777" w:rsidR="003F7BAA" w:rsidRPr="003F7BAA" w:rsidRDefault="003F7BAA" w:rsidP="003F7BAA">
            <w:pPr>
              <w:jc w:val="both"/>
              <w:rPr>
                <w:sz w:val="24"/>
                <w:szCs w:val="24"/>
              </w:rPr>
            </w:pPr>
          </w:p>
          <w:p w14:paraId="4D93BFAB" w14:textId="77777777" w:rsidR="003F7BAA" w:rsidRPr="003F7BAA" w:rsidRDefault="003F7BAA" w:rsidP="003F7BAA">
            <w:pPr>
              <w:jc w:val="both"/>
              <w:rPr>
                <w:sz w:val="24"/>
                <w:szCs w:val="24"/>
              </w:rPr>
            </w:pPr>
            <w:r w:rsidRPr="003F7BAA">
              <w:rPr>
                <w:sz w:val="24"/>
                <w:szCs w:val="24"/>
              </w:rPr>
              <w:t xml:space="preserve">Upon speaking to C1 independently it was discovered that there were many arguments between C1 and her mother which had led to C1 leaving the home and being reported missing. Much of these verbal altercations were witnessed by C1’s younger half-sister, five your old Child 2 (C2) which raised concerns in relation to C2’s physical and emotional wellbeing from witnessing these altercations. (National Society for the Prevention of Cruelty to Children (NSPCC), 2014). Therefore, this was discussed with my manager and transparently with A1 in relation to these concerns where it was agreed that C2 was also open for assessment. </w:t>
            </w:r>
          </w:p>
          <w:p w14:paraId="382CF4A3" w14:textId="77777777" w:rsidR="003F7BAA" w:rsidRPr="003F7BAA" w:rsidRDefault="003F7BAA" w:rsidP="003F7BAA">
            <w:pPr>
              <w:jc w:val="both"/>
              <w:rPr>
                <w:sz w:val="24"/>
                <w:szCs w:val="24"/>
              </w:rPr>
            </w:pPr>
          </w:p>
          <w:p w14:paraId="2FB1F22C" w14:textId="77777777" w:rsidR="003F7BAA" w:rsidRPr="003F7BAA" w:rsidRDefault="003F7BAA" w:rsidP="003F7BAA">
            <w:pPr>
              <w:jc w:val="both"/>
              <w:rPr>
                <w:sz w:val="24"/>
                <w:szCs w:val="24"/>
              </w:rPr>
            </w:pPr>
            <w:r w:rsidRPr="003F7BAA">
              <w:rPr>
                <w:sz w:val="24"/>
                <w:szCs w:val="24"/>
              </w:rPr>
              <w:t xml:space="preserve">It was communicated with A1 about speaking to other professionals such as education and health to help inform the assessment and identify any support to keep C1 and C2 safe where consent was gained from A1 following the Data protection Act 2018. However, had this case not been a voluntary assessment these inquiries could have been made without A1’s consent which may have cause conflict and barriers. </w:t>
            </w:r>
          </w:p>
          <w:p w14:paraId="58A45D78" w14:textId="77777777" w:rsidR="003F7BAA" w:rsidRPr="003F7BAA" w:rsidRDefault="003F7BAA" w:rsidP="003F7BAA">
            <w:pPr>
              <w:jc w:val="both"/>
              <w:rPr>
                <w:sz w:val="24"/>
                <w:szCs w:val="24"/>
              </w:rPr>
            </w:pPr>
          </w:p>
          <w:p w14:paraId="34A2BC7B" w14:textId="77777777" w:rsidR="003F7BAA" w:rsidRPr="003F7BAA" w:rsidRDefault="003F7BAA" w:rsidP="003F7BAA">
            <w:pPr>
              <w:jc w:val="both"/>
              <w:rPr>
                <w:sz w:val="24"/>
                <w:szCs w:val="24"/>
              </w:rPr>
            </w:pPr>
            <w:r w:rsidRPr="003F7BAA">
              <w:rPr>
                <w:sz w:val="24"/>
                <w:szCs w:val="24"/>
              </w:rPr>
              <w:t xml:space="preserve">When speaking to C1, C1 disclosed that much of these arguments were due to her mother’s Polish boyfriend Adult 2 (A2) who C1 claimed would often bully her when her mother was out of the home, which highlights issues in C1’s micro systems. However, upon speaking to A1 in relation to these allegations A1 alleged that she was not in a relationship with A2 and that they were simply business partners. Therefore, a concise contract of expectations was devised in partnership with A1 in relation to A2 visiting the home to reduce risk of harm to C1 (Thompson, 2002). </w:t>
            </w:r>
          </w:p>
          <w:p w14:paraId="62258622" w14:textId="77777777" w:rsidR="003F7BAA" w:rsidRPr="003F7BAA" w:rsidRDefault="003F7BAA" w:rsidP="003F7BAA">
            <w:pPr>
              <w:jc w:val="both"/>
              <w:rPr>
                <w:sz w:val="24"/>
                <w:szCs w:val="24"/>
              </w:rPr>
            </w:pPr>
          </w:p>
          <w:p w14:paraId="5497C32E" w14:textId="77777777" w:rsidR="003F7BAA" w:rsidRPr="003F7BAA" w:rsidRDefault="003F7BAA" w:rsidP="003F7BAA">
            <w:pPr>
              <w:jc w:val="both"/>
              <w:rPr>
                <w:sz w:val="24"/>
                <w:szCs w:val="24"/>
              </w:rPr>
            </w:pPr>
            <w:r w:rsidRPr="003F7BAA">
              <w:rPr>
                <w:sz w:val="24"/>
                <w:szCs w:val="24"/>
              </w:rPr>
              <w:t xml:space="preserve">Although this was taking into consideration the best interests of C1 this was also oppressive to A1 as this was her home and she has the right to privacy under the united declaration of human rights, 1948. However, C1 also has the right to privacy in her own home and to be free from abuse and bad treatment of anyone else who looks after her and her sibling C2 following Article 16 and 19 of the UN Convention on the Rights of the Child (UNCRC), 1989. </w:t>
            </w:r>
          </w:p>
          <w:p w14:paraId="5D27AD13" w14:textId="77777777" w:rsidR="003F7BAA" w:rsidRPr="003F7BAA" w:rsidRDefault="003F7BAA" w:rsidP="003F7BAA">
            <w:pPr>
              <w:jc w:val="both"/>
              <w:rPr>
                <w:sz w:val="24"/>
                <w:szCs w:val="24"/>
              </w:rPr>
            </w:pPr>
          </w:p>
          <w:p w14:paraId="5627AB49" w14:textId="77777777" w:rsidR="003F7BAA" w:rsidRPr="003F7BAA" w:rsidRDefault="003F7BAA" w:rsidP="003F7BAA">
            <w:pPr>
              <w:jc w:val="both"/>
              <w:rPr>
                <w:sz w:val="24"/>
                <w:szCs w:val="24"/>
              </w:rPr>
            </w:pPr>
            <w:r w:rsidRPr="003F7BAA">
              <w:rPr>
                <w:sz w:val="24"/>
                <w:szCs w:val="24"/>
              </w:rPr>
              <w:lastRenderedPageBreak/>
              <w:t xml:space="preserve">Considering this, it was felt that undertaking this intervention would cause less harm to A1 than it would to C1 and C2 if safety measures were not put into place as safeguarding a child is paramount and takes president over adults (Carr and </w:t>
            </w:r>
            <w:proofErr w:type="spellStart"/>
            <w:r w:rsidRPr="003F7BAA">
              <w:rPr>
                <w:sz w:val="24"/>
                <w:szCs w:val="24"/>
              </w:rPr>
              <w:t>Goosey</w:t>
            </w:r>
            <w:proofErr w:type="spellEnd"/>
            <w:r w:rsidRPr="003F7BAA">
              <w:rPr>
                <w:sz w:val="24"/>
                <w:szCs w:val="24"/>
              </w:rPr>
              <w:t xml:space="preserve"> 2020). It was also felt that this would be the least restrictive method of intervention when providing support to improve the child’s outcomes to make them safe (Lindsay, 2013). </w:t>
            </w:r>
          </w:p>
          <w:p w14:paraId="4AE2F340" w14:textId="77777777" w:rsidR="003F7BAA" w:rsidRPr="003F7BAA" w:rsidRDefault="003F7BAA" w:rsidP="003F7BAA">
            <w:pPr>
              <w:jc w:val="both"/>
              <w:rPr>
                <w:sz w:val="24"/>
                <w:szCs w:val="24"/>
              </w:rPr>
            </w:pPr>
          </w:p>
          <w:p w14:paraId="7F9AAF05" w14:textId="77777777" w:rsidR="003F7BAA" w:rsidRPr="003F7BAA" w:rsidRDefault="003F7BAA" w:rsidP="003F7BAA">
            <w:pPr>
              <w:jc w:val="both"/>
              <w:rPr>
                <w:sz w:val="24"/>
                <w:szCs w:val="24"/>
              </w:rPr>
            </w:pPr>
            <w:r w:rsidRPr="003F7BAA">
              <w:rPr>
                <w:sz w:val="24"/>
                <w:szCs w:val="24"/>
              </w:rPr>
              <w:t xml:space="preserve">Prior to speaking to C2 independently, inquiries were made with other professionals such as education and health to identify any concerns or what is working well for the family following the SSWWA, 2014. Upon speaking to education, a multitude of concerns had been brought to their attention in relation to C1. However, many of these concerns had been raised by third party information from peers, which may not be factual and obscure the assessment based on others bias (Cheng and Lo, 2020). While working in collaboration is a means of enhancing the safety and wellbeing of individuals (Stanley, 2015), it is felt that information included within the assessment is reliable to make evidenced based professional judgments in complex situations. </w:t>
            </w:r>
          </w:p>
          <w:p w14:paraId="6C394BAC" w14:textId="77777777" w:rsidR="003F7BAA" w:rsidRPr="003F7BAA" w:rsidRDefault="003F7BAA" w:rsidP="003F7BAA">
            <w:pPr>
              <w:jc w:val="both"/>
              <w:rPr>
                <w:sz w:val="24"/>
                <w:szCs w:val="24"/>
              </w:rPr>
            </w:pPr>
          </w:p>
          <w:p w14:paraId="6D19053C" w14:textId="77777777" w:rsidR="003F7BAA" w:rsidRPr="003F7BAA" w:rsidRDefault="003F7BAA" w:rsidP="003F7BAA">
            <w:pPr>
              <w:jc w:val="both"/>
              <w:rPr>
                <w:sz w:val="24"/>
                <w:szCs w:val="24"/>
              </w:rPr>
            </w:pPr>
            <w:r w:rsidRPr="003F7BAA">
              <w:rPr>
                <w:sz w:val="24"/>
                <w:szCs w:val="24"/>
              </w:rPr>
              <w:t xml:space="preserve">It was felt that it was of high importance to keep in regular communication with other professionals involved with the family to reduce risks of information not being shared properly which has been one of the main reasons for past children’s deaths such as Victoria Climbié, Peter Connelly and Daniel Pelka (Cleaver, et al, 2009).  It was agreed with all professionals to keep in regular contact with one another via email and work collaboratively to achieve a broader evidence-based assessment by collating information (Shelton, Merchant, and Lynch, 2020). However, due to caseloads it was not always possible to gain a response from some professionals such as health where managers were added to the emails to prompt a response which supported to overcome this barrier. </w:t>
            </w:r>
          </w:p>
          <w:p w14:paraId="73EAC375" w14:textId="77777777" w:rsidR="003F7BAA" w:rsidRPr="003F7BAA" w:rsidRDefault="003F7BAA" w:rsidP="003F7BAA">
            <w:pPr>
              <w:jc w:val="both"/>
              <w:rPr>
                <w:sz w:val="24"/>
                <w:szCs w:val="24"/>
              </w:rPr>
            </w:pPr>
          </w:p>
          <w:p w14:paraId="105958AB" w14:textId="77777777" w:rsidR="003F7BAA" w:rsidRPr="003F7BAA" w:rsidRDefault="003F7BAA" w:rsidP="003F7BAA">
            <w:pPr>
              <w:jc w:val="both"/>
              <w:rPr>
                <w:sz w:val="24"/>
                <w:szCs w:val="24"/>
              </w:rPr>
            </w:pPr>
            <w:r w:rsidRPr="003F7BAA">
              <w:rPr>
                <w:sz w:val="24"/>
                <w:szCs w:val="24"/>
              </w:rPr>
              <w:t xml:space="preserve">The information gained from health was positive about the family’s interaction with this service such as A1 taking the children for appointments and the children being up to date with immunisations. However, due to this organisation having lack of involvement with the family it was apparent that the recent attendance due to C1 taking ecstasy had tarnished their evaluation of the current situation. It was felt that this may be due to organisational culture and values. </w:t>
            </w:r>
          </w:p>
          <w:p w14:paraId="4EAB40A8" w14:textId="77777777" w:rsidR="003F7BAA" w:rsidRPr="003F7BAA" w:rsidRDefault="003F7BAA" w:rsidP="003F7BAA">
            <w:pPr>
              <w:jc w:val="both"/>
              <w:rPr>
                <w:sz w:val="24"/>
                <w:szCs w:val="24"/>
              </w:rPr>
            </w:pPr>
          </w:p>
          <w:p w14:paraId="1ADC5123" w14:textId="77777777" w:rsidR="003F7BAA" w:rsidRPr="003F7BAA" w:rsidRDefault="003F7BAA" w:rsidP="003F7BAA">
            <w:pPr>
              <w:jc w:val="both"/>
              <w:rPr>
                <w:sz w:val="24"/>
                <w:szCs w:val="24"/>
              </w:rPr>
            </w:pPr>
            <w:r w:rsidRPr="003F7BAA">
              <w:rPr>
                <w:sz w:val="24"/>
                <w:szCs w:val="24"/>
              </w:rPr>
              <w:t xml:space="preserve">Within health these values establish the elementary grounds for making judgements and distinguishing “right” from “wrong” behaviour within this field of work looking at an individual in isolation rather than holistically (Davies, Nutley, and Mannion, 2000), which differs from the social work organisational values. However, although social services and health may have differing values and views of risk both organisations have a duty to safeguard individuals from risks of harm set out by law. </w:t>
            </w:r>
          </w:p>
          <w:p w14:paraId="112178F8" w14:textId="77777777" w:rsidR="003F7BAA" w:rsidRPr="003F7BAA" w:rsidRDefault="003F7BAA" w:rsidP="003F7BAA">
            <w:pPr>
              <w:jc w:val="both"/>
              <w:rPr>
                <w:sz w:val="24"/>
                <w:szCs w:val="24"/>
              </w:rPr>
            </w:pPr>
          </w:p>
          <w:p w14:paraId="4C2A7FFC" w14:textId="77777777" w:rsidR="003F7BAA" w:rsidRPr="003F7BAA" w:rsidRDefault="003F7BAA" w:rsidP="003F7BAA">
            <w:pPr>
              <w:jc w:val="both"/>
              <w:rPr>
                <w:sz w:val="24"/>
                <w:szCs w:val="24"/>
              </w:rPr>
            </w:pPr>
            <w:r w:rsidRPr="003F7BAA">
              <w:rPr>
                <w:sz w:val="24"/>
                <w:szCs w:val="24"/>
              </w:rPr>
              <w:t>Communication barriers with health professionals through emailing was also apparent due to the high use of acronyms within the text. Acronyms and jargon are a common issue to communication breakdown between professionals and families (Davies and Jones, 2016). Therefore, clarity was requested for the acronyms within the emails to ensure that all professionals understood these connotations as failing to fully understand the information being shared may have resulted in misinterpretation (</w:t>
            </w:r>
            <w:proofErr w:type="spellStart"/>
            <w:r w:rsidRPr="003F7BAA">
              <w:rPr>
                <w:sz w:val="24"/>
                <w:szCs w:val="24"/>
              </w:rPr>
              <w:t>Trethivick</w:t>
            </w:r>
            <w:proofErr w:type="spellEnd"/>
            <w:r w:rsidRPr="003F7BAA">
              <w:rPr>
                <w:sz w:val="24"/>
                <w:szCs w:val="24"/>
              </w:rPr>
              <w:t>, 2012).</w:t>
            </w:r>
          </w:p>
          <w:p w14:paraId="157CC1BD" w14:textId="77777777" w:rsidR="003F7BAA" w:rsidRPr="003F7BAA" w:rsidRDefault="003F7BAA" w:rsidP="003F7BAA">
            <w:pPr>
              <w:jc w:val="both"/>
              <w:rPr>
                <w:sz w:val="24"/>
                <w:szCs w:val="24"/>
              </w:rPr>
            </w:pPr>
          </w:p>
          <w:p w14:paraId="6E21254E" w14:textId="77777777" w:rsidR="003F7BAA" w:rsidRPr="003F7BAA" w:rsidRDefault="003F7BAA" w:rsidP="003F7BAA">
            <w:pPr>
              <w:jc w:val="both"/>
              <w:rPr>
                <w:sz w:val="24"/>
                <w:szCs w:val="24"/>
              </w:rPr>
            </w:pPr>
            <w:r w:rsidRPr="003F7BAA">
              <w:rPr>
                <w:sz w:val="24"/>
                <w:szCs w:val="24"/>
              </w:rPr>
              <w:t xml:space="preserve">This helped facilitate the assessment to be written in a way that was anti-oppressive to A1 and the children as the language in the assessment was clear and concise. Without doing so it would not have permitted the family to understand the concerns within the assessment working towards an anti-oppressive practice like the values of the Social Work Action Group (SWAG), 2016 (British Association of Social Workers, (BASW), 2021). </w:t>
            </w:r>
          </w:p>
          <w:p w14:paraId="08A123A4" w14:textId="77777777" w:rsidR="003F7BAA" w:rsidRPr="003F7BAA" w:rsidRDefault="003F7BAA" w:rsidP="003F7BAA">
            <w:pPr>
              <w:jc w:val="both"/>
              <w:rPr>
                <w:sz w:val="24"/>
                <w:szCs w:val="24"/>
              </w:rPr>
            </w:pPr>
          </w:p>
          <w:p w14:paraId="28E0F943" w14:textId="77777777" w:rsidR="003F7BAA" w:rsidRPr="003F7BAA" w:rsidRDefault="003F7BAA" w:rsidP="003F7BAA">
            <w:pPr>
              <w:jc w:val="both"/>
              <w:rPr>
                <w:sz w:val="24"/>
                <w:szCs w:val="24"/>
              </w:rPr>
            </w:pPr>
            <w:r w:rsidRPr="003F7BAA">
              <w:rPr>
                <w:sz w:val="24"/>
                <w:szCs w:val="24"/>
              </w:rPr>
              <w:t xml:space="preserve">By logging all communications with professionals, it permitted opportunity to reflect on information provided which was becoming more complex. This has offered a better opportunity to identify worries and how these risks can be managed while being accountable for maintaining clear and accurate records (Social Care Wales, 2017).  It is paramount to do so to safeguard the individual as well as oneself through making clear case notes as these records are not just used in decision making but also can be requested by the individual or court in line with Data protection, 2018 (Bayne, Carr and </w:t>
            </w:r>
            <w:proofErr w:type="spellStart"/>
            <w:r w:rsidRPr="003F7BAA">
              <w:rPr>
                <w:sz w:val="24"/>
                <w:szCs w:val="24"/>
              </w:rPr>
              <w:t>Goosey</w:t>
            </w:r>
            <w:proofErr w:type="spellEnd"/>
            <w:r w:rsidRPr="003F7BAA">
              <w:rPr>
                <w:sz w:val="24"/>
                <w:szCs w:val="24"/>
              </w:rPr>
              <w:t>, 2015).</w:t>
            </w:r>
          </w:p>
          <w:p w14:paraId="59C73909" w14:textId="77777777" w:rsidR="003F7BAA" w:rsidRPr="003F7BAA" w:rsidRDefault="003F7BAA" w:rsidP="003F7BAA">
            <w:pPr>
              <w:jc w:val="both"/>
              <w:rPr>
                <w:sz w:val="24"/>
                <w:szCs w:val="24"/>
              </w:rPr>
            </w:pPr>
          </w:p>
          <w:p w14:paraId="4AE3E2DD" w14:textId="77777777" w:rsidR="003F7BAA" w:rsidRPr="003F7BAA" w:rsidRDefault="003F7BAA" w:rsidP="003F7BAA">
            <w:pPr>
              <w:jc w:val="both"/>
              <w:rPr>
                <w:sz w:val="24"/>
                <w:szCs w:val="24"/>
              </w:rPr>
            </w:pPr>
            <w:r w:rsidRPr="003F7BAA">
              <w:rPr>
                <w:sz w:val="24"/>
                <w:szCs w:val="24"/>
              </w:rPr>
              <w:t xml:space="preserve">Considering information gathered from professionals this permitted me to focus some conversations with C2 in areas of concern to gather her wishes and feelings. However, this was achieved by asking open ended questions not to influence answers (Colton, Sanders and Williams, 2001). While working with C2 to gather her wishes and feelings it was felt that due to her age it would be best to seek these through the medium of play. Research suggests that children feel most relaxed and can express feelings thoughts and problems best through play (Engen, Søberg, Bjerre, and Jensen, 2020).      </w:t>
            </w:r>
          </w:p>
          <w:p w14:paraId="238314E6" w14:textId="77777777" w:rsidR="003F7BAA" w:rsidRPr="003F7BAA" w:rsidRDefault="003F7BAA" w:rsidP="003F7BAA">
            <w:pPr>
              <w:jc w:val="both"/>
              <w:rPr>
                <w:sz w:val="24"/>
                <w:szCs w:val="24"/>
              </w:rPr>
            </w:pPr>
          </w:p>
          <w:p w14:paraId="76C58282" w14:textId="0DD1DC4C" w:rsidR="003F7BAA" w:rsidRPr="003F7BAA" w:rsidRDefault="003F7BAA" w:rsidP="003F7BAA">
            <w:pPr>
              <w:jc w:val="both"/>
              <w:rPr>
                <w:sz w:val="24"/>
                <w:szCs w:val="24"/>
              </w:rPr>
            </w:pPr>
            <w:r w:rsidRPr="003F7BAA">
              <w:rPr>
                <w:sz w:val="24"/>
                <w:szCs w:val="24"/>
              </w:rPr>
              <w:t xml:space="preserve">C2 disclosed that her mother was in a relationship with A2 where he was staying </w:t>
            </w:r>
            <w:r w:rsidR="004C306F" w:rsidRPr="003F7BAA">
              <w:rPr>
                <w:sz w:val="24"/>
                <w:szCs w:val="24"/>
              </w:rPr>
              <w:t>overnight</w:t>
            </w:r>
            <w:r w:rsidRPr="003F7BAA">
              <w:rPr>
                <w:sz w:val="24"/>
                <w:szCs w:val="24"/>
              </w:rPr>
              <w:t xml:space="preserve"> at the home breaking the contract of expectations which had previously been agreed with social services. C2 also disclosed that C1’s boyfriend was sleeping in bed with C1 and said that arguments at home were often and made her feel scared, which raised concerns in relation to underage sex and A1’s ability to safeguard her children physically and emotionally.  </w:t>
            </w:r>
          </w:p>
          <w:p w14:paraId="122CB5F5" w14:textId="77777777" w:rsidR="003F7BAA" w:rsidRPr="003F7BAA" w:rsidRDefault="003F7BAA" w:rsidP="003F7BAA">
            <w:pPr>
              <w:jc w:val="both"/>
              <w:rPr>
                <w:sz w:val="24"/>
                <w:szCs w:val="24"/>
              </w:rPr>
            </w:pPr>
          </w:p>
          <w:p w14:paraId="584D2DE0" w14:textId="77777777" w:rsidR="003F7BAA" w:rsidRPr="003F7BAA" w:rsidRDefault="003F7BAA" w:rsidP="003F7BAA">
            <w:pPr>
              <w:jc w:val="both"/>
              <w:rPr>
                <w:sz w:val="24"/>
                <w:szCs w:val="24"/>
              </w:rPr>
            </w:pPr>
            <w:r w:rsidRPr="003F7BAA">
              <w:rPr>
                <w:sz w:val="24"/>
                <w:szCs w:val="24"/>
              </w:rPr>
              <w:t xml:space="preserve">Later these concerns were discussed with A1, to help overcome issues in C1 and C2’s microsystems using a solution focused approach. It was felt using this approach was best despite A1 breaking her contract of expectations. This was due to reflecting on information from health and education such as A1’s ability to take the children to health appointment/attend school which demonstrates A1’s ability to meet some of the children’s needs. It was felt that this approach would offer A1 an opportunity to recognise and overcome identified concerns while working with social services using A1’s strengths (Lindsey, 2000).  </w:t>
            </w:r>
          </w:p>
          <w:p w14:paraId="23E5DB38" w14:textId="77777777" w:rsidR="003F7BAA" w:rsidRPr="003F7BAA" w:rsidRDefault="003F7BAA" w:rsidP="003F7BAA">
            <w:pPr>
              <w:jc w:val="both"/>
              <w:rPr>
                <w:sz w:val="24"/>
                <w:szCs w:val="24"/>
              </w:rPr>
            </w:pPr>
          </w:p>
          <w:p w14:paraId="4417BBF3" w14:textId="77777777" w:rsidR="003F7BAA" w:rsidRPr="003F7BAA" w:rsidRDefault="003F7BAA" w:rsidP="003F7BAA">
            <w:pPr>
              <w:jc w:val="both"/>
              <w:rPr>
                <w:sz w:val="24"/>
                <w:szCs w:val="24"/>
              </w:rPr>
            </w:pPr>
            <w:r w:rsidRPr="003F7BAA">
              <w:rPr>
                <w:sz w:val="24"/>
                <w:szCs w:val="24"/>
              </w:rPr>
              <w:t>Upon discussing these matters with A1 she was visibly shaking and began to cry when I told her about C1 feeling scared. I consoled A1 by placing my hand on her shoulder for comfort, although this could be argued that this was not professional to do, my own ethics and values felt that this was the right thing given the circumstances. Research by Horton (1995) suggests that touch can offer a way to show empathy, support and safety (Horton, Clance, Sterk-</w:t>
            </w:r>
            <w:proofErr w:type="spellStart"/>
            <w:r w:rsidRPr="003F7BAA">
              <w:rPr>
                <w:sz w:val="24"/>
                <w:szCs w:val="24"/>
              </w:rPr>
              <w:t>Elifson</w:t>
            </w:r>
            <w:proofErr w:type="spellEnd"/>
            <w:r w:rsidRPr="003F7BAA">
              <w:rPr>
                <w:sz w:val="24"/>
                <w:szCs w:val="24"/>
              </w:rPr>
              <w:t xml:space="preserve">, &amp; Emshoff, 1995). </w:t>
            </w:r>
          </w:p>
          <w:p w14:paraId="5D92337D" w14:textId="77777777" w:rsidR="003F7BAA" w:rsidRPr="003F7BAA" w:rsidRDefault="003F7BAA" w:rsidP="003F7BAA">
            <w:pPr>
              <w:jc w:val="both"/>
              <w:rPr>
                <w:sz w:val="24"/>
                <w:szCs w:val="24"/>
              </w:rPr>
            </w:pPr>
          </w:p>
          <w:p w14:paraId="4CCE36EC" w14:textId="77777777" w:rsidR="003F7BAA" w:rsidRPr="003F7BAA" w:rsidRDefault="003F7BAA" w:rsidP="003F7BAA">
            <w:pPr>
              <w:jc w:val="both"/>
              <w:rPr>
                <w:sz w:val="24"/>
                <w:szCs w:val="24"/>
              </w:rPr>
            </w:pPr>
            <w:r w:rsidRPr="003F7BAA">
              <w:rPr>
                <w:sz w:val="24"/>
                <w:szCs w:val="24"/>
              </w:rPr>
              <w:t xml:space="preserve">Paying attention to these emotions showed A1 that I was physically and psychologically with her, and I could relate how I would feel in the same situation (Egan, 2007). However, equally </w:t>
            </w:r>
            <w:r w:rsidRPr="003F7BAA">
              <w:rPr>
                <w:sz w:val="24"/>
                <w:szCs w:val="24"/>
              </w:rPr>
              <w:lastRenderedPageBreak/>
              <w:t xml:space="preserve">there could be a concern that by being too invested in the situation it could cause conflict in boundaries and deemed as inappropriate (Mantell, 2009). Yet, research suggested that individuals working with social services need to feel the social worker genuinely cares and has a positive perception to gain their trust (Robbins, and Cook, 2018). </w:t>
            </w:r>
          </w:p>
          <w:p w14:paraId="1E1DE6E2" w14:textId="77777777" w:rsidR="003F7BAA" w:rsidRPr="003F7BAA" w:rsidRDefault="003F7BAA" w:rsidP="003F7BAA">
            <w:pPr>
              <w:jc w:val="both"/>
              <w:rPr>
                <w:sz w:val="24"/>
                <w:szCs w:val="24"/>
              </w:rPr>
            </w:pPr>
          </w:p>
          <w:p w14:paraId="7C2F3C32" w14:textId="77777777" w:rsidR="003F7BAA" w:rsidRPr="003F7BAA" w:rsidRDefault="003F7BAA" w:rsidP="003F7BAA">
            <w:pPr>
              <w:jc w:val="both"/>
              <w:rPr>
                <w:sz w:val="24"/>
                <w:szCs w:val="24"/>
              </w:rPr>
            </w:pPr>
            <w:r w:rsidRPr="003F7BAA">
              <w:rPr>
                <w:sz w:val="24"/>
                <w:szCs w:val="24"/>
              </w:rPr>
              <w:t xml:space="preserve">I believe this is why A1 then disclosed that she is in a relationship with A2 who was residing in Wales under a false name since fleeing Poland. A1 also disclosed that A2 is coercive, is taking control of her finances, is telling the children what to say to professionals and shouting at the children. A1 stated that one of the reasons that she did not be honest with social services about the relationship was because she was worried that her children would be put into care. </w:t>
            </w:r>
          </w:p>
          <w:p w14:paraId="3B255109" w14:textId="77777777" w:rsidR="003F7BAA" w:rsidRPr="003F7BAA" w:rsidRDefault="003F7BAA" w:rsidP="003F7BAA">
            <w:pPr>
              <w:jc w:val="both"/>
              <w:rPr>
                <w:sz w:val="24"/>
                <w:szCs w:val="24"/>
              </w:rPr>
            </w:pPr>
          </w:p>
          <w:p w14:paraId="21A29E50" w14:textId="017B7279" w:rsidR="003F7BAA" w:rsidRPr="003F7BAA" w:rsidRDefault="003F7BAA" w:rsidP="003F7BAA">
            <w:pPr>
              <w:jc w:val="both"/>
              <w:rPr>
                <w:sz w:val="24"/>
                <w:szCs w:val="24"/>
              </w:rPr>
            </w:pPr>
            <w:r w:rsidRPr="003F7BAA">
              <w:rPr>
                <w:sz w:val="24"/>
                <w:szCs w:val="24"/>
              </w:rPr>
              <w:t>This is a common misconception due to how social workers are portrayed in media and the opposite to social work remit and legislation (BASW, 2024)</w:t>
            </w:r>
            <w:r w:rsidR="00DD652A">
              <w:rPr>
                <w:sz w:val="24"/>
                <w:szCs w:val="24"/>
              </w:rPr>
              <w:t xml:space="preserve">. Social work practice not only works within legislation but also policies </w:t>
            </w:r>
            <w:r w:rsidR="004C306F">
              <w:rPr>
                <w:sz w:val="24"/>
                <w:szCs w:val="24"/>
              </w:rPr>
              <w:t xml:space="preserve">and standards </w:t>
            </w:r>
            <w:r w:rsidR="00DD652A">
              <w:rPr>
                <w:sz w:val="24"/>
                <w:szCs w:val="24"/>
              </w:rPr>
              <w:t xml:space="preserve">such as the codes of professional practice and the national occupational standards to ensure we practice safely and anti-oppressive. </w:t>
            </w:r>
            <w:r w:rsidRPr="003F7BAA">
              <w:rPr>
                <w:sz w:val="24"/>
                <w:szCs w:val="24"/>
              </w:rPr>
              <w:t xml:space="preserve"> However, it is uncertain why A1 felt this way as she has previously been involved with social services where the children were not placed in care for similar concerns. Nevertheless, it was felt that social services can cause individuals to feel disempowered simply due to their title (Smith, 2008).  </w:t>
            </w:r>
          </w:p>
          <w:p w14:paraId="76A026F2" w14:textId="77777777" w:rsidR="003F7BAA" w:rsidRPr="003F7BAA" w:rsidRDefault="003F7BAA" w:rsidP="003F7BAA">
            <w:pPr>
              <w:jc w:val="both"/>
              <w:rPr>
                <w:sz w:val="24"/>
                <w:szCs w:val="24"/>
              </w:rPr>
            </w:pPr>
          </w:p>
          <w:p w14:paraId="7903017B" w14:textId="77777777" w:rsidR="003F7BAA" w:rsidRPr="003F7BAA" w:rsidRDefault="003F7BAA" w:rsidP="003F7BAA">
            <w:pPr>
              <w:jc w:val="both"/>
              <w:rPr>
                <w:sz w:val="24"/>
                <w:szCs w:val="24"/>
              </w:rPr>
            </w:pPr>
            <w:r w:rsidRPr="003F7BAA">
              <w:rPr>
                <w:sz w:val="24"/>
                <w:szCs w:val="24"/>
              </w:rPr>
              <w:t xml:space="preserve">A1 assured me that she was planning on ending the relationship with A2. However, due to A1 not being honest previously with social services it was uncertain if A1 was telling the truth. Yet, A1 had previously left an abusive relationship in the past where it was felt that Lindemann 1944’s crisis theory would be beneficial to consider when working with A1 as she previously has learnt and employed coping mechanisms to deal with stressful events like this in the past (Teater, 2014).  </w:t>
            </w:r>
          </w:p>
          <w:p w14:paraId="035CB75C" w14:textId="77777777" w:rsidR="003F7BAA" w:rsidRPr="003F7BAA" w:rsidRDefault="003F7BAA" w:rsidP="003F7BAA">
            <w:pPr>
              <w:jc w:val="both"/>
              <w:rPr>
                <w:sz w:val="24"/>
                <w:szCs w:val="24"/>
              </w:rPr>
            </w:pPr>
          </w:p>
          <w:p w14:paraId="16F2F8A6" w14:textId="77777777" w:rsidR="003F7BAA" w:rsidRPr="003F7BAA" w:rsidRDefault="003F7BAA" w:rsidP="003F7BAA">
            <w:pPr>
              <w:jc w:val="both"/>
              <w:rPr>
                <w:sz w:val="24"/>
                <w:szCs w:val="24"/>
              </w:rPr>
            </w:pPr>
            <w:r w:rsidRPr="003F7BAA">
              <w:rPr>
                <w:sz w:val="24"/>
                <w:szCs w:val="24"/>
              </w:rPr>
              <w:t xml:space="preserve">A1’s father had also expressed his concerns about her being in a relationship with A2 and the risk this poses to her and her children. It is felt that as A1’s father was a valued family member, his opinion would hold far more weight than a professional which may offer A1 the motivation to change (Hughes and Owens, 2009). </w:t>
            </w:r>
          </w:p>
          <w:p w14:paraId="0239C2F0" w14:textId="77777777" w:rsidR="003F7BAA" w:rsidRPr="003F7BAA" w:rsidRDefault="003F7BAA" w:rsidP="003F7BAA">
            <w:pPr>
              <w:jc w:val="both"/>
              <w:rPr>
                <w:sz w:val="24"/>
                <w:szCs w:val="24"/>
              </w:rPr>
            </w:pPr>
          </w:p>
          <w:p w14:paraId="7CF8215D" w14:textId="77777777" w:rsidR="003F7BAA" w:rsidRPr="003F7BAA" w:rsidRDefault="003F7BAA" w:rsidP="003F7BAA">
            <w:pPr>
              <w:jc w:val="both"/>
              <w:rPr>
                <w:sz w:val="24"/>
                <w:szCs w:val="24"/>
              </w:rPr>
            </w:pPr>
            <w:r w:rsidRPr="003F7BAA">
              <w:rPr>
                <w:sz w:val="24"/>
                <w:szCs w:val="24"/>
              </w:rPr>
              <w:t xml:space="preserve">Nevertheless, despite considering the crisis theory and A1’s ability to safeguard the children in the past it was felt that the information gathered from professionals and analysing this information it was apparent that the level of risk faced by the children was escalating (Hepworth, Rooney and Larson, 2002). </w:t>
            </w:r>
          </w:p>
          <w:p w14:paraId="5624E51F" w14:textId="77777777" w:rsidR="003F7BAA" w:rsidRPr="003F7BAA" w:rsidRDefault="003F7BAA" w:rsidP="003F7BAA">
            <w:pPr>
              <w:jc w:val="both"/>
              <w:rPr>
                <w:sz w:val="24"/>
                <w:szCs w:val="24"/>
              </w:rPr>
            </w:pPr>
          </w:p>
          <w:p w14:paraId="6076BC3D" w14:textId="77777777" w:rsidR="003F7BAA" w:rsidRPr="003F7BAA" w:rsidRDefault="003F7BAA" w:rsidP="003F7BAA">
            <w:pPr>
              <w:jc w:val="both"/>
              <w:rPr>
                <w:sz w:val="24"/>
                <w:szCs w:val="24"/>
              </w:rPr>
            </w:pPr>
            <w:r w:rsidRPr="003F7BAA">
              <w:rPr>
                <w:sz w:val="24"/>
                <w:szCs w:val="24"/>
              </w:rPr>
              <w:t xml:space="preserve">Regardless of A1 admitting that she is in a coercive relationship with A2 there is no law that could be imposed to stop A1 from pursuing this relationship as A1 had capacity to consent to this following the Mental Capacity Act 2005 (Dixson, 2023). However, due to the risk’s posed to the children it was vital to safeguard them from potential harm following the SSWWA and the Child Act 1989. </w:t>
            </w:r>
          </w:p>
          <w:p w14:paraId="4620522B" w14:textId="77777777" w:rsidR="003F7BAA" w:rsidRPr="003F7BAA" w:rsidRDefault="003F7BAA" w:rsidP="003F7BAA">
            <w:pPr>
              <w:jc w:val="both"/>
              <w:rPr>
                <w:sz w:val="24"/>
                <w:szCs w:val="24"/>
              </w:rPr>
            </w:pPr>
          </w:p>
          <w:p w14:paraId="60FD0593" w14:textId="77777777" w:rsidR="003F7BAA" w:rsidRPr="003F7BAA" w:rsidRDefault="003F7BAA" w:rsidP="003F7BAA">
            <w:pPr>
              <w:jc w:val="both"/>
              <w:rPr>
                <w:sz w:val="24"/>
                <w:szCs w:val="24"/>
              </w:rPr>
            </w:pPr>
            <w:r w:rsidRPr="003F7BAA">
              <w:rPr>
                <w:sz w:val="24"/>
                <w:szCs w:val="24"/>
              </w:rPr>
              <w:t>Therefore, it was discussed with A1 that due to these concerns a multi-agency referral form must be submitted to the children’s safeguarding team. This team safeguards children pre-</w:t>
            </w:r>
            <w:r w:rsidRPr="003F7BAA">
              <w:rPr>
                <w:sz w:val="24"/>
                <w:szCs w:val="24"/>
              </w:rPr>
              <w:lastRenderedPageBreak/>
              <w:t xml:space="preserve">birth to adulthood by investigating suspected physical, sexual, or emotional abuse and neglect or acts of omission under the Children Act 1989 and SSWWA 2014 (Local Authority X, 2022). Although this may feel oppressive for A1 it was felt that this would be the best response to safeguard C1 an C2 considering what might be the possible outcomes due to the rising risks A2 may pose to them if no action is taken (Jones, 2009). </w:t>
            </w:r>
          </w:p>
          <w:p w14:paraId="65CBBCF4" w14:textId="77777777" w:rsidR="003F7BAA" w:rsidRPr="003F7BAA" w:rsidRDefault="003F7BAA" w:rsidP="003F7BAA">
            <w:pPr>
              <w:jc w:val="both"/>
              <w:rPr>
                <w:sz w:val="24"/>
                <w:szCs w:val="24"/>
              </w:rPr>
            </w:pPr>
          </w:p>
          <w:p w14:paraId="541CD3B3" w14:textId="77777777" w:rsidR="003F7BAA" w:rsidRPr="003F7BAA" w:rsidRDefault="003F7BAA" w:rsidP="003F7BAA">
            <w:pPr>
              <w:jc w:val="both"/>
              <w:rPr>
                <w:sz w:val="24"/>
                <w:szCs w:val="24"/>
              </w:rPr>
            </w:pPr>
          </w:p>
          <w:p w14:paraId="70F26BEA" w14:textId="77777777" w:rsidR="003F7BAA" w:rsidRPr="003F7BAA" w:rsidRDefault="003F7BAA" w:rsidP="003F7BAA">
            <w:pPr>
              <w:jc w:val="both"/>
              <w:rPr>
                <w:sz w:val="24"/>
                <w:szCs w:val="24"/>
              </w:rPr>
            </w:pPr>
            <w:r w:rsidRPr="003F7BAA">
              <w:rPr>
                <w:sz w:val="24"/>
                <w:szCs w:val="24"/>
              </w:rPr>
              <w:t xml:space="preserve">A strategy discussion took place with social services and police where it was agreed that a single agency section 47 was to be undertaken to investigate if the children are or likely to suffer significant harm. In Wales the overarching legislation is the SSWWA 2014, however, Wales still applies many aspects of the Children Act 1989 and uses the same definitions as England such as significant harm under section 31 of this Act.  </w:t>
            </w:r>
          </w:p>
          <w:p w14:paraId="1F22F3CF" w14:textId="77777777" w:rsidR="003F7BAA" w:rsidRPr="003F7BAA" w:rsidRDefault="003F7BAA" w:rsidP="003F7BAA">
            <w:pPr>
              <w:jc w:val="both"/>
              <w:rPr>
                <w:sz w:val="24"/>
                <w:szCs w:val="24"/>
              </w:rPr>
            </w:pPr>
          </w:p>
          <w:p w14:paraId="1AF01329" w14:textId="77777777" w:rsidR="003F7BAA" w:rsidRPr="003F7BAA" w:rsidRDefault="003F7BAA" w:rsidP="003F7BAA">
            <w:pPr>
              <w:jc w:val="both"/>
              <w:rPr>
                <w:sz w:val="24"/>
                <w:szCs w:val="24"/>
              </w:rPr>
            </w:pPr>
            <w:r w:rsidRPr="003F7BAA">
              <w:rPr>
                <w:sz w:val="24"/>
                <w:szCs w:val="24"/>
              </w:rPr>
              <w:t xml:space="preserve">Yet, in Northern Ireland the definition of harm is in Article 2 of the Children Northern Ireland Order 1995, and part 1 of the Children Scotland Act 1995. Although these are different Acts the definitions are similar with the same intended outcome to safeguard children. </w:t>
            </w:r>
          </w:p>
          <w:p w14:paraId="071BBFE6" w14:textId="77777777" w:rsidR="003F7BAA" w:rsidRPr="003F7BAA" w:rsidRDefault="003F7BAA" w:rsidP="003F7BAA">
            <w:pPr>
              <w:jc w:val="both"/>
              <w:rPr>
                <w:sz w:val="24"/>
                <w:szCs w:val="24"/>
              </w:rPr>
            </w:pPr>
          </w:p>
          <w:p w14:paraId="4E9D9047" w14:textId="54B1CB85" w:rsidR="003F7BAA" w:rsidRPr="003F7BAA" w:rsidRDefault="003F7BAA" w:rsidP="003F7BAA">
            <w:pPr>
              <w:jc w:val="both"/>
              <w:rPr>
                <w:sz w:val="24"/>
                <w:szCs w:val="24"/>
              </w:rPr>
            </w:pPr>
            <w:r w:rsidRPr="003F7BAA">
              <w:rPr>
                <w:sz w:val="24"/>
                <w:szCs w:val="24"/>
              </w:rPr>
              <w:t xml:space="preserve">However, in third world countries such as Nigeria these Act would not be of use to safeguard children from harm due to the continued conflict and poverty in these areas which offers laws little influence on keeping children safe (Gordon, Pantazis, and Townsend, 2024).  In comparison Wales also has regional safeguarding children boards who oversee and coordinate local efforts to safeguard children and support, protect and promote children’s welfare. </w:t>
            </w:r>
          </w:p>
          <w:p w14:paraId="0DB4D6B4" w14:textId="77777777" w:rsidR="003F7BAA" w:rsidRPr="003F7BAA" w:rsidRDefault="003F7BAA" w:rsidP="003F7BAA">
            <w:pPr>
              <w:jc w:val="both"/>
              <w:rPr>
                <w:sz w:val="24"/>
                <w:szCs w:val="24"/>
              </w:rPr>
            </w:pPr>
          </w:p>
          <w:p w14:paraId="6D9D61DF" w14:textId="77777777" w:rsidR="003F7BAA" w:rsidRPr="003F7BAA" w:rsidRDefault="003F7BAA" w:rsidP="003F7BAA">
            <w:pPr>
              <w:jc w:val="both"/>
              <w:rPr>
                <w:sz w:val="24"/>
                <w:szCs w:val="24"/>
              </w:rPr>
            </w:pPr>
            <w:r w:rsidRPr="003F7BAA">
              <w:rPr>
                <w:sz w:val="24"/>
                <w:szCs w:val="24"/>
              </w:rPr>
              <w:t xml:space="preserve">Therefore, adhering to this legislation and local safeguarding regulations a section 47 inquiry was undertaken by a senior social worker since I was not section 47 trained. However, I was also present within the enquiries to offer the family consistency and continuity as having a different social worker may have caused undue stress to the family (O’Loughlin and O’Loughlin, 2008). These enquiries also extended to the senior social worker speaking to professionals who were working with the family to confirm what is working well and what is not following signs of safety (Bunn, 2013). </w:t>
            </w:r>
          </w:p>
          <w:p w14:paraId="49C0A7D7" w14:textId="77777777" w:rsidR="003F7BAA" w:rsidRPr="003F7BAA" w:rsidRDefault="003F7BAA" w:rsidP="003F7BAA">
            <w:pPr>
              <w:jc w:val="both"/>
              <w:rPr>
                <w:sz w:val="24"/>
                <w:szCs w:val="24"/>
              </w:rPr>
            </w:pPr>
          </w:p>
          <w:p w14:paraId="7EF3B872" w14:textId="77777777" w:rsidR="003F7BAA" w:rsidRPr="003F7BAA" w:rsidRDefault="003F7BAA" w:rsidP="003F7BAA">
            <w:pPr>
              <w:jc w:val="both"/>
              <w:rPr>
                <w:sz w:val="24"/>
                <w:szCs w:val="24"/>
              </w:rPr>
            </w:pPr>
            <w:r w:rsidRPr="003F7BAA">
              <w:rPr>
                <w:sz w:val="24"/>
                <w:szCs w:val="24"/>
              </w:rPr>
              <w:t xml:space="preserve">It is felt that although it may have been beneficial for myself to undertake these enquiries had I been section 47 trained as I had already a vast amount of knowledge of the family and the situation. In contrast it was also felt that it may be beneficial to have a second opinion on the current situation to reenforce my prior findings when submitting the MARF from a senior practitioner who has a wealth of experience (Scourfield, 2018). However, due to the national safeguarding training learning and development standards both myself and senior practitioner should have a consistent response as to what we deem as risks and how to manage these risks (Social Care Wales, 2023).  </w:t>
            </w:r>
          </w:p>
          <w:p w14:paraId="66F7E958" w14:textId="77777777" w:rsidR="003F7BAA" w:rsidRPr="003F7BAA" w:rsidRDefault="003F7BAA" w:rsidP="003F7BAA">
            <w:pPr>
              <w:jc w:val="both"/>
              <w:rPr>
                <w:sz w:val="24"/>
                <w:szCs w:val="24"/>
              </w:rPr>
            </w:pPr>
          </w:p>
          <w:p w14:paraId="4FBFBF97" w14:textId="77777777" w:rsidR="003F7BAA" w:rsidRPr="003F7BAA" w:rsidRDefault="003F7BAA" w:rsidP="003F7BAA">
            <w:pPr>
              <w:jc w:val="both"/>
              <w:rPr>
                <w:sz w:val="24"/>
                <w:szCs w:val="24"/>
              </w:rPr>
            </w:pPr>
            <w:r w:rsidRPr="003F7BAA">
              <w:rPr>
                <w:sz w:val="24"/>
                <w:szCs w:val="24"/>
              </w:rPr>
              <w:t xml:space="preserve">An additional strategy discussion took place where it was agreed that thresholds were met and an Initial Child Protection Conference (ICPC) to be convened. The ICPC took place within the 15-day timescale to ensure the safety of the children as failing to do so would not be adhering to legislation and failing to keep the children safe (Brammer 2016). </w:t>
            </w:r>
          </w:p>
          <w:p w14:paraId="0A25EFE8" w14:textId="77777777" w:rsidR="003F7BAA" w:rsidRPr="003F7BAA" w:rsidRDefault="003F7BAA" w:rsidP="003F7BAA">
            <w:pPr>
              <w:jc w:val="both"/>
              <w:rPr>
                <w:sz w:val="24"/>
                <w:szCs w:val="24"/>
              </w:rPr>
            </w:pPr>
          </w:p>
          <w:p w14:paraId="6C7147E8" w14:textId="77777777" w:rsidR="003F7BAA" w:rsidRPr="003F7BAA" w:rsidRDefault="003F7BAA" w:rsidP="003F7BAA">
            <w:pPr>
              <w:jc w:val="both"/>
              <w:rPr>
                <w:sz w:val="24"/>
                <w:szCs w:val="24"/>
              </w:rPr>
            </w:pPr>
            <w:r w:rsidRPr="003F7BAA">
              <w:rPr>
                <w:sz w:val="24"/>
                <w:szCs w:val="24"/>
              </w:rPr>
              <w:lastRenderedPageBreak/>
              <w:t>An independent advocate was sourced for the children to empower them to participate in the ICPC following the SSWWA (</w:t>
            </w:r>
            <w:proofErr w:type="spellStart"/>
            <w:r w:rsidRPr="003F7BAA">
              <w:rPr>
                <w:sz w:val="24"/>
                <w:szCs w:val="24"/>
              </w:rPr>
              <w:t>Laggay</w:t>
            </w:r>
            <w:proofErr w:type="spellEnd"/>
            <w:r w:rsidRPr="003F7BAA">
              <w:rPr>
                <w:sz w:val="24"/>
                <w:szCs w:val="24"/>
              </w:rPr>
              <w:t xml:space="preserve"> and Courtney, 2013). As C2 was only 5 years old it would have been oppressive not to source an advocate as it was not appropriate for C2 to attend the full meeting due to the nature of the meeting and potential conflict and distress this may entail (Davies and Duckett, 2016). Nevertheless, the independent social worker chairing the ICPC met with the children prior to the meeting to explain the process with the children and offered C2 additional methods of participating such as drawing a picture where C1 declined the opportunity to attend due to anxiety. </w:t>
            </w:r>
          </w:p>
          <w:p w14:paraId="50E08B10" w14:textId="77777777" w:rsidR="003F7BAA" w:rsidRPr="003F7BAA" w:rsidRDefault="003F7BAA" w:rsidP="003F7BAA">
            <w:pPr>
              <w:jc w:val="both"/>
              <w:rPr>
                <w:sz w:val="24"/>
                <w:szCs w:val="24"/>
              </w:rPr>
            </w:pPr>
          </w:p>
          <w:p w14:paraId="5143C159" w14:textId="77777777" w:rsidR="003F7BAA" w:rsidRPr="003F7BAA" w:rsidRDefault="003F7BAA" w:rsidP="003F7BAA">
            <w:pPr>
              <w:jc w:val="both"/>
              <w:rPr>
                <w:sz w:val="24"/>
                <w:szCs w:val="24"/>
              </w:rPr>
            </w:pPr>
            <w:r w:rsidRPr="003F7BAA">
              <w:rPr>
                <w:sz w:val="24"/>
                <w:szCs w:val="24"/>
              </w:rPr>
              <w:t xml:space="preserve">Research conducted by Cossar, Brandon and Jordan 2011, suggests that children did not always know what was being said during ICPC’s. However, all reports from professionals involved with the family was shared with the family in an age-appropriate manner prior to the meeting. This was to ensure they were aware of what the concerns were and offer them ample opportunity to respond with their wishes and feelings enabling them to fully participate and express their thoughts in line with the UNCRC (Duncan, 2019).    </w:t>
            </w:r>
          </w:p>
          <w:p w14:paraId="2F5D59AF" w14:textId="77777777" w:rsidR="003F7BAA" w:rsidRPr="003F7BAA" w:rsidRDefault="003F7BAA" w:rsidP="003F7BAA">
            <w:pPr>
              <w:jc w:val="both"/>
              <w:rPr>
                <w:sz w:val="24"/>
                <w:szCs w:val="24"/>
              </w:rPr>
            </w:pPr>
            <w:r w:rsidRPr="003F7BAA">
              <w:rPr>
                <w:sz w:val="24"/>
                <w:szCs w:val="24"/>
              </w:rPr>
              <w:t xml:space="preserve">  </w:t>
            </w:r>
          </w:p>
          <w:p w14:paraId="2B466D0F" w14:textId="77777777" w:rsidR="003F7BAA" w:rsidRPr="003F7BAA" w:rsidRDefault="003F7BAA" w:rsidP="003F7BAA">
            <w:pPr>
              <w:jc w:val="both"/>
              <w:rPr>
                <w:sz w:val="24"/>
                <w:szCs w:val="24"/>
              </w:rPr>
            </w:pPr>
            <w:r w:rsidRPr="003F7BAA">
              <w:rPr>
                <w:sz w:val="24"/>
                <w:szCs w:val="24"/>
              </w:rPr>
              <w:t xml:space="preserve">During the meeting all professionals were asked to score the current situation and offer their recommendations independently, as to if the children’s name should be placed on the child protection register (CPR). By doing this independently it offered professionals to have an unbiased decision without the influence of social workers. The outcome of the ICPC was that C1 and C2’s names were placed on the CPR under the category of emotional harm where a core group was organised 10 days after the conference to discuss the CP plan where timescales and agreed actions were established (Department of education, 2013).   </w:t>
            </w:r>
          </w:p>
          <w:p w14:paraId="47D2B429" w14:textId="77777777" w:rsidR="003F7BAA" w:rsidRPr="003F7BAA" w:rsidRDefault="003F7BAA" w:rsidP="003F7BAA">
            <w:pPr>
              <w:jc w:val="both"/>
              <w:rPr>
                <w:sz w:val="24"/>
                <w:szCs w:val="24"/>
              </w:rPr>
            </w:pPr>
          </w:p>
          <w:p w14:paraId="79566F51" w14:textId="77777777" w:rsidR="003F7BAA" w:rsidRPr="003F7BAA" w:rsidRDefault="003F7BAA" w:rsidP="003F7BAA">
            <w:pPr>
              <w:jc w:val="both"/>
              <w:rPr>
                <w:sz w:val="24"/>
                <w:szCs w:val="24"/>
              </w:rPr>
            </w:pPr>
            <w:r w:rsidRPr="003F7BAA">
              <w:rPr>
                <w:sz w:val="24"/>
                <w:szCs w:val="24"/>
              </w:rPr>
              <w:t xml:space="preserve">It was explained to the family that they would have a new social worker where a face-to-face handover was facilitated to support the children and their mother to transition to the next team. Due to the children being on the CPR the family were aware that social services would </w:t>
            </w:r>
            <w:proofErr w:type="spellStart"/>
            <w:r w:rsidRPr="003F7BAA">
              <w:rPr>
                <w:sz w:val="24"/>
                <w:szCs w:val="24"/>
              </w:rPr>
              <w:t>preform</w:t>
            </w:r>
            <w:proofErr w:type="spellEnd"/>
            <w:r w:rsidRPr="003F7BAA">
              <w:rPr>
                <w:sz w:val="24"/>
                <w:szCs w:val="24"/>
              </w:rPr>
              <w:t xml:space="preserve"> statutory visits every two weeks which were a mixture of announced and unannounced visits (Davies and Dukett, 2016). </w:t>
            </w:r>
          </w:p>
          <w:p w14:paraId="03F9823F" w14:textId="77777777" w:rsidR="003F7BAA" w:rsidRPr="003F7BAA" w:rsidRDefault="003F7BAA" w:rsidP="003F7BAA">
            <w:pPr>
              <w:jc w:val="both"/>
              <w:rPr>
                <w:sz w:val="24"/>
                <w:szCs w:val="24"/>
              </w:rPr>
            </w:pPr>
          </w:p>
          <w:p w14:paraId="16065C44" w14:textId="77777777" w:rsidR="003F7BAA" w:rsidRPr="003F7BAA" w:rsidRDefault="003F7BAA" w:rsidP="003F7BAA">
            <w:pPr>
              <w:jc w:val="both"/>
              <w:rPr>
                <w:sz w:val="24"/>
                <w:szCs w:val="24"/>
              </w:rPr>
            </w:pPr>
            <w:r w:rsidRPr="003F7BAA">
              <w:rPr>
                <w:sz w:val="24"/>
                <w:szCs w:val="24"/>
              </w:rPr>
              <w:t xml:space="preserve">A review core group meeting was booked for three months’ time for feedback to be gain from professionals working with the family and the family themselves in relation to the facilitation of the plan, what is working well and any concerns. If at this point professional and the family felt that there are no ongoing concerns, then the children could be deregistered. However, if concerns are continuing then an additional review date may be planned to be held in six months (Buckler, 2023).  </w:t>
            </w:r>
          </w:p>
          <w:p w14:paraId="0D0E6B15" w14:textId="77777777" w:rsidR="003F7BAA" w:rsidRPr="003F7BAA" w:rsidRDefault="003F7BAA" w:rsidP="003F7BAA">
            <w:pPr>
              <w:jc w:val="both"/>
              <w:rPr>
                <w:sz w:val="24"/>
                <w:szCs w:val="24"/>
              </w:rPr>
            </w:pPr>
          </w:p>
          <w:p w14:paraId="20A5906F" w14:textId="7D2EB7F4" w:rsidR="008D5999" w:rsidRDefault="003F7BAA" w:rsidP="003F7BAA">
            <w:pPr>
              <w:jc w:val="both"/>
              <w:rPr>
                <w:sz w:val="24"/>
                <w:szCs w:val="24"/>
              </w:rPr>
            </w:pPr>
            <w:r w:rsidRPr="003F7BAA">
              <w:rPr>
                <w:sz w:val="24"/>
                <w:szCs w:val="24"/>
              </w:rPr>
              <w:t>Yet, if the children continue to be at risk of significant harm and matters continue to escalate, it may involve the local authority requesting a legal case planning meeting to discuss the next steps in keeping the children safe where a Public Law Outline may be required. PLO dictates the conditions for the pre-proceedings checklist which must include a social work chronology, a record of the strategy meetings and a child protection or care plan (Ministry of Justice, 2008).</w:t>
            </w:r>
          </w:p>
          <w:p w14:paraId="701D8D4D" w14:textId="38C2B218" w:rsidR="00D3203C" w:rsidRDefault="00D3203C" w:rsidP="00FF7EBB">
            <w:pPr>
              <w:jc w:val="both"/>
              <w:rPr>
                <w:i/>
                <w:sz w:val="24"/>
                <w:szCs w:val="24"/>
              </w:rPr>
            </w:pPr>
          </w:p>
          <w:p w14:paraId="20370495" w14:textId="79B79501" w:rsidR="00D3203C" w:rsidRDefault="00D3203C" w:rsidP="00FF7EBB">
            <w:pPr>
              <w:jc w:val="both"/>
              <w:rPr>
                <w:i/>
                <w:sz w:val="24"/>
                <w:szCs w:val="24"/>
              </w:rPr>
            </w:pPr>
          </w:p>
          <w:p w14:paraId="12DC2F24" w14:textId="24094196" w:rsidR="00D3203C" w:rsidRPr="00992471" w:rsidRDefault="00D3203C" w:rsidP="00FF7EBB">
            <w:pPr>
              <w:jc w:val="both"/>
              <w:rPr>
                <w:iCs/>
                <w:sz w:val="24"/>
                <w:szCs w:val="24"/>
              </w:rPr>
            </w:pPr>
          </w:p>
          <w:p w14:paraId="1225D23D" w14:textId="4FFF3138" w:rsidR="00D3203C" w:rsidRDefault="00D3203C" w:rsidP="00FF7EBB">
            <w:pPr>
              <w:jc w:val="both"/>
              <w:rPr>
                <w:i/>
                <w:sz w:val="24"/>
                <w:szCs w:val="24"/>
              </w:rPr>
            </w:pPr>
          </w:p>
          <w:p w14:paraId="0C1020FE" w14:textId="0628074A" w:rsidR="00D3203C" w:rsidRPr="003F7BAA" w:rsidRDefault="003F7BAA" w:rsidP="00FF7EBB">
            <w:pPr>
              <w:jc w:val="both"/>
              <w:rPr>
                <w:iCs/>
                <w:sz w:val="24"/>
                <w:szCs w:val="24"/>
              </w:rPr>
            </w:pPr>
            <w:r>
              <w:rPr>
                <w:iCs/>
                <w:sz w:val="24"/>
                <w:szCs w:val="24"/>
              </w:rPr>
              <w:lastRenderedPageBreak/>
              <w:t>40</w:t>
            </w:r>
            <w:r w:rsidR="00DD652A">
              <w:rPr>
                <w:iCs/>
                <w:sz w:val="24"/>
                <w:szCs w:val="24"/>
              </w:rPr>
              <w:t>30</w:t>
            </w:r>
            <w:r>
              <w:rPr>
                <w:iCs/>
                <w:sz w:val="24"/>
                <w:szCs w:val="24"/>
              </w:rPr>
              <w:t xml:space="preserve"> Words. </w:t>
            </w: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686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357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A06"/>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3F7BAA"/>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C306F"/>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4CE"/>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75799"/>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471"/>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D652A"/>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5B24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goldsack-miranda@hotmail.co.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10</Pages>
  <Words>4223</Words>
  <Characters>21967</Characters>
  <Application>Microsoft Office Word</Application>
  <DocSecurity>0</DocSecurity>
  <Lines>183</Lines>
  <Paragraphs>52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26138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Miranda Goldsack</cp:lastModifiedBy>
  <cp:revision>9</cp:revision>
  <cp:lastPrinted>2020-02-11T19:20:00Z</cp:lastPrinted>
  <dcterms:created xsi:type="dcterms:W3CDTF">2022-09-29T11:34:00Z</dcterms:created>
  <dcterms:modified xsi:type="dcterms:W3CDTF">2024-09-16T16:58:00Z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