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AEA" w:rsidRPr="00DF7310" w:rsidRDefault="00A8509C" w:rsidP="00F15609">
      <w:pPr>
        <w:spacing w:line="480" w:lineRule="auto"/>
        <w:jc w:val="center"/>
        <w:rPr>
          <w:rFonts w:ascii="Times New Roman" w:hAnsi="Times New Roman" w:cs="Times New Roman"/>
          <w:sz w:val="24"/>
          <w:szCs w:val="24"/>
          <w:u w:val="single"/>
        </w:rPr>
      </w:pPr>
      <w:r w:rsidRPr="00DF7310">
        <w:rPr>
          <w:rFonts w:ascii="Times New Roman" w:hAnsi="Times New Roman" w:cs="Times New Roman"/>
          <w:sz w:val="24"/>
          <w:szCs w:val="24"/>
          <w:u w:val="single"/>
        </w:rPr>
        <w:t>Discuss the validity of Thucydides as a source and his position as the ‘father of history’</w:t>
      </w:r>
    </w:p>
    <w:p w:rsidR="00B20BE5" w:rsidRPr="00DF7310" w:rsidRDefault="00A8509C" w:rsidP="00F15609">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Thucydides</w:t>
      </w:r>
      <w:r w:rsidR="00B20BE5" w:rsidRPr="00DF7310">
        <w:rPr>
          <w:rFonts w:ascii="Times New Roman" w:hAnsi="Times New Roman" w:cs="Times New Roman"/>
          <w:sz w:val="24"/>
          <w:szCs w:val="24"/>
        </w:rPr>
        <w:t>, along with Herodotus are the combined founders of the western historical method. Herodotus laid the foundations for the writing of narrative history and Thucydides refined the methods into a more critical, methodical approach to research. However, the perception of Thucydides as a “scientific historian” is misguided. Despite this, Thucydides is still a valid source regarding military and political history.</w:t>
      </w:r>
    </w:p>
    <w:p w:rsidR="00A8509C" w:rsidRPr="00DF7310" w:rsidRDefault="00B20BE5"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r>
      <w:r w:rsidR="009D6A56" w:rsidRPr="00DF7310">
        <w:rPr>
          <w:rFonts w:ascii="Times New Roman" w:hAnsi="Times New Roman" w:cs="Times New Roman"/>
          <w:sz w:val="24"/>
          <w:szCs w:val="24"/>
        </w:rPr>
        <w:t>Thucydides is a valid source of information for certain aspects. As a general in the Athenian military, he was able to comment on events which he personally experienced.</w:t>
      </w:r>
      <w:r w:rsidR="00DB2390" w:rsidRPr="00DF7310">
        <w:rPr>
          <w:rFonts w:ascii="Times New Roman" w:hAnsi="Times New Roman" w:cs="Times New Roman"/>
          <w:sz w:val="24"/>
          <w:szCs w:val="24"/>
        </w:rPr>
        <w:t xml:space="preserve"> He also thoroughly investigated his sources for events which he </w:t>
      </w:r>
      <w:r w:rsidR="00AA787B" w:rsidRPr="00DF7310">
        <w:rPr>
          <w:rFonts w:ascii="Times New Roman" w:hAnsi="Times New Roman" w:cs="Times New Roman"/>
          <w:sz w:val="24"/>
          <w:szCs w:val="24"/>
        </w:rPr>
        <w:t>did not personally witness, rather than previous historians, such as Herodotus, who incorporated unverified accounts and mythology into their histories.</w:t>
      </w:r>
      <w:r w:rsidR="00DB2390" w:rsidRPr="00DF7310">
        <w:rPr>
          <w:rStyle w:val="FootnoteReference"/>
          <w:rFonts w:ascii="Times New Roman" w:hAnsi="Times New Roman" w:cs="Times New Roman"/>
          <w:sz w:val="24"/>
          <w:szCs w:val="24"/>
        </w:rPr>
        <w:footnoteReference w:id="1"/>
      </w:r>
      <w:r w:rsidR="00DB2390" w:rsidRPr="00DF7310">
        <w:rPr>
          <w:rFonts w:ascii="Times New Roman" w:hAnsi="Times New Roman" w:cs="Times New Roman"/>
          <w:sz w:val="24"/>
          <w:szCs w:val="24"/>
        </w:rPr>
        <w:t xml:space="preserve"> For this reason, many historians consider him to be </w:t>
      </w:r>
      <w:r w:rsidR="004E15E3" w:rsidRPr="00DF7310">
        <w:rPr>
          <w:rFonts w:ascii="Times New Roman" w:hAnsi="Times New Roman" w:cs="Times New Roman"/>
          <w:sz w:val="24"/>
          <w:szCs w:val="24"/>
        </w:rPr>
        <w:t>the first empirical historian.</w:t>
      </w:r>
      <w:r w:rsidR="004E15E3" w:rsidRPr="00DF7310">
        <w:rPr>
          <w:rStyle w:val="FootnoteReference"/>
          <w:rFonts w:ascii="Times New Roman" w:hAnsi="Times New Roman" w:cs="Times New Roman"/>
          <w:sz w:val="24"/>
          <w:szCs w:val="24"/>
        </w:rPr>
        <w:footnoteReference w:id="2"/>
      </w:r>
      <w:r w:rsidR="009D6A56" w:rsidRPr="00DF7310">
        <w:rPr>
          <w:rFonts w:ascii="Times New Roman" w:hAnsi="Times New Roman" w:cs="Times New Roman"/>
          <w:sz w:val="24"/>
          <w:szCs w:val="24"/>
        </w:rPr>
        <w:t xml:space="preserve"> This makes his insight into the events of the battles, at least from the Athenian perspective, very useful for understanding military tactics, logistics and organisation used in battles he participated in. However, we must be cautious when applying his work to the Peloponnesian side, due </w:t>
      </w:r>
      <w:r w:rsidR="00DB2390" w:rsidRPr="00DF7310">
        <w:rPr>
          <w:rFonts w:ascii="Times New Roman" w:hAnsi="Times New Roman" w:cs="Times New Roman"/>
          <w:sz w:val="24"/>
          <w:szCs w:val="24"/>
        </w:rPr>
        <w:t>to his position</w:t>
      </w:r>
      <w:r w:rsidR="00857F86" w:rsidRPr="00DF7310">
        <w:rPr>
          <w:rFonts w:ascii="Times New Roman" w:hAnsi="Times New Roman" w:cs="Times New Roman"/>
          <w:sz w:val="24"/>
          <w:szCs w:val="24"/>
        </w:rPr>
        <w:t>.</w:t>
      </w:r>
      <w:r w:rsidR="00DB2390" w:rsidRPr="00DF7310">
        <w:rPr>
          <w:rFonts w:ascii="Times New Roman" w:hAnsi="Times New Roman" w:cs="Times New Roman"/>
          <w:sz w:val="24"/>
          <w:szCs w:val="24"/>
        </w:rPr>
        <w:t xml:space="preserve"> This would clearly, knowingly or not, affect his perception</w:t>
      </w:r>
      <w:r w:rsidR="004E15E3" w:rsidRPr="00DF7310">
        <w:rPr>
          <w:rFonts w:ascii="Times New Roman" w:hAnsi="Times New Roman" w:cs="Times New Roman"/>
          <w:sz w:val="24"/>
          <w:szCs w:val="24"/>
        </w:rPr>
        <w:t>, which could draw in some inaccuracies</w:t>
      </w:r>
      <w:r w:rsidR="00DB2390" w:rsidRPr="00DF7310">
        <w:rPr>
          <w:rFonts w:ascii="Times New Roman" w:hAnsi="Times New Roman" w:cs="Times New Roman"/>
          <w:sz w:val="24"/>
          <w:szCs w:val="24"/>
        </w:rPr>
        <w:t>.</w:t>
      </w:r>
      <w:r w:rsidR="00DB2390" w:rsidRPr="00DF7310">
        <w:rPr>
          <w:rStyle w:val="FootnoteReference"/>
          <w:rFonts w:ascii="Times New Roman" w:hAnsi="Times New Roman" w:cs="Times New Roman"/>
          <w:sz w:val="24"/>
          <w:szCs w:val="24"/>
        </w:rPr>
        <w:footnoteReference w:id="3"/>
      </w:r>
      <w:r w:rsidR="006B03D4" w:rsidRPr="00DF7310">
        <w:rPr>
          <w:rFonts w:ascii="Times New Roman" w:hAnsi="Times New Roman" w:cs="Times New Roman"/>
          <w:sz w:val="24"/>
          <w:szCs w:val="24"/>
        </w:rPr>
        <w:t xml:space="preserve"> The fact that the conflict is known as the Peloponnesian War, the Athenian name, rather than the Attic War, the Spartan name, is testament to this.</w:t>
      </w:r>
      <w:r w:rsidR="006B03D4" w:rsidRPr="00DF7310">
        <w:rPr>
          <w:rStyle w:val="FootnoteReference"/>
          <w:rFonts w:ascii="Times New Roman" w:hAnsi="Times New Roman" w:cs="Times New Roman"/>
          <w:sz w:val="24"/>
          <w:szCs w:val="24"/>
        </w:rPr>
        <w:footnoteReference w:id="4"/>
      </w:r>
    </w:p>
    <w:p w:rsidR="00935983" w:rsidRPr="00DF7310" w:rsidRDefault="00935983"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r>
      <w:r w:rsidR="00AC01CB" w:rsidRPr="00DF7310">
        <w:rPr>
          <w:rFonts w:ascii="Times New Roman" w:hAnsi="Times New Roman" w:cs="Times New Roman"/>
          <w:sz w:val="24"/>
          <w:szCs w:val="24"/>
        </w:rPr>
        <w:t>Also</w:t>
      </w:r>
      <w:r w:rsidRPr="00DF7310">
        <w:rPr>
          <w:rFonts w:ascii="Times New Roman" w:hAnsi="Times New Roman" w:cs="Times New Roman"/>
          <w:sz w:val="24"/>
          <w:szCs w:val="24"/>
        </w:rPr>
        <w:t>, Thucydides wrote his history with an assumption that the war would be a major event in history.</w:t>
      </w:r>
      <w:r w:rsidRPr="00DF7310">
        <w:rPr>
          <w:rStyle w:val="FootnoteReference"/>
          <w:rFonts w:ascii="Times New Roman" w:hAnsi="Times New Roman" w:cs="Times New Roman"/>
          <w:sz w:val="24"/>
          <w:szCs w:val="24"/>
        </w:rPr>
        <w:footnoteReference w:id="5"/>
      </w:r>
      <w:r w:rsidRPr="00DF7310">
        <w:rPr>
          <w:rFonts w:ascii="Times New Roman" w:hAnsi="Times New Roman" w:cs="Times New Roman"/>
          <w:sz w:val="24"/>
          <w:szCs w:val="24"/>
        </w:rPr>
        <w:t xml:space="preserve"> This assumption has led to some possible examples of confirmation bias within his work. An example of this is in book 5, in which he uses oracles as evidence for his </w:t>
      </w:r>
      <w:r w:rsidRPr="00DF7310">
        <w:rPr>
          <w:rFonts w:ascii="Times New Roman" w:hAnsi="Times New Roman" w:cs="Times New Roman"/>
          <w:sz w:val="24"/>
          <w:szCs w:val="24"/>
        </w:rPr>
        <w:lastRenderedPageBreak/>
        <w:t>classification of the Peloponnesian War as a single conflict.</w:t>
      </w:r>
      <w:r w:rsidRPr="00DF7310">
        <w:rPr>
          <w:rStyle w:val="FootnoteReference"/>
          <w:rFonts w:ascii="Times New Roman" w:hAnsi="Times New Roman" w:cs="Times New Roman"/>
          <w:sz w:val="24"/>
          <w:szCs w:val="24"/>
        </w:rPr>
        <w:footnoteReference w:id="6"/>
      </w:r>
      <w:r w:rsidR="007F4AF1" w:rsidRPr="00DF7310">
        <w:rPr>
          <w:rFonts w:ascii="Times New Roman" w:hAnsi="Times New Roman" w:cs="Times New Roman"/>
          <w:sz w:val="24"/>
          <w:szCs w:val="24"/>
        </w:rPr>
        <w:t xml:space="preserve"> He also mentions an increase in natural disasters simultaneous to the war in book one, possibly inferring the “wrath of the gods” in response to the breaking of the treaty at the conclusion of the First Peloponnesian War.</w:t>
      </w:r>
      <w:r w:rsidR="007F4AF1" w:rsidRPr="00DF7310">
        <w:rPr>
          <w:rStyle w:val="FootnoteReference"/>
          <w:rFonts w:ascii="Times New Roman" w:hAnsi="Times New Roman" w:cs="Times New Roman"/>
          <w:sz w:val="24"/>
          <w:szCs w:val="24"/>
        </w:rPr>
        <w:footnoteReference w:id="7"/>
      </w:r>
      <w:r w:rsidRPr="00DF7310">
        <w:rPr>
          <w:rFonts w:ascii="Times New Roman" w:hAnsi="Times New Roman" w:cs="Times New Roman"/>
          <w:sz w:val="24"/>
          <w:szCs w:val="24"/>
        </w:rPr>
        <w:t xml:space="preserve"> This shows that, despite his claims to be an impartial, empirical account, he still retains elements of the superstition which he derides in his introduction</w:t>
      </w:r>
      <w:r w:rsidR="005A79B3" w:rsidRPr="00DF7310">
        <w:rPr>
          <w:rFonts w:ascii="Times New Roman" w:hAnsi="Times New Roman" w:cs="Times New Roman"/>
          <w:sz w:val="24"/>
          <w:szCs w:val="24"/>
        </w:rPr>
        <w:t>.</w:t>
      </w:r>
      <w:r w:rsidR="005A79B3" w:rsidRPr="00DF7310">
        <w:rPr>
          <w:rStyle w:val="FootnoteReference"/>
          <w:rFonts w:ascii="Times New Roman" w:hAnsi="Times New Roman" w:cs="Times New Roman"/>
          <w:sz w:val="24"/>
          <w:szCs w:val="24"/>
        </w:rPr>
        <w:footnoteReference w:id="8"/>
      </w:r>
      <w:r w:rsidR="00F90C78" w:rsidRPr="00DF7310">
        <w:rPr>
          <w:rFonts w:ascii="Times New Roman" w:hAnsi="Times New Roman" w:cs="Times New Roman"/>
          <w:sz w:val="24"/>
          <w:szCs w:val="24"/>
        </w:rPr>
        <w:t xml:space="preserve"> Simon </w:t>
      </w:r>
      <w:proofErr w:type="spellStart"/>
      <w:r w:rsidR="00F90C78" w:rsidRPr="00DF7310">
        <w:rPr>
          <w:rFonts w:ascii="Times New Roman" w:hAnsi="Times New Roman" w:cs="Times New Roman"/>
          <w:sz w:val="24"/>
          <w:szCs w:val="24"/>
        </w:rPr>
        <w:t>Hornblower</w:t>
      </w:r>
      <w:proofErr w:type="spellEnd"/>
      <w:r w:rsidR="00F90C78" w:rsidRPr="00DF7310">
        <w:rPr>
          <w:rFonts w:ascii="Times New Roman" w:hAnsi="Times New Roman" w:cs="Times New Roman"/>
          <w:sz w:val="24"/>
          <w:szCs w:val="24"/>
        </w:rPr>
        <w:t xml:space="preserve"> argues that the reason behind this is to surpass the legendary Trojan War in terms of scale.</w:t>
      </w:r>
      <w:r w:rsidR="00F90C78" w:rsidRPr="00DF7310">
        <w:rPr>
          <w:rStyle w:val="FootnoteReference"/>
          <w:rFonts w:ascii="Times New Roman" w:hAnsi="Times New Roman" w:cs="Times New Roman"/>
          <w:sz w:val="24"/>
          <w:szCs w:val="24"/>
        </w:rPr>
        <w:footnoteReference w:id="9"/>
      </w:r>
      <w:r w:rsidR="005A79B3" w:rsidRPr="00DF7310">
        <w:rPr>
          <w:rFonts w:ascii="Times New Roman" w:hAnsi="Times New Roman" w:cs="Times New Roman"/>
          <w:sz w:val="24"/>
          <w:szCs w:val="24"/>
        </w:rPr>
        <w:t xml:space="preserve"> He also passes some rather opinionated comments on certain individuals, such as </w:t>
      </w:r>
      <w:proofErr w:type="spellStart"/>
      <w:r w:rsidR="005A79B3" w:rsidRPr="00DF7310">
        <w:rPr>
          <w:rFonts w:ascii="Times New Roman" w:hAnsi="Times New Roman" w:cs="Times New Roman"/>
          <w:sz w:val="24"/>
          <w:szCs w:val="24"/>
        </w:rPr>
        <w:t>Hyperbolus</w:t>
      </w:r>
      <w:proofErr w:type="spellEnd"/>
      <w:r w:rsidR="005A79B3" w:rsidRPr="00DF7310">
        <w:rPr>
          <w:rFonts w:ascii="Times New Roman" w:hAnsi="Times New Roman" w:cs="Times New Roman"/>
          <w:sz w:val="24"/>
          <w:szCs w:val="24"/>
        </w:rPr>
        <w:t>, whom he describes as “a wretched character”,</w:t>
      </w:r>
      <w:r w:rsidR="005A79B3" w:rsidRPr="00DF7310">
        <w:rPr>
          <w:rStyle w:val="FootnoteReference"/>
          <w:rFonts w:ascii="Times New Roman" w:hAnsi="Times New Roman" w:cs="Times New Roman"/>
          <w:sz w:val="24"/>
          <w:szCs w:val="24"/>
        </w:rPr>
        <w:footnoteReference w:id="10"/>
      </w:r>
      <w:r w:rsidR="005A79B3" w:rsidRPr="00DF7310">
        <w:rPr>
          <w:rFonts w:ascii="Times New Roman" w:hAnsi="Times New Roman" w:cs="Times New Roman"/>
          <w:sz w:val="24"/>
          <w:szCs w:val="24"/>
        </w:rPr>
        <w:t xml:space="preserve"> allowing personal grudges to cloud his judgement, again contradicting his claims in the introduction. Therefore, with regards to his views on individuals, he may be a less valid source than for his military accounts.</w:t>
      </w:r>
    </w:p>
    <w:p w:rsidR="005A79B3" w:rsidRPr="00DF7310" w:rsidRDefault="005A79B3"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t>Despite his</w:t>
      </w:r>
      <w:r w:rsidR="00240E83" w:rsidRPr="00DF7310">
        <w:rPr>
          <w:rFonts w:ascii="Times New Roman" w:hAnsi="Times New Roman" w:cs="Times New Roman"/>
          <w:sz w:val="24"/>
          <w:szCs w:val="24"/>
        </w:rPr>
        <w:t xml:space="preserve"> claims of accuracy, there is a </w:t>
      </w:r>
      <w:r w:rsidRPr="00DF7310">
        <w:rPr>
          <w:rFonts w:ascii="Times New Roman" w:hAnsi="Times New Roman" w:cs="Times New Roman"/>
          <w:sz w:val="24"/>
          <w:szCs w:val="24"/>
        </w:rPr>
        <w:t>striking mistake in describing the burial practices at the battle of Marathon as an exception to the normal customs.</w:t>
      </w:r>
      <w:r w:rsidRPr="00DF7310">
        <w:rPr>
          <w:rStyle w:val="FootnoteReference"/>
          <w:rFonts w:ascii="Times New Roman" w:hAnsi="Times New Roman" w:cs="Times New Roman"/>
          <w:sz w:val="24"/>
          <w:szCs w:val="24"/>
        </w:rPr>
        <w:footnoteReference w:id="11"/>
      </w:r>
      <w:r w:rsidR="00B05F85" w:rsidRPr="00DF7310">
        <w:rPr>
          <w:rFonts w:ascii="Times New Roman" w:hAnsi="Times New Roman" w:cs="Times New Roman"/>
          <w:sz w:val="24"/>
          <w:szCs w:val="24"/>
        </w:rPr>
        <w:t xml:space="preserve"> It was later found that this was the norm for Greek armies until the fifth Century.</w:t>
      </w:r>
      <w:r w:rsidR="00B05F85" w:rsidRPr="00DF7310">
        <w:rPr>
          <w:rStyle w:val="FootnoteReference"/>
          <w:rFonts w:ascii="Times New Roman" w:hAnsi="Times New Roman" w:cs="Times New Roman"/>
          <w:sz w:val="24"/>
          <w:szCs w:val="24"/>
        </w:rPr>
        <w:footnoteReference w:id="12"/>
      </w:r>
      <w:r w:rsidR="00711CB6" w:rsidRPr="00DF7310">
        <w:rPr>
          <w:rFonts w:ascii="Times New Roman" w:hAnsi="Times New Roman" w:cs="Times New Roman"/>
          <w:sz w:val="24"/>
          <w:szCs w:val="24"/>
        </w:rPr>
        <w:t xml:space="preserve"> This possible b</w:t>
      </w:r>
      <w:r w:rsidR="00507F64" w:rsidRPr="00DF7310">
        <w:rPr>
          <w:rFonts w:ascii="Times New Roman" w:hAnsi="Times New Roman" w:cs="Times New Roman"/>
          <w:sz w:val="24"/>
          <w:szCs w:val="24"/>
        </w:rPr>
        <w:t xml:space="preserve">lunder calls into question </w:t>
      </w:r>
      <w:r w:rsidR="00711CB6" w:rsidRPr="00DF7310">
        <w:rPr>
          <w:rFonts w:ascii="Times New Roman" w:hAnsi="Times New Roman" w:cs="Times New Roman"/>
          <w:sz w:val="24"/>
          <w:szCs w:val="24"/>
        </w:rPr>
        <w:t>Thucydides’ knowledge of historical practices and the clai</w:t>
      </w:r>
      <w:r w:rsidR="0033626F" w:rsidRPr="00DF7310">
        <w:rPr>
          <w:rFonts w:ascii="Times New Roman" w:hAnsi="Times New Roman" w:cs="Times New Roman"/>
          <w:sz w:val="24"/>
          <w:szCs w:val="24"/>
        </w:rPr>
        <w:t>ms of accuracy</w:t>
      </w:r>
      <w:r w:rsidR="00711CB6" w:rsidRPr="00DF7310">
        <w:rPr>
          <w:rFonts w:ascii="Times New Roman" w:hAnsi="Times New Roman" w:cs="Times New Roman"/>
          <w:sz w:val="24"/>
          <w:szCs w:val="24"/>
        </w:rPr>
        <w:t>. However, this could be explained by him predicting a response from the reader, particularly from outside Athens which may require an explanation, due to its difference to the</w:t>
      </w:r>
      <w:r w:rsidR="009607C2" w:rsidRPr="00DF7310">
        <w:rPr>
          <w:rFonts w:ascii="Times New Roman" w:hAnsi="Times New Roman" w:cs="Times New Roman"/>
          <w:sz w:val="24"/>
          <w:szCs w:val="24"/>
        </w:rPr>
        <w:t xml:space="preserve"> </w:t>
      </w:r>
      <w:r w:rsidR="00711CB6" w:rsidRPr="00DF7310">
        <w:rPr>
          <w:rFonts w:ascii="Times New Roman" w:hAnsi="Times New Roman" w:cs="Times New Roman"/>
          <w:sz w:val="24"/>
          <w:szCs w:val="24"/>
        </w:rPr>
        <w:t>contemporary burial practices, rather than being a simple mistake.</w:t>
      </w:r>
      <w:r w:rsidR="00711CB6" w:rsidRPr="00DF7310">
        <w:rPr>
          <w:rStyle w:val="FootnoteReference"/>
          <w:rFonts w:ascii="Times New Roman" w:hAnsi="Times New Roman" w:cs="Times New Roman"/>
          <w:sz w:val="24"/>
          <w:szCs w:val="24"/>
        </w:rPr>
        <w:footnoteReference w:id="13"/>
      </w:r>
      <w:r w:rsidR="00711CB6" w:rsidRPr="00DF7310">
        <w:rPr>
          <w:rFonts w:ascii="Times New Roman" w:hAnsi="Times New Roman" w:cs="Times New Roman"/>
          <w:sz w:val="24"/>
          <w:szCs w:val="24"/>
        </w:rPr>
        <w:t xml:space="preserve"> Nonetheless, even if this is the case, he is distorting information for the interests of the reader, </w:t>
      </w:r>
      <w:r w:rsidR="00057FBF" w:rsidRPr="00DF7310">
        <w:rPr>
          <w:rFonts w:ascii="Times New Roman" w:hAnsi="Times New Roman" w:cs="Times New Roman"/>
          <w:sz w:val="24"/>
          <w:szCs w:val="24"/>
        </w:rPr>
        <w:t>contradicting</w:t>
      </w:r>
      <w:r w:rsidR="00711CB6" w:rsidRPr="00DF7310">
        <w:rPr>
          <w:rFonts w:ascii="Times New Roman" w:hAnsi="Times New Roman" w:cs="Times New Roman"/>
          <w:sz w:val="24"/>
          <w:szCs w:val="24"/>
        </w:rPr>
        <w:t xml:space="preserve"> his claims of accuracy and impartiality.</w:t>
      </w:r>
    </w:p>
    <w:p w:rsidR="005C725B" w:rsidRPr="00DF7310" w:rsidRDefault="005C725B"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lastRenderedPageBreak/>
        <w:tab/>
      </w:r>
      <w:r w:rsidR="000312D7" w:rsidRPr="00DF7310">
        <w:rPr>
          <w:rFonts w:ascii="Times New Roman" w:hAnsi="Times New Roman" w:cs="Times New Roman"/>
          <w:sz w:val="24"/>
          <w:szCs w:val="24"/>
        </w:rPr>
        <w:t xml:space="preserve">Regarding the ‘father of history’ section of the question, we must discuss the purpose of Thucydides and his predecessor, Herodotus’ aims and motivations for producing their work. </w:t>
      </w:r>
      <w:r w:rsidR="00D7404D" w:rsidRPr="00DF7310">
        <w:rPr>
          <w:rFonts w:ascii="Times New Roman" w:hAnsi="Times New Roman" w:cs="Times New Roman"/>
          <w:sz w:val="24"/>
          <w:szCs w:val="24"/>
        </w:rPr>
        <w:t xml:space="preserve">This turn of phrase, </w:t>
      </w:r>
      <w:r w:rsidR="005F2C90" w:rsidRPr="00DF7310">
        <w:rPr>
          <w:rFonts w:ascii="Times New Roman" w:hAnsi="Times New Roman" w:cs="Times New Roman"/>
          <w:sz w:val="24"/>
          <w:szCs w:val="24"/>
        </w:rPr>
        <w:t xml:space="preserve">from Cicero’s </w:t>
      </w:r>
      <w:proofErr w:type="gramStart"/>
      <w:r w:rsidR="005F2C90" w:rsidRPr="00DF7310">
        <w:rPr>
          <w:rFonts w:ascii="Times New Roman" w:hAnsi="Times New Roman" w:cs="Times New Roman"/>
          <w:i/>
          <w:sz w:val="24"/>
          <w:szCs w:val="24"/>
        </w:rPr>
        <w:t>On</w:t>
      </w:r>
      <w:proofErr w:type="gramEnd"/>
      <w:r w:rsidR="005F2C90" w:rsidRPr="00DF7310">
        <w:rPr>
          <w:rFonts w:ascii="Times New Roman" w:hAnsi="Times New Roman" w:cs="Times New Roman"/>
          <w:i/>
          <w:sz w:val="24"/>
          <w:szCs w:val="24"/>
        </w:rPr>
        <w:t xml:space="preserve"> The Laws</w:t>
      </w:r>
      <w:r w:rsidR="005F2C90" w:rsidRPr="00DF7310">
        <w:rPr>
          <w:rFonts w:ascii="Times New Roman" w:hAnsi="Times New Roman" w:cs="Times New Roman"/>
          <w:sz w:val="24"/>
          <w:szCs w:val="24"/>
        </w:rPr>
        <w:t>, is generally used to describe</w:t>
      </w:r>
      <w:bookmarkStart w:id="0" w:name="_GoBack"/>
      <w:bookmarkEnd w:id="0"/>
      <w:r w:rsidR="005F2C90" w:rsidRPr="00DF7310">
        <w:rPr>
          <w:rFonts w:ascii="Times New Roman" w:hAnsi="Times New Roman" w:cs="Times New Roman"/>
          <w:sz w:val="24"/>
          <w:szCs w:val="24"/>
        </w:rPr>
        <w:t xml:space="preserve"> Herodotus,</w:t>
      </w:r>
      <w:r w:rsidR="005F2C90" w:rsidRPr="00DF7310">
        <w:rPr>
          <w:rStyle w:val="FootnoteReference"/>
          <w:rFonts w:ascii="Times New Roman" w:hAnsi="Times New Roman" w:cs="Times New Roman"/>
          <w:sz w:val="24"/>
          <w:szCs w:val="24"/>
        </w:rPr>
        <w:footnoteReference w:id="14"/>
      </w:r>
      <w:r w:rsidR="00D00E09" w:rsidRPr="00DF7310">
        <w:rPr>
          <w:rFonts w:ascii="Times New Roman" w:hAnsi="Times New Roman" w:cs="Times New Roman"/>
          <w:sz w:val="24"/>
          <w:szCs w:val="24"/>
        </w:rPr>
        <w:t xml:space="preserve"> who is among the first to perform a study of the past and present it in a narrative form. In the first chapter of Herodotus, he states that his aim is to prevent traces of human history of Greeks and Non-Greeks from being lost in time.</w:t>
      </w:r>
      <w:r w:rsidR="0078684B" w:rsidRPr="00DF7310">
        <w:rPr>
          <w:rFonts w:ascii="Times New Roman" w:hAnsi="Times New Roman" w:cs="Times New Roman"/>
          <w:sz w:val="24"/>
          <w:szCs w:val="24"/>
        </w:rPr>
        <w:t xml:space="preserve"> </w:t>
      </w:r>
      <w:r w:rsidR="00C81852" w:rsidRPr="00DF7310">
        <w:rPr>
          <w:rFonts w:ascii="Times New Roman" w:hAnsi="Times New Roman" w:cs="Times New Roman"/>
          <w:sz w:val="24"/>
          <w:szCs w:val="24"/>
        </w:rPr>
        <w:t>Of importance</w:t>
      </w:r>
      <w:r w:rsidR="0078684B" w:rsidRPr="00DF7310">
        <w:rPr>
          <w:rFonts w:ascii="Times New Roman" w:hAnsi="Times New Roman" w:cs="Times New Roman"/>
          <w:sz w:val="24"/>
          <w:szCs w:val="24"/>
        </w:rPr>
        <w:t xml:space="preserve"> is the ‘Greeks and Non-Greeks’ section of this passage. </w:t>
      </w:r>
      <w:r w:rsidR="00F143FC" w:rsidRPr="00DF7310">
        <w:rPr>
          <w:rFonts w:ascii="Times New Roman" w:hAnsi="Times New Roman" w:cs="Times New Roman"/>
          <w:sz w:val="24"/>
          <w:szCs w:val="24"/>
        </w:rPr>
        <w:t>This is a contradiction to Thucydides’ approach, which specifically sets out to tell the history of the war between Athens and Sparta, although he does mention the effects on the non-Hellenic world.</w:t>
      </w:r>
      <w:r w:rsidR="00F143FC" w:rsidRPr="00DF7310">
        <w:rPr>
          <w:rStyle w:val="FootnoteReference"/>
          <w:rFonts w:ascii="Times New Roman" w:hAnsi="Times New Roman" w:cs="Times New Roman"/>
          <w:sz w:val="24"/>
          <w:szCs w:val="24"/>
        </w:rPr>
        <w:footnoteReference w:id="15"/>
      </w:r>
      <w:r w:rsidR="00F143FC" w:rsidRPr="00DF7310">
        <w:rPr>
          <w:rFonts w:ascii="Times New Roman" w:hAnsi="Times New Roman" w:cs="Times New Roman"/>
          <w:sz w:val="24"/>
          <w:szCs w:val="24"/>
        </w:rPr>
        <w:t xml:space="preserve"> This shows that one of the main discrepancies between the two is that Herodotus focussed more on breadth, telling the story from every perspective and interpretation, whereas Thucydides went into </w:t>
      </w:r>
      <w:r w:rsidR="00C1168D" w:rsidRPr="00DF7310">
        <w:rPr>
          <w:rFonts w:ascii="Times New Roman" w:hAnsi="Times New Roman" w:cs="Times New Roman"/>
          <w:sz w:val="24"/>
          <w:szCs w:val="24"/>
        </w:rPr>
        <w:t>detail</w:t>
      </w:r>
      <w:r w:rsidR="00F143FC" w:rsidRPr="00DF7310">
        <w:rPr>
          <w:rFonts w:ascii="Times New Roman" w:hAnsi="Times New Roman" w:cs="Times New Roman"/>
          <w:sz w:val="24"/>
          <w:szCs w:val="24"/>
        </w:rPr>
        <w:t xml:space="preserve"> on a narrower </w:t>
      </w:r>
      <w:r w:rsidR="00225F6F" w:rsidRPr="00DF7310">
        <w:rPr>
          <w:rFonts w:ascii="Times New Roman" w:hAnsi="Times New Roman" w:cs="Times New Roman"/>
          <w:sz w:val="24"/>
          <w:szCs w:val="24"/>
        </w:rPr>
        <w:t>range of topics</w:t>
      </w:r>
      <w:r w:rsidR="00982C32" w:rsidRPr="00DF7310">
        <w:rPr>
          <w:rFonts w:ascii="Times New Roman" w:hAnsi="Times New Roman" w:cs="Times New Roman"/>
          <w:sz w:val="24"/>
          <w:szCs w:val="24"/>
        </w:rPr>
        <w:t xml:space="preserve">. </w:t>
      </w:r>
      <w:r w:rsidR="00C1168D" w:rsidRPr="00DF7310">
        <w:rPr>
          <w:rFonts w:ascii="Times New Roman" w:hAnsi="Times New Roman" w:cs="Times New Roman"/>
          <w:sz w:val="24"/>
          <w:szCs w:val="24"/>
        </w:rPr>
        <w:t xml:space="preserve">For example, Herodotus </w:t>
      </w:r>
      <w:r w:rsidR="00982C32" w:rsidRPr="00DF7310">
        <w:rPr>
          <w:rFonts w:ascii="Times New Roman" w:hAnsi="Times New Roman" w:cs="Times New Roman"/>
          <w:sz w:val="24"/>
          <w:szCs w:val="24"/>
        </w:rPr>
        <w:t xml:space="preserve">wrote </w:t>
      </w:r>
      <w:r w:rsidR="00DF217F" w:rsidRPr="00DF7310">
        <w:rPr>
          <w:rFonts w:ascii="Times New Roman" w:hAnsi="Times New Roman" w:cs="Times New Roman"/>
          <w:sz w:val="24"/>
          <w:szCs w:val="24"/>
        </w:rPr>
        <w:t>lots</w:t>
      </w:r>
      <w:r w:rsidR="00982C32" w:rsidRPr="00DF7310">
        <w:rPr>
          <w:rFonts w:ascii="Times New Roman" w:hAnsi="Times New Roman" w:cs="Times New Roman"/>
          <w:sz w:val="24"/>
          <w:szCs w:val="24"/>
        </w:rPr>
        <w:t xml:space="preserve"> about the culture and customs of people, such as the description of the Scythians’ use of Cannabis,</w:t>
      </w:r>
      <w:r w:rsidR="00982C32" w:rsidRPr="00DF7310">
        <w:rPr>
          <w:rStyle w:val="FootnoteReference"/>
          <w:rFonts w:ascii="Times New Roman" w:hAnsi="Times New Roman" w:cs="Times New Roman"/>
          <w:sz w:val="24"/>
          <w:szCs w:val="24"/>
        </w:rPr>
        <w:footnoteReference w:id="16"/>
      </w:r>
      <w:r w:rsidR="00982C32" w:rsidRPr="00DF7310">
        <w:rPr>
          <w:rFonts w:ascii="Times New Roman" w:hAnsi="Times New Roman" w:cs="Times New Roman"/>
          <w:sz w:val="24"/>
          <w:szCs w:val="24"/>
        </w:rPr>
        <w:t xml:space="preserve"> </w:t>
      </w:r>
      <w:r w:rsidR="00C1168D" w:rsidRPr="00DF7310">
        <w:rPr>
          <w:rFonts w:ascii="Times New Roman" w:hAnsi="Times New Roman" w:cs="Times New Roman"/>
          <w:sz w:val="24"/>
          <w:szCs w:val="24"/>
        </w:rPr>
        <w:t>whereas Thucydides concentrated on the political and military side. For this reason, Thucydides, although certainly useful for military campaigns, doesn’</w:t>
      </w:r>
      <w:r w:rsidR="008C3F9E" w:rsidRPr="00DF7310">
        <w:rPr>
          <w:rFonts w:ascii="Times New Roman" w:hAnsi="Times New Roman" w:cs="Times New Roman"/>
          <w:sz w:val="24"/>
          <w:szCs w:val="24"/>
        </w:rPr>
        <w:t>t</w:t>
      </w:r>
      <w:r w:rsidR="00C1168D" w:rsidRPr="00DF7310">
        <w:rPr>
          <w:rFonts w:ascii="Times New Roman" w:hAnsi="Times New Roman" w:cs="Times New Roman"/>
          <w:sz w:val="24"/>
          <w:szCs w:val="24"/>
        </w:rPr>
        <w:t xml:space="preserve"> tell us much abo</w:t>
      </w:r>
      <w:r w:rsidR="00310191" w:rsidRPr="00DF7310">
        <w:rPr>
          <w:rFonts w:ascii="Times New Roman" w:hAnsi="Times New Roman" w:cs="Times New Roman"/>
          <w:sz w:val="24"/>
          <w:szCs w:val="24"/>
        </w:rPr>
        <w:t>ut the everyday life</w:t>
      </w:r>
      <w:r w:rsidR="00C1168D" w:rsidRPr="00DF7310">
        <w:rPr>
          <w:rFonts w:ascii="Times New Roman" w:hAnsi="Times New Roman" w:cs="Times New Roman"/>
          <w:sz w:val="24"/>
          <w:szCs w:val="24"/>
        </w:rPr>
        <w:t xml:space="preserve">. Herodotus, on the other hand, </w:t>
      </w:r>
      <w:r w:rsidR="002D0A47" w:rsidRPr="00DF7310">
        <w:rPr>
          <w:rFonts w:ascii="Times New Roman" w:hAnsi="Times New Roman" w:cs="Times New Roman"/>
          <w:sz w:val="24"/>
          <w:szCs w:val="24"/>
        </w:rPr>
        <w:t>despite some of his information being either inaccurate or sometimes entirely untrue, gives us a better understanding of day-to-day activities.</w:t>
      </w:r>
    </w:p>
    <w:p w:rsidR="00381734" w:rsidRPr="00DF7310" w:rsidRDefault="005E56D0"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r>
      <w:r w:rsidR="00266A26" w:rsidRPr="00DF7310">
        <w:rPr>
          <w:rFonts w:ascii="Times New Roman" w:hAnsi="Times New Roman" w:cs="Times New Roman"/>
          <w:sz w:val="24"/>
          <w:szCs w:val="24"/>
        </w:rPr>
        <w:t>We must also consider the audiences intended for each piece of work</w:t>
      </w:r>
      <w:r w:rsidR="003723EC" w:rsidRPr="00DF7310">
        <w:rPr>
          <w:rFonts w:ascii="Times New Roman" w:hAnsi="Times New Roman" w:cs="Times New Roman"/>
          <w:sz w:val="24"/>
          <w:szCs w:val="24"/>
        </w:rPr>
        <w:t xml:space="preserve">. </w:t>
      </w:r>
      <w:r w:rsidR="00266A26" w:rsidRPr="00DF7310">
        <w:rPr>
          <w:rFonts w:ascii="Times New Roman" w:hAnsi="Times New Roman" w:cs="Times New Roman"/>
          <w:sz w:val="24"/>
          <w:szCs w:val="24"/>
        </w:rPr>
        <w:t>To the audience reading or listening to Herodotus’ work at the time, the Persian Wars contained a clear protagonist and antagonist and, therefore the presentation of the war as a heroic struggle</w:t>
      </w:r>
      <w:r w:rsidR="009E68E1" w:rsidRPr="00DF7310">
        <w:rPr>
          <w:rFonts w:ascii="Times New Roman" w:hAnsi="Times New Roman" w:cs="Times New Roman"/>
          <w:sz w:val="24"/>
          <w:szCs w:val="24"/>
        </w:rPr>
        <w:t xml:space="preserve"> for justice and freedom</w:t>
      </w:r>
      <w:r w:rsidR="00266A26" w:rsidRPr="00DF7310">
        <w:rPr>
          <w:rFonts w:ascii="Times New Roman" w:hAnsi="Times New Roman" w:cs="Times New Roman"/>
          <w:sz w:val="24"/>
          <w:szCs w:val="24"/>
        </w:rPr>
        <w:t xml:space="preserve"> against an invading oppressor would be the most appealing message. This is important, because Herodotus’ work was frequently recited as </w:t>
      </w:r>
      <w:r w:rsidR="006E55D0" w:rsidRPr="00DF7310">
        <w:rPr>
          <w:rFonts w:ascii="Times New Roman" w:hAnsi="Times New Roman" w:cs="Times New Roman"/>
          <w:sz w:val="24"/>
          <w:szCs w:val="24"/>
        </w:rPr>
        <w:t>competitive speeches</w:t>
      </w:r>
      <w:r w:rsidR="009E68E1" w:rsidRPr="00DF7310">
        <w:rPr>
          <w:rFonts w:ascii="Times New Roman" w:hAnsi="Times New Roman" w:cs="Times New Roman"/>
          <w:sz w:val="24"/>
          <w:szCs w:val="24"/>
        </w:rPr>
        <w:t xml:space="preserve">, thus needed to be entertaining for the audience, which explains the hyperbole present </w:t>
      </w:r>
      <w:r w:rsidR="009E68E1" w:rsidRPr="00DF7310">
        <w:rPr>
          <w:rFonts w:ascii="Times New Roman" w:hAnsi="Times New Roman" w:cs="Times New Roman"/>
          <w:sz w:val="24"/>
          <w:szCs w:val="24"/>
        </w:rPr>
        <w:lastRenderedPageBreak/>
        <w:t>throughout.</w:t>
      </w:r>
      <w:r w:rsidR="00E964AE" w:rsidRPr="00DF7310">
        <w:rPr>
          <w:rFonts w:ascii="Times New Roman" w:hAnsi="Times New Roman" w:cs="Times New Roman"/>
          <w:sz w:val="24"/>
          <w:szCs w:val="24"/>
        </w:rPr>
        <w:t xml:space="preserve"> The lack of history writing tradition also explains the similarities to mythological prose writing and the narrative format.</w:t>
      </w:r>
      <w:r w:rsidR="009E68E1" w:rsidRPr="00DF7310">
        <w:rPr>
          <w:rStyle w:val="FootnoteReference"/>
          <w:rFonts w:ascii="Times New Roman" w:hAnsi="Times New Roman" w:cs="Times New Roman"/>
          <w:sz w:val="24"/>
          <w:szCs w:val="24"/>
        </w:rPr>
        <w:footnoteReference w:id="17"/>
      </w:r>
      <w:r w:rsidR="009E68E1" w:rsidRPr="00DF7310">
        <w:rPr>
          <w:rFonts w:ascii="Times New Roman" w:hAnsi="Times New Roman" w:cs="Times New Roman"/>
          <w:sz w:val="24"/>
          <w:szCs w:val="24"/>
        </w:rPr>
        <w:t xml:space="preserve"> Thucydides, on the other hand, was writing to a Greek audience about an intra-Greek conflict. For this reason, his audience would have been much more interested in finding out the cause and course of the conflict, which would have been considered tragic, rather than heroic.</w:t>
      </w:r>
      <w:r w:rsidR="00E964AE" w:rsidRPr="00DF7310">
        <w:rPr>
          <w:rFonts w:ascii="Times New Roman" w:hAnsi="Times New Roman" w:cs="Times New Roman"/>
          <w:sz w:val="24"/>
          <w:szCs w:val="24"/>
        </w:rPr>
        <w:t xml:space="preserve"> This tragic perception of the events would have required a more factual approach, so as not to be accused of prejudice.</w:t>
      </w:r>
      <w:r w:rsidR="009E68E1" w:rsidRPr="00DF7310">
        <w:rPr>
          <w:rStyle w:val="FootnoteReference"/>
          <w:rFonts w:ascii="Times New Roman" w:hAnsi="Times New Roman" w:cs="Times New Roman"/>
          <w:sz w:val="24"/>
          <w:szCs w:val="24"/>
        </w:rPr>
        <w:footnoteReference w:id="18"/>
      </w:r>
      <w:r w:rsidR="009E68E1" w:rsidRPr="00DF7310">
        <w:rPr>
          <w:rFonts w:ascii="Times New Roman" w:hAnsi="Times New Roman" w:cs="Times New Roman"/>
          <w:sz w:val="24"/>
          <w:szCs w:val="24"/>
        </w:rPr>
        <w:t xml:space="preserve"> </w:t>
      </w:r>
      <w:r w:rsidR="00E964AE" w:rsidRPr="00DF7310">
        <w:rPr>
          <w:rFonts w:ascii="Times New Roman" w:hAnsi="Times New Roman" w:cs="Times New Roman"/>
          <w:sz w:val="24"/>
          <w:szCs w:val="24"/>
        </w:rPr>
        <w:t>This</w:t>
      </w:r>
      <w:r w:rsidR="00D276F9" w:rsidRPr="00DF7310">
        <w:rPr>
          <w:rFonts w:ascii="Times New Roman" w:hAnsi="Times New Roman" w:cs="Times New Roman"/>
          <w:sz w:val="24"/>
          <w:szCs w:val="24"/>
        </w:rPr>
        <w:t xml:space="preserve"> also explains </w:t>
      </w:r>
      <w:r w:rsidR="00E964AE" w:rsidRPr="00DF7310">
        <w:rPr>
          <w:rFonts w:ascii="Times New Roman" w:hAnsi="Times New Roman" w:cs="Times New Roman"/>
          <w:sz w:val="24"/>
          <w:szCs w:val="24"/>
        </w:rPr>
        <w:t>similarities to Greek tragic narratives, as pointed out by Cornford.</w:t>
      </w:r>
      <w:r w:rsidR="00E964AE" w:rsidRPr="00DF7310">
        <w:rPr>
          <w:rStyle w:val="FootnoteReference"/>
          <w:rFonts w:ascii="Times New Roman" w:hAnsi="Times New Roman" w:cs="Times New Roman"/>
          <w:sz w:val="24"/>
          <w:szCs w:val="24"/>
        </w:rPr>
        <w:footnoteReference w:id="19"/>
      </w:r>
    </w:p>
    <w:p w:rsidR="0036035C" w:rsidRPr="00DF7310" w:rsidRDefault="00680811"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r>
      <w:r w:rsidR="00D13528" w:rsidRPr="00DF7310">
        <w:rPr>
          <w:rFonts w:ascii="Times New Roman" w:hAnsi="Times New Roman" w:cs="Times New Roman"/>
          <w:sz w:val="24"/>
          <w:szCs w:val="24"/>
        </w:rPr>
        <w:t xml:space="preserve">Thucydides was certainly well read in the Hellenic world </w:t>
      </w:r>
      <w:r w:rsidR="00265277" w:rsidRPr="00DF7310">
        <w:rPr>
          <w:rFonts w:ascii="Times New Roman" w:hAnsi="Times New Roman" w:cs="Times New Roman"/>
          <w:sz w:val="24"/>
          <w:szCs w:val="24"/>
        </w:rPr>
        <w:t>after</w:t>
      </w:r>
      <w:r w:rsidR="00D13528" w:rsidRPr="00DF7310">
        <w:rPr>
          <w:rFonts w:ascii="Times New Roman" w:hAnsi="Times New Roman" w:cs="Times New Roman"/>
          <w:sz w:val="24"/>
          <w:szCs w:val="24"/>
        </w:rPr>
        <w:t xml:space="preserve"> his work, with Xenophon’s </w:t>
      </w:r>
      <w:r w:rsidR="00D13528" w:rsidRPr="00DF7310">
        <w:rPr>
          <w:rFonts w:ascii="Times New Roman" w:hAnsi="Times New Roman" w:cs="Times New Roman"/>
          <w:i/>
          <w:sz w:val="24"/>
          <w:szCs w:val="24"/>
        </w:rPr>
        <w:t>Hellenica</w:t>
      </w:r>
      <w:r w:rsidR="00D13528" w:rsidRPr="00DF7310">
        <w:rPr>
          <w:rFonts w:ascii="Times New Roman" w:hAnsi="Times New Roman" w:cs="Times New Roman"/>
          <w:sz w:val="24"/>
          <w:szCs w:val="24"/>
        </w:rPr>
        <w:t xml:space="preserve"> following on from where Thucydides left off without a methodological introduction</w:t>
      </w:r>
      <w:r w:rsidR="0052502F" w:rsidRPr="00DF7310">
        <w:rPr>
          <w:rFonts w:ascii="Times New Roman" w:hAnsi="Times New Roman" w:cs="Times New Roman"/>
          <w:sz w:val="24"/>
          <w:szCs w:val="24"/>
        </w:rPr>
        <w:t>.</w:t>
      </w:r>
      <w:r w:rsidR="004330F3" w:rsidRPr="00DF7310">
        <w:rPr>
          <w:rFonts w:ascii="Times New Roman" w:hAnsi="Times New Roman" w:cs="Times New Roman"/>
          <w:sz w:val="24"/>
          <w:szCs w:val="24"/>
        </w:rPr>
        <w:t xml:space="preserve"> </w:t>
      </w:r>
      <w:r w:rsidR="0052502F" w:rsidRPr="00DF7310">
        <w:rPr>
          <w:rFonts w:ascii="Times New Roman" w:hAnsi="Times New Roman" w:cs="Times New Roman"/>
          <w:sz w:val="24"/>
          <w:szCs w:val="24"/>
        </w:rPr>
        <w:t xml:space="preserve">The </w:t>
      </w:r>
      <w:r w:rsidR="0052502F" w:rsidRPr="00DF7310">
        <w:rPr>
          <w:rFonts w:ascii="Times New Roman" w:hAnsi="Times New Roman" w:cs="Times New Roman"/>
          <w:i/>
          <w:sz w:val="24"/>
          <w:szCs w:val="24"/>
        </w:rPr>
        <w:t>Athenian Constitution</w:t>
      </w:r>
      <w:r w:rsidR="0052502F" w:rsidRPr="00DF7310">
        <w:rPr>
          <w:rFonts w:ascii="Times New Roman" w:hAnsi="Times New Roman" w:cs="Times New Roman"/>
          <w:sz w:val="24"/>
          <w:szCs w:val="24"/>
        </w:rPr>
        <w:t xml:space="preserve"> also uses Thucydides as a source.</w:t>
      </w:r>
      <w:r w:rsidR="0052502F" w:rsidRPr="00DF7310">
        <w:rPr>
          <w:rStyle w:val="FootnoteReference"/>
          <w:rFonts w:ascii="Times New Roman" w:hAnsi="Times New Roman" w:cs="Times New Roman"/>
          <w:sz w:val="24"/>
          <w:szCs w:val="24"/>
        </w:rPr>
        <w:footnoteReference w:id="20"/>
      </w:r>
      <w:r w:rsidR="0052502F" w:rsidRPr="00DF7310">
        <w:rPr>
          <w:rFonts w:ascii="Times New Roman" w:hAnsi="Times New Roman" w:cs="Times New Roman"/>
          <w:sz w:val="24"/>
          <w:szCs w:val="24"/>
        </w:rPr>
        <w:t xml:space="preserve"> There is also a</w:t>
      </w:r>
      <w:r w:rsidR="00D234C6" w:rsidRPr="00DF7310">
        <w:rPr>
          <w:rFonts w:ascii="Times New Roman" w:hAnsi="Times New Roman" w:cs="Times New Roman"/>
          <w:sz w:val="24"/>
          <w:szCs w:val="24"/>
        </w:rPr>
        <w:t>n</w:t>
      </w:r>
      <w:r w:rsidR="0052502F" w:rsidRPr="00DF7310">
        <w:rPr>
          <w:rFonts w:ascii="Times New Roman" w:hAnsi="Times New Roman" w:cs="Times New Roman"/>
          <w:sz w:val="24"/>
          <w:szCs w:val="24"/>
        </w:rPr>
        <w:t xml:space="preserve"> </w:t>
      </w:r>
      <w:r w:rsidR="00D234C6" w:rsidRPr="00DF7310">
        <w:rPr>
          <w:rFonts w:ascii="Times New Roman" w:hAnsi="Times New Roman" w:cs="Times New Roman"/>
          <w:sz w:val="24"/>
          <w:szCs w:val="24"/>
        </w:rPr>
        <w:t>interesting</w:t>
      </w:r>
      <w:r w:rsidR="0052502F" w:rsidRPr="00DF7310">
        <w:rPr>
          <w:rFonts w:ascii="Times New Roman" w:hAnsi="Times New Roman" w:cs="Times New Roman"/>
          <w:sz w:val="24"/>
          <w:szCs w:val="24"/>
        </w:rPr>
        <w:t xml:space="preserve"> disagreement between Aristotle and Thucydides on the causes of the </w:t>
      </w:r>
      <w:proofErr w:type="spellStart"/>
      <w:r w:rsidR="0052502F" w:rsidRPr="00DF7310">
        <w:rPr>
          <w:rFonts w:ascii="Times New Roman" w:hAnsi="Times New Roman" w:cs="Times New Roman"/>
          <w:sz w:val="24"/>
          <w:szCs w:val="24"/>
        </w:rPr>
        <w:t>Mytilenean</w:t>
      </w:r>
      <w:proofErr w:type="spellEnd"/>
      <w:r w:rsidR="0052502F" w:rsidRPr="00DF7310">
        <w:rPr>
          <w:rFonts w:ascii="Times New Roman" w:hAnsi="Times New Roman" w:cs="Times New Roman"/>
          <w:sz w:val="24"/>
          <w:szCs w:val="24"/>
        </w:rPr>
        <w:t xml:space="preserve"> Revolt</w:t>
      </w:r>
      <w:r w:rsidR="00A4231B" w:rsidRPr="00DF7310">
        <w:rPr>
          <w:rFonts w:ascii="Times New Roman" w:hAnsi="Times New Roman" w:cs="Times New Roman"/>
          <w:sz w:val="24"/>
          <w:szCs w:val="24"/>
        </w:rPr>
        <w:t xml:space="preserve">, although there are no contradictions </w:t>
      </w:r>
      <w:r w:rsidR="00AC0DFD" w:rsidRPr="00DF7310">
        <w:rPr>
          <w:rFonts w:ascii="Times New Roman" w:hAnsi="Times New Roman" w:cs="Times New Roman"/>
          <w:sz w:val="24"/>
          <w:szCs w:val="24"/>
        </w:rPr>
        <w:t>on the facts of the event</w:t>
      </w:r>
      <w:r w:rsidR="00A4231B" w:rsidRPr="00DF7310">
        <w:rPr>
          <w:rFonts w:ascii="Times New Roman" w:hAnsi="Times New Roman" w:cs="Times New Roman"/>
          <w:sz w:val="24"/>
          <w:szCs w:val="24"/>
        </w:rPr>
        <w:t>.</w:t>
      </w:r>
      <w:r w:rsidR="00A4231B" w:rsidRPr="00DF7310">
        <w:rPr>
          <w:rStyle w:val="FootnoteReference"/>
          <w:rFonts w:ascii="Times New Roman" w:hAnsi="Times New Roman" w:cs="Times New Roman"/>
          <w:sz w:val="24"/>
          <w:szCs w:val="24"/>
        </w:rPr>
        <w:footnoteReference w:id="21"/>
      </w:r>
      <w:r w:rsidR="00A4231B" w:rsidRPr="00DF7310">
        <w:rPr>
          <w:rFonts w:ascii="Times New Roman" w:hAnsi="Times New Roman" w:cs="Times New Roman"/>
          <w:sz w:val="24"/>
          <w:szCs w:val="24"/>
        </w:rPr>
        <w:t xml:space="preserve"> </w:t>
      </w:r>
      <w:r w:rsidR="004870C7" w:rsidRPr="00DF7310">
        <w:rPr>
          <w:rFonts w:ascii="Times New Roman" w:hAnsi="Times New Roman" w:cs="Times New Roman"/>
          <w:sz w:val="24"/>
          <w:szCs w:val="24"/>
        </w:rPr>
        <w:t xml:space="preserve">This </w:t>
      </w:r>
      <w:r w:rsidR="0036035C" w:rsidRPr="00DF7310">
        <w:rPr>
          <w:rFonts w:ascii="Times New Roman" w:hAnsi="Times New Roman" w:cs="Times New Roman"/>
          <w:sz w:val="24"/>
          <w:szCs w:val="24"/>
        </w:rPr>
        <w:t xml:space="preserve">shows that Thucydides was </w:t>
      </w:r>
      <w:r w:rsidR="004870C7" w:rsidRPr="00DF7310">
        <w:rPr>
          <w:rFonts w:ascii="Times New Roman" w:hAnsi="Times New Roman" w:cs="Times New Roman"/>
          <w:sz w:val="24"/>
          <w:szCs w:val="24"/>
        </w:rPr>
        <w:t>a respected</w:t>
      </w:r>
      <w:r w:rsidR="0036035C" w:rsidRPr="00DF7310">
        <w:rPr>
          <w:rFonts w:ascii="Times New Roman" w:hAnsi="Times New Roman" w:cs="Times New Roman"/>
          <w:sz w:val="24"/>
          <w:szCs w:val="24"/>
        </w:rPr>
        <w:t xml:space="preserve"> source of information</w:t>
      </w:r>
      <w:r w:rsidR="00B80BC6" w:rsidRPr="00DF7310">
        <w:rPr>
          <w:rFonts w:ascii="Times New Roman" w:hAnsi="Times New Roman" w:cs="Times New Roman"/>
          <w:sz w:val="24"/>
          <w:szCs w:val="24"/>
        </w:rPr>
        <w:t>, even if there were disagreements with his conclusions</w:t>
      </w:r>
      <w:r w:rsidR="0036035C" w:rsidRPr="00DF7310">
        <w:rPr>
          <w:rFonts w:ascii="Times New Roman" w:hAnsi="Times New Roman" w:cs="Times New Roman"/>
          <w:sz w:val="24"/>
          <w:szCs w:val="24"/>
        </w:rPr>
        <w:t>.</w:t>
      </w:r>
    </w:p>
    <w:p w:rsidR="00381734" w:rsidRPr="00DF7310" w:rsidRDefault="00A90A53" w:rsidP="00AC6184">
      <w:pPr>
        <w:spacing w:line="480" w:lineRule="auto"/>
        <w:rPr>
          <w:rFonts w:ascii="Times New Roman" w:eastAsia="Times New Roman" w:hAnsi="Times New Roman" w:cs="Times New Roman"/>
          <w:sz w:val="24"/>
          <w:szCs w:val="24"/>
          <w:lang w:eastAsia="en-GB"/>
        </w:rPr>
      </w:pPr>
      <w:r w:rsidRPr="00DF7310">
        <w:rPr>
          <w:rFonts w:ascii="Times New Roman" w:hAnsi="Times New Roman" w:cs="Times New Roman"/>
          <w:sz w:val="24"/>
          <w:szCs w:val="24"/>
        </w:rPr>
        <w:tab/>
        <w:t>To later historians</w:t>
      </w:r>
      <w:r w:rsidR="00381734" w:rsidRPr="00DF7310">
        <w:rPr>
          <w:rFonts w:ascii="Times New Roman" w:hAnsi="Times New Roman" w:cs="Times New Roman"/>
          <w:sz w:val="24"/>
          <w:szCs w:val="24"/>
        </w:rPr>
        <w:t xml:space="preserve">, </w:t>
      </w:r>
      <w:r w:rsidR="007E0297" w:rsidRPr="00DF7310">
        <w:rPr>
          <w:rFonts w:ascii="Times New Roman" w:hAnsi="Times New Roman" w:cs="Times New Roman"/>
          <w:sz w:val="24"/>
          <w:szCs w:val="24"/>
        </w:rPr>
        <w:t>the reception is rather mixed.</w:t>
      </w:r>
      <w:r w:rsidR="00417B05" w:rsidRPr="00DF7310">
        <w:rPr>
          <w:rFonts w:ascii="Times New Roman" w:hAnsi="Times New Roman" w:cs="Times New Roman"/>
          <w:sz w:val="24"/>
          <w:szCs w:val="24"/>
        </w:rPr>
        <w:t xml:space="preserve"> For instance</w:t>
      </w:r>
      <w:r w:rsidR="007E0297" w:rsidRPr="00DF7310">
        <w:rPr>
          <w:rFonts w:ascii="Times New Roman" w:hAnsi="Times New Roman" w:cs="Times New Roman"/>
          <w:sz w:val="24"/>
          <w:szCs w:val="24"/>
        </w:rPr>
        <w:t xml:space="preserve">, Livy uses myths and legends in his </w:t>
      </w:r>
      <w:r w:rsidR="007E0297" w:rsidRPr="00DF7310">
        <w:rPr>
          <w:rFonts w:ascii="Times New Roman" w:hAnsi="Times New Roman" w:cs="Times New Roman"/>
          <w:i/>
          <w:sz w:val="24"/>
          <w:szCs w:val="24"/>
        </w:rPr>
        <w:t>History of Rome</w:t>
      </w:r>
      <w:r w:rsidR="007E0297" w:rsidRPr="00DF7310">
        <w:rPr>
          <w:rFonts w:ascii="Times New Roman" w:hAnsi="Times New Roman" w:cs="Times New Roman"/>
          <w:sz w:val="24"/>
          <w:szCs w:val="24"/>
        </w:rPr>
        <w:t>, such as Romulus and Remus and the medieval historian Bede, uses much of the same, such as the original Anglo-Saxon</w:t>
      </w:r>
      <w:r w:rsidR="00C55B89" w:rsidRPr="00DF7310">
        <w:rPr>
          <w:rFonts w:ascii="Times New Roman" w:hAnsi="Times New Roman" w:cs="Times New Roman"/>
          <w:sz w:val="24"/>
          <w:szCs w:val="24"/>
        </w:rPr>
        <w:t>s</w:t>
      </w:r>
      <w:r w:rsidR="007E0297" w:rsidRPr="00DF7310">
        <w:rPr>
          <w:rFonts w:ascii="Times New Roman" w:hAnsi="Times New Roman" w:cs="Times New Roman"/>
          <w:sz w:val="24"/>
          <w:szCs w:val="24"/>
        </w:rPr>
        <w:t xml:space="preserve"> in Britain being descendants of </w:t>
      </w:r>
      <w:proofErr w:type="spellStart"/>
      <w:r w:rsidR="007E0297" w:rsidRPr="00DF7310">
        <w:rPr>
          <w:rFonts w:ascii="Times New Roman" w:hAnsi="Times New Roman" w:cs="Times New Roman"/>
          <w:sz w:val="24"/>
          <w:szCs w:val="24"/>
        </w:rPr>
        <w:t>Woden</w:t>
      </w:r>
      <w:proofErr w:type="spellEnd"/>
      <w:r w:rsidR="007E0297" w:rsidRPr="00DF7310">
        <w:rPr>
          <w:rFonts w:ascii="Times New Roman" w:hAnsi="Times New Roman" w:cs="Times New Roman"/>
          <w:sz w:val="24"/>
          <w:szCs w:val="24"/>
        </w:rPr>
        <w:t>.</w:t>
      </w:r>
      <w:r w:rsidR="007E0297" w:rsidRPr="00DF7310">
        <w:rPr>
          <w:rStyle w:val="FootnoteReference"/>
          <w:rFonts w:ascii="Times New Roman" w:hAnsi="Times New Roman" w:cs="Times New Roman"/>
          <w:sz w:val="24"/>
          <w:szCs w:val="24"/>
        </w:rPr>
        <w:footnoteReference w:id="22"/>
      </w:r>
      <w:r w:rsidR="007E0297" w:rsidRPr="00DF7310">
        <w:rPr>
          <w:rFonts w:ascii="Times New Roman" w:hAnsi="Times New Roman" w:cs="Times New Roman"/>
          <w:sz w:val="24"/>
          <w:szCs w:val="24"/>
        </w:rPr>
        <w:t xml:space="preserve"> This shows that Thucydides’ approach of using verified sources or person</w:t>
      </w:r>
      <w:r w:rsidR="00F21BEC" w:rsidRPr="00DF7310">
        <w:rPr>
          <w:rFonts w:ascii="Times New Roman" w:hAnsi="Times New Roman" w:cs="Times New Roman"/>
          <w:sz w:val="24"/>
          <w:szCs w:val="24"/>
        </w:rPr>
        <w:t xml:space="preserve">al experience was not universal. However, </w:t>
      </w:r>
      <w:r w:rsidR="003F7026" w:rsidRPr="00DF7310">
        <w:rPr>
          <w:rFonts w:ascii="Times New Roman" w:hAnsi="Times New Roman" w:cs="Times New Roman"/>
          <w:sz w:val="24"/>
          <w:szCs w:val="24"/>
        </w:rPr>
        <w:t>this can be explained by looking at the context they were written</w:t>
      </w:r>
      <w:r w:rsidR="00F21BEC" w:rsidRPr="00DF7310">
        <w:rPr>
          <w:rFonts w:ascii="Times New Roman" w:hAnsi="Times New Roman" w:cs="Times New Roman"/>
          <w:sz w:val="24"/>
          <w:szCs w:val="24"/>
        </w:rPr>
        <w:t xml:space="preserve"> in</w:t>
      </w:r>
      <w:r w:rsidR="003F7026" w:rsidRPr="00DF7310">
        <w:rPr>
          <w:rFonts w:ascii="Times New Roman" w:hAnsi="Times New Roman" w:cs="Times New Roman"/>
          <w:sz w:val="24"/>
          <w:szCs w:val="24"/>
        </w:rPr>
        <w:t xml:space="preserve">. Livy was writing during the Augustan period, just after a major internal conflict and thus, a desire for unity and Bede was writing shortly after the unification of </w:t>
      </w:r>
      <w:r w:rsidR="003F7026" w:rsidRPr="00DF7310">
        <w:rPr>
          <w:rFonts w:ascii="Times New Roman" w:hAnsi="Times New Roman" w:cs="Times New Roman"/>
          <w:sz w:val="24"/>
          <w:szCs w:val="24"/>
        </w:rPr>
        <w:lastRenderedPageBreak/>
        <w:t>England, again trying to find common links between the English people.</w:t>
      </w:r>
      <w:r w:rsidR="00352112" w:rsidRPr="00DF7310">
        <w:rPr>
          <w:rFonts w:ascii="Times New Roman" w:hAnsi="Times New Roman" w:cs="Times New Roman"/>
          <w:sz w:val="24"/>
          <w:szCs w:val="24"/>
        </w:rPr>
        <w:t xml:space="preserve"> Some other historians, such as Polybius were influenced by Herodotus, saying that history is the product of fortune.</w:t>
      </w:r>
      <w:r w:rsidR="00352112" w:rsidRPr="00DF7310">
        <w:rPr>
          <w:rStyle w:val="FootnoteReference"/>
          <w:rFonts w:ascii="Times New Roman" w:hAnsi="Times New Roman" w:cs="Times New Roman"/>
          <w:sz w:val="24"/>
          <w:szCs w:val="24"/>
        </w:rPr>
        <w:footnoteReference w:id="23"/>
      </w:r>
      <w:r w:rsidR="00337CED" w:rsidRPr="00DF7310">
        <w:rPr>
          <w:rFonts w:ascii="Times New Roman" w:hAnsi="Times New Roman" w:cs="Times New Roman"/>
          <w:sz w:val="24"/>
          <w:szCs w:val="24"/>
        </w:rPr>
        <w:t xml:space="preserve"> There are also sections of Polybius’ work which correspond to Thucydides, such as “</w:t>
      </w:r>
      <w:r w:rsidR="00337CED" w:rsidRPr="00DF7310">
        <w:rPr>
          <w:rFonts w:ascii="Times New Roman" w:eastAsia="Times New Roman" w:hAnsi="Times New Roman" w:cs="Times New Roman"/>
          <w:color w:val="000000"/>
          <w:sz w:val="24"/>
          <w:szCs w:val="24"/>
          <w:lang w:eastAsia="en-GB"/>
        </w:rPr>
        <w:t>Of these points some are learnt by experience, some from history, and others by the study of scientific strategy.”</w:t>
      </w:r>
      <w:r w:rsidR="00337CED" w:rsidRPr="00DF7310">
        <w:rPr>
          <w:rStyle w:val="FootnoteReference"/>
          <w:rFonts w:ascii="Times New Roman" w:eastAsia="Times New Roman" w:hAnsi="Times New Roman" w:cs="Times New Roman"/>
          <w:color w:val="000000"/>
          <w:sz w:val="24"/>
          <w:szCs w:val="24"/>
          <w:lang w:eastAsia="en-GB"/>
        </w:rPr>
        <w:footnoteReference w:id="24"/>
      </w:r>
      <w:r w:rsidR="005825C1" w:rsidRPr="00DF7310">
        <w:rPr>
          <w:rFonts w:ascii="Times New Roman" w:eastAsia="Times New Roman" w:hAnsi="Times New Roman" w:cs="Times New Roman"/>
          <w:color w:val="000000"/>
          <w:sz w:val="24"/>
          <w:szCs w:val="24"/>
          <w:lang w:eastAsia="en-GB"/>
        </w:rPr>
        <w:t xml:space="preserve"> Plutarch, on the other hand, despised Herodotus, referring to him as a “</w:t>
      </w:r>
      <w:proofErr w:type="spellStart"/>
      <w:r w:rsidR="005825C1" w:rsidRPr="00DF7310">
        <w:rPr>
          <w:rFonts w:ascii="Times New Roman" w:eastAsia="Times New Roman" w:hAnsi="Times New Roman" w:cs="Times New Roman"/>
          <w:color w:val="000000"/>
          <w:sz w:val="24"/>
          <w:szCs w:val="24"/>
          <w:lang w:eastAsia="en-GB"/>
        </w:rPr>
        <w:t>barbarophile</w:t>
      </w:r>
      <w:proofErr w:type="spellEnd"/>
      <w:r w:rsidR="005825C1" w:rsidRPr="00DF7310">
        <w:rPr>
          <w:rFonts w:ascii="Times New Roman" w:eastAsia="Times New Roman" w:hAnsi="Times New Roman" w:cs="Times New Roman"/>
          <w:color w:val="000000"/>
          <w:sz w:val="24"/>
          <w:szCs w:val="24"/>
          <w:lang w:eastAsia="en-GB"/>
        </w:rPr>
        <w:t>”.</w:t>
      </w:r>
      <w:r w:rsidR="005825C1" w:rsidRPr="00DF7310">
        <w:rPr>
          <w:rStyle w:val="FootnoteReference"/>
          <w:rFonts w:ascii="Times New Roman" w:eastAsia="Times New Roman" w:hAnsi="Times New Roman" w:cs="Times New Roman"/>
          <w:color w:val="000000"/>
          <w:sz w:val="24"/>
          <w:szCs w:val="24"/>
          <w:lang w:eastAsia="en-GB"/>
        </w:rPr>
        <w:footnoteReference w:id="25"/>
      </w:r>
      <w:r w:rsidR="00E81929" w:rsidRPr="00DF7310">
        <w:rPr>
          <w:rFonts w:ascii="Times New Roman" w:eastAsia="Times New Roman" w:hAnsi="Times New Roman" w:cs="Times New Roman"/>
          <w:color w:val="000000"/>
          <w:sz w:val="24"/>
          <w:szCs w:val="24"/>
          <w:lang w:eastAsia="en-GB"/>
        </w:rPr>
        <w:t xml:space="preserve"> These criticisms are more based around him as a person, rather tha</w:t>
      </w:r>
      <w:r w:rsidR="002C4E01" w:rsidRPr="00DF7310">
        <w:rPr>
          <w:rFonts w:ascii="Times New Roman" w:eastAsia="Times New Roman" w:hAnsi="Times New Roman" w:cs="Times New Roman"/>
          <w:color w:val="000000"/>
          <w:sz w:val="24"/>
          <w:szCs w:val="24"/>
          <w:lang w:eastAsia="en-GB"/>
        </w:rPr>
        <w:t>n his methods and today wouldn’</w:t>
      </w:r>
      <w:r w:rsidR="00E81929" w:rsidRPr="00DF7310">
        <w:rPr>
          <w:rFonts w:ascii="Times New Roman" w:eastAsia="Times New Roman" w:hAnsi="Times New Roman" w:cs="Times New Roman"/>
          <w:color w:val="000000"/>
          <w:sz w:val="24"/>
          <w:szCs w:val="24"/>
          <w:lang w:eastAsia="en-GB"/>
        </w:rPr>
        <w:t xml:space="preserve">t be considered valid. </w:t>
      </w:r>
      <w:r w:rsidR="00F760F8" w:rsidRPr="00DF7310">
        <w:rPr>
          <w:rFonts w:ascii="Times New Roman" w:eastAsia="Times New Roman" w:hAnsi="Times New Roman" w:cs="Times New Roman"/>
          <w:color w:val="000000"/>
          <w:sz w:val="24"/>
          <w:szCs w:val="24"/>
          <w:lang w:eastAsia="en-GB"/>
        </w:rPr>
        <w:t>However,</w:t>
      </w:r>
      <w:r w:rsidR="007D5D91" w:rsidRPr="00DF7310">
        <w:rPr>
          <w:rFonts w:ascii="Times New Roman" w:eastAsia="Times New Roman" w:hAnsi="Times New Roman" w:cs="Times New Roman"/>
          <w:color w:val="000000"/>
          <w:sz w:val="24"/>
          <w:szCs w:val="24"/>
          <w:lang w:eastAsia="en-GB"/>
        </w:rPr>
        <w:t xml:space="preserve"> it</w:t>
      </w:r>
      <w:r w:rsidR="00E81929" w:rsidRPr="00DF7310">
        <w:rPr>
          <w:rFonts w:ascii="Times New Roman" w:eastAsia="Times New Roman" w:hAnsi="Times New Roman" w:cs="Times New Roman"/>
          <w:color w:val="000000"/>
          <w:sz w:val="24"/>
          <w:szCs w:val="24"/>
          <w:lang w:eastAsia="en-GB"/>
        </w:rPr>
        <w:t xml:space="preserve"> show</w:t>
      </w:r>
      <w:r w:rsidR="007D5D91" w:rsidRPr="00DF7310">
        <w:rPr>
          <w:rFonts w:ascii="Times New Roman" w:eastAsia="Times New Roman" w:hAnsi="Times New Roman" w:cs="Times New Roman"/>
          <w:color w:val="000000"/>
          <w:sz w:val="24"/>
          <w:szCs w:val="24"/>
          <w:lang w:eastAsia="en-GB"/>
        </w:rPr>
        <w:t>s</w:t>
      </w:r>
      <w:r w:rsidR="00E81929" w:rsidRPr="00DF7310">
        <w:rPr>
          <w:rFonts w:ascii="Times New Roman" w:eastAsia="Times New Roman" w:hAnsi="Times New Roman" w:cs="Times New Roman"/>
          <w:color w:val="000000"/>
          <w:sz w:val="24"/>
          <w:szCs w:val="24"/>
          <w:lang w:eastAsia="en-GB"/>
        </w:rPr>
        <w:t xml:space="preserve"> a split in ancient historical methods and reception.</w:t>
      </w:r>
    </w:p>
    <w:p w:rsidR="005A79B3" w:rsidRPr="00DF7310" w:rsidRDefault="00B80BC6"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t xml:space="preserve">Thucydides </w:t>
      </w:r>
      <w:r w:rsidR="00AD30DD" w:rsidRPr="00DF7310">
        <w:rPr>
          <w:rFonts w:ascii="Times New Roman" w:hAnsi="Times New Roman" w:cs="Times New Roman"/>
          <w:sz w:val="24"/>
          <w:szCs w:val="24"/>
        </w:rPr>
        <w:t>became a major inspiration for</w:t>
      </w:r>
      <w:r w:rsidRPr="00DF7310">
        <w:rPr>
          <w:rFonts w:ascii="Times New Roman" w:hAnsi="Times New Roman" w:cs="Times New Roman"/>
          <w:sz w:val="24"/>
          <w:szCs w:val="24"/>
        </w:rPr>
        <w:t xml:space="preserve"> the empiricist historians of the 19</w:t>
      </w:r>
      <w:r w:rsidRPr="00DF7310">
        <w:rPr>
          <w:rFonts w:ascii="Times New Roman" w:hAnsi="Times New Roman" w:cs="Times New Roman"/>
          <w:sz w:val="24"/>
          <w:szCs w:val="24"/>
          <w:vertAlign w:val="superscript"/>
        </w:rPr>
        <w:t>th</w:t>
      </w:r>
      <w:r w:rsidRPr="00DF7310">
        <w:rPr>
          <w:rFonts w:ascii="Times New Roman" w:hAnsi="Times New Roman" w:cs="Times New Roman"/>
          <w:sz w:val="24"/>
          <w:szCs w:val="24"/>
        </w:rPr>
        <w:t xml:space="preserve"> Century. For example, Leopold Von Ranke </w:t>
      </w:r>
      <w:r w:rsidR="00A43EC7" w:rsidRPr="00DF7310">
        <w:rPr>
          <w:rFonts w:ascii="Times New Roman" w:hAnsi="Times New Roman" w:cs="Times New Roman"/>
          <w:sz w:val="24"/>
          <w:szCs w:val="24"/>
        </w:rPr>
        <w:t xml:space="preserve">is </w:t>
      </w:r>
      <w:r w:rsidR="00DE2F88" w:rsidRPr="00DF7310">
        <w:rPr>
          <w:rFonts w:ascii="Times New Roman" w:hAnsi="Times New Roman" w:cs="Times New Roman"/>
          <w:sz w:val="24"/>
          <w:szCs w:val="24"/>
        </w:rPr>
        <w:t>quoted as saying</w:t>
      </w:r>
      <w:r w:rsidR="00A43EC7" w:rsidRPr="00DF7310">
        <w:rPr>
          <w:rFonts w:ascii="Times New Roman" w:hAnsi="Times New Roman" w:cs="Times New Roman"/>
          <w:sz w:val="24"/>
          <w:szCs w:val="24"/>
        </w:rPr>
        <w:t xml:space="preserve"> “Rather we must construct it from the accounts of eyewitnesses and the most genuine and direct sources.”</w:t>
      </w:r>
      <w:r w:rsidR="00A43EC7" w:rsidRPr="00DF7310">
        <w:rPr>
          <w:rStyle w:val="FootnoteReference"/>
          <w:rFonts w:ascii="Times New Roman" w:hAnsi="Times New Roman" w:cs="Times New Roman"/>
          <w:sz w:val="24"/>
          <w:szCs w:val="24"/>
        </w:rPr>
        <w:footnoteReference w:id="26"/>
      </w:r>
      <w:r w:rsidR="00337CED" w:rsidRPr="00DF7310">
        <w:rPr>
          <w:rFonts w:ascii="Times New Roman" w:hAnsi="Times New Roman" w:cs="Times New Roman"/>
          <w:sz w:val="24"/>
          <w:szCs w:val="24"/>
        </w:rPr>
        <w:t xml:space="preserve"> This is</w:t>
      </w:r>
      <w:r w:rsidR="00A43EC7" w:rsidRPr="00DF7310">
        <w:rPr>
          <w:rFonts w:ascii="Times New Roman" w:hAnsi="Times New Roman" w:cs="Times New Roman"/>
          <w:sz w:val="24"/>
          <w:szCs w:val="24"/>
        </w:rPr>
        <w:t xml:space="preserve"> </w:t>
      </w:r>
      <w:proofErr w:type="gramStart"/>
      <w:r w:rsidR="00A43EC7" w:rsidRPr="00DF7310">
        <w:rPr>
          <w:rFonts w:ascii="Times New Roman" w:hAnsi="Times New Roman" w:cs="Times New Roman"/>
          <w:sz w:val="24"/>
          <w:szCs w:val="24"/>
        </w:rPr>
        <w:t>similar to</w:t>
      </w:r>
      <w:proofErr w:type="gramEnd"/>
      <w:r w:rsidR="00A43EC7" w:rsidRPr="00DF7310">
        <w:rPr>
          <w:rFonts w:ascii="Times New Roman" w:hAnsi="Times New Roman" w:cs="Times New Roman"/>
          <w:sz w:val="24"/>
          <w:szCs w:val="24"/>
        </w:rPr>
        <w:t xml:space="preserve"> Thucydides’ approach outlined in 1.22</w:t>
      </w:r>
      <w:r w:rsidR="00505FF1" w:rsidRPr="00DF7310">
        <w:rPr>
          <w:rFonts w:ascii="Times New Roman" w:hAnsi="Times New Roman" w:cs="Times New Roman"/>
          <w:sz w:val="24"/>
          <w:szCs w:val="24"/>
        </w:rPr>
        <w:t>. However, we must recognise that, at the time historians such as Von Ranke were writing, the world was subjected to multiple conflicts between rival empires, such as the Napoleonic Wars and Crimean War. Therefore, the themes within Thucydides of rising political and military tension and conflict between Athens and Sparta and the level of detail with which he describes them, would have been useful to these historians for understanding their own s</w:t>
      </w:r>
      <w:r w:rsidR="00122158" w:rsidRPr="00DF7310">
        <w:rPr>
          <w:rFonts w:ascii="Times New Roman" w:hAnsi="Times New Roman" w:cs="Times New Roman"/>
          <w:sz w:val="24"/>
          <w:szCs w:val="24"/>
        </w:rPr>
        <w:t xml:space="preserve">ituations. Cold War historians </w:t>
      </w:r>
      <w:r w:rsidR="00505FF1" w:rsidRPr="00DF7310">
        <w:rPr>
          <w:rFonts w:ascii="Times New Roman" w:hAnsi="Times New Roman" w:cs="Times New Roman"/>
          <w:sz w:val="24"/>
          <w:szCs w:val="24"/>
        </w:rPr>
        <w:t xml:space="preserve">may have found Thucydides’ themes appealing, due to the similar ideological division in the world between the Capitalist and Communist nations of the Cold War and the Democratic and Tyrannical systems </w:t>
      </w:r>
      <w:r w:rsidR="00946B90" w:rsidRPr="00DF7310">
        <w:rPr>
          <w:rFonts w:ascii="Times New Roman" w:hAnsi="Times New Roman" w:cs="Times New Roman"/>
          <w:sz w:val="24"/>
          <w:szCs w:val="24"/>
        </w:rPr>
        <w:t>of the Peloponnesian War</w:t>
      </w:r>
      <w:r w:rsidR="009E64F3" w:rsidRPr="00DF7310">
        <w:rPr>
          <w:rFonts w:ascii="Times New Roman" w:hAnsi="Times New Roman" w:cs="Times New Roman"/>
          <w:sz w:val="24"/>
          <w:szCs w:val="24"/>
        </w:rPr>
        <w:t xml:space="preserve">. In contrast, historians </w:t>
      </w:r>
      <w:r w:rsidR="00123C4E" w:rsidRPr="00DF7310">
        <w:rPr>
          <w:rFonts w:ascii="Times New Roman" w:hAnsi="Times New Roman" w:cs="Times New Roman"/>
          <w:sz w:val="24"/>
          <w:szCs w:val="24"/>
        </w:rPr>
        <w:t>after</w:t>
      </w:r>
      <w:r w:rsidR="009E64F3" w:rsidRPr="00DF7310">
        <w:rPr>
          <w:rFonts w:ascii="Times New Roman" w:hAnsi="Times New Roman" w:cs="Times New Roman"/>
          <w:sz w:val="24"/>
          <w:szCs w:val="24"/>
        </w:rPr>
        <w:t xml:space="preserve"> the Cold War would probably prefer Herodotus’ approach of investigating the cultures and customs of all participants in events, partially due to the lack of major tensions, alt</w:t>
      </w:r>
      <w:r w:rsidR="00E77E94" w:rsidRPr="00DF7310">
        <w:rPr>
          <w:rFonts w:ascii="Times New Roman" w:hAnsi="Times New Roman" w:cs="Times New Roman"/>
          <w:sz w:val="24"/>
          <w:szCs w:val="24"/>
        </w:rPr>
        <w:t xml:space="preserve">hough this may </w:t>
      </w:r>
      <w:r w:rsidR="00F77068" w:rsidRPr="00DF7310">
        <w:rPr>
          <w:rFonts w:ascii="Times New Roman" w:hAnsi="Times New Roman" w:cs="Times New Roman"/>
          <w:sz w:val="24"/>
          <w:szCs w:val="24"/>
        </w:rPr>
        <w:t>change</w:t>
      </w:r>
      <w:r w:rsidR="009E64F3" w:rsidRPr="00DF7310">
        <w:rPr>
          <w:rFonts w:ascii="Times New Roman" w:hAnsi="Times New Roman" w:cs="Times New Roman"/>
          <w:sz w:val="24"/>
          <w:szCs w:val="24"/>
        </w:rPr>
        <w:t xml:space="preserve">, given current </w:t>
      </w:r>
      <w:r w:rsidR="009E64F3" w:rsidRPr="00DF7310">
        <w:rPr>
          <w:rFonts w:ascii="Times New Roman" w:hAnsi="Times New Roman" w:cs="Times New Roman"/>
          <w:sz w:val="24"/>
          <w:szCs w:val="24"/>
        </w:rPr>
        <w:lastRenderedPageBreak/>
        <w:t xml:space="preserve">events, but also due to the impact of the Post-Modernist philosophy of History being </w:t>
      </w:r>
      <w:r w:rsidR="005F2C90" w:rsidRPr="00DF7310">
        <w:rPr>
          <w:rFonts w:ascii="Times New Roman" w:hAnsi="Times New Roman" w:cs="Times New Roman"/>
          <w:sz w:val="24"/>
          <w:szCs w:val="24"/>
        </w:rPr>
        <w:t>‘what the historian makes of it,’ rather than a quantifiable discipline.</w:t>
      </w:r>
      <w:r w:rsidR="009E64F3" w:rsidRPr="00DF7310">
        <w:rPr>
          <w:rStyle w:val="FootnoteReference"/>
          <w:rFonts w:ascii="Times New Roman" w:hAnsi="Times New Roman" w:cs="Times New Roman"/>
          <w:sz w:val="24"/>
          <w:szCs w:val="24"/>
        </w:rPr>
        <w:footnoteReference w:id="27"/>
      </w:r>
      <w:r w:rsidR="00BD5563" w:rsidRPr="00DF7310">
        <w:rPr>
          <w:rFonts w:ascii="Times New Roman" w:hAnsi="Times New Roman" w:cs="Times New Roman"/>
          <w:sz w:val="24"/>
          <w:szCs w:val="24"/>
        </w:rPr>
        <w:t xml:space="preserve"> </w:t>
      </w:r>
    </w:p>
    <w:p w:rsidR="00260ACB" w:rsidRPr="00DF7310" w:rsidRDefault="00447E78" w:rsidP="00AC6184">
      <w:pPr>
        <w:spacing w:before="240" w:line="480" w:lineRule="auto"/>
        <w:rPr>
          <w:rFonts w:ascii="Times New Roman" w:hAnsi="Times New Roman" w:cs="Times New Roman"/>
          <w:sz w:val="24"/>
          <w:szCs w:val="24"/>
        </w:rPr>
      </w:pPr>
      <w:r w:rsidRPr="00DF7310">
        <w:rPr>
          <w:rFonts w:ascii="Times New Roman" w:hAnsi="Times New Roman" w:cs="Times New Roman"/>
          <w:sz w:val="24"/>
          <w:szCs w:val="24"/>
        </w:rPr>
        <w:tab/>
      </w:r>
      <w:r w:rsidR="008B081C" w:rsidRPr="00DF7310">
        <w:rPr>
          <w:rFonts w:ascii="Times New Roman" w:hAnsi="Times New Roman" w:cs="Times New Roman"/>
          <w:sz w:val="24"/>
          <w:szCs w:val="24"/>
        </w:rPr>
        <w:t xml:space="preserve">Thucydides, although certainly influential, cannot be considered the “father of history” alone. I would say that Thucydides and Herodotus are the fathers of history as a combination. This is perfectly portrayed by a dual bust of the two of them back to back, showing that the ancient Greeks revered </w:t>
      </w:r>
      <w:r w:rsidR="002B2A02" w:rsidRPr="00DF7310">
        <w:rPr>
          <w:rFonts w:ascii="Times New Roman" w:hAnsi="Times New Roman" w:cs="Times New Roman"/>
          <w:sz w:val="24"/>
          <w:szCs w:val="24"/>
        </w:rPr>
        <w:t xml:space="preserve">them both </w:t>
      </w:r>
      <w:r w:rsidR="008B081C" w:rsidRPr="00DF7310">
        <w:rPr>
          <w:rFonts w:ascii="Times New Roman" w:hAnsi="Times New Roman" w:cs="Times New Roman"/>
          <w:sz w:val="24"/>
          <w:szCs w:val="24"/>
        </w:rPr>
        <w:t>combined.</w:t>
      </w:r>
      <w:r w:rsidR="002B2A02" w:rsidRPr="00DF7310">
        <w:rPr>
          <w:rFonts w:ascii="Times New Roman" w:hAnsi="Times New Roman" w:cs="Times New Roman"/>
          <w:sz w:val="24"/>
          <w:szCs w:val="24"/>
        </w:rPr>
        <w:t xml:space="preserve"> Depending on the conditions of the time, one or </w:t>
      </w:r>
      <w:r w:rsidRPr="00DF7310">
        <w:rPr>
          <w:rFonts w:ascii="Times New Roman" w:hAnsi="Times New Roman" w:cs="Times New Roman"/>
          <w:sz w:val="24"/>
          <w:szCs w:val="24"/>
        </w:rPr>
        <w:t>the other may be more respected</w:t>
      </w:r>
      <w:r w:rsidR="002B2A02" w:rsidRPr="00DF7310">
        <w:rPr>
          <w:rFonts w:ascii="Times New Roman" w:hAnsi="Times New Roman" w:cs="Times New Roman"/>
          <w:sz w:val="24"/>
          <w:szCs w:val="24"/>
        </w:rPr>
        <w:t>.</w:t>
      </w:r>
      <w:r w:rsidR="00E83391" w:rsidRPr="00DF7310">
        <w:rPr>
          <w:rStyle w:val="FootnoteReference"/>
          <w:rFonts w:ascii="Times New Roman" w:hAnsi="Times New Roman" w:cs="Times New Roman"/>
          <w:sz w:val="24"/>
          <w:szCs w:val="24"/>
        </w:rPr>
        <w:footnoteReference w:id="28"/>
      </w:r>
    </w:p>
    <w:p w:rsidR="009E64F3" w:rsidRPr="00DF7310" w:rsidRDefault="006917F8" w:rsidP="005A79B3">
      <w:pPr>
        <w:spacing w:before="240" w:line="240" w:lineRule="auto"/>
        <w:rPr>
          <w:rFonts w:ascii="Times New Roman" w:hAnsi="Times New Roman" w:cs="Times New Roman"/>
          <w:sz w:val="24"/>
          <w:szCs w:val="24"/>
        </w:rPr>
      </w:pPr>
      <w:r w:rsidRPr="00DF7310">
        <w:rPr>
          <w:rFonts w:ascii="Times New Roman" w:hAnsi="Times New Roman" w:cs="Times New Roman"/>
          <w:sz w:val="24"/>
          <w:szCs w:val="24"/>
        </w:rPr>
        <w:t>Word Count: 1649</w:t>
      </w:r>
    </w:p>
    <w:p w:rsidR="005825C1" w:rsidRPr="00DF7310" w:rsidRDefault="005825C1" w:rsidP="005A79B3">
      <w:pPr>
        <w:spacing w:before="240" w:line="240" w:lineRule="auto"/>
        <w:rPr>
          <w:rFonts w:ascii="Times New Roman" w:hAnsi="Times New Roman" w:cs="Times New Roman"/>
          <w:sz w:val="24"/>
          <w:szCs w:val="24"/>
        </w:rPr>
      </w:pPr>
    </w:p>
    <w:p w:rsidR="005825C1" w:rsidRPr="00DF7310" w:rsidRDefault="005825C1" w:rsidP="005A79B3">
      <w:pPr>
        <w:spacing w:before="240" w:line="240" w:lineRule="auto"/>
        <w:rPr>
          <w:rFonts w:ascii="Times New Roman" w:hAnsi="Times New Roman" w:cs="Times New Roman"/>
          <w:sz w:val="24"/>
          <w:szCs w:val="24"/>
        </w:rPr>
      </w:pPr>
    </w:p>
    <w:p w:rsidR="005825C1" w:rsidRPr="00DF7310" w:rsidRDefault="005825C1" w:rsidP="005A79B3">
      <w:pPr>
        <w:spacing w:before="240" w:line="240" w:lineRule="auto"/>
        <w:rPr>
          <w:rFonts w:ascii="Times New Roman" w:hAnsi="Times New Roman" w:cs="Times New Roman"/>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5A79B3">
      <w:pPr>
        <w:spacing w:before="240" w:line="240" w:lineRule="auto"/>
        <w:rPr>
          <w:rFonts w:ascii="Times New Roman" w:hAnsi="Times New Roman" w:cs="Times New Roman"/>
          <w:color w:val="000000"/>
          <w:sz w:val="24"/>
          <w:szCs w:val="24"/>
        </w:rPr>
      </w:pPr>
    </w:p>
    <w:p w:rsidR="00352083" w:rsidRPr="00DF7310" w:rsidRDefault="00352083" w:rsidP="00352083">
      <w:pPr>
        <w:spacing w:before="240" w:line="240" w:lineRule="auto"/>
        <w:rPr>
          <w:rFonts w:ascii="Times New Roman" w:hAnsi="Times New Roman" w:cs="Times New Roman"/>
          <w:color w:val="000000"/>
          <w:sz w:val="24"/>
          <w:szCs w:val="24"/>
        </w:rPr>
      </w:pPr>
    </w:p>
    <w:p w:rsidR="00260ACB" w:rsidRPr="00DF7310" w:rsidRDefault="00260ACB" w:rsidP="00260ACB">
      <w:pPr>
        <w:pStyle w:val="Heading1"/>
        <w:rPr>
          <w:rFonts w:ascii="Times New Roman" w:hAnsi="Times New Roman" w:cs="Times New Roman"/>
          <w:sz w:val="24"/>
          <w:szCs w:val="24"/>
        </w:rPr>
      </w:pPr>
      <w:r w:rsidRPr="00DF7310">
        <w:rPr>
          <w:rFonts w:ascii="Times New Roman" w:hAnsi="Times New Roman" w:cs="Times New Roman"/>
          <w:sz w:val="24"/>
          <w:szCs w:val="24"/>
        </w:rPr>
        <w:lastRenderedPageBreak/>
        <w:t>Bibliography</w:t>
      </w:r>
    </w:p>
    <w:sdt>
      <w:sdtPr>
        <w:rPr>
          <w:rFonts w:ascii="Times New Roman" w:hAnsi="Times New Roman" w:cs="Times New Roman"/>
          <w:sz w:val="24"/>
          <w:szCs w:val="24"/>
        </w:rPr>
        <w:id w:val="111145805"/>
        <w:bibliography/>
      </w:sdtPr>
      <w:sdtEndPr/>
      <w:sdtContent>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sz w:val="24"/>
              <w:szCs w:val="24"/>
            </w:rPr>
            <w:fldChar w:fldCharType="begin"/>
          </w:r>
          <w:r w:rsidRPr="00DF7310">
            <w:rPr>
              <w:rFonts w:ascii="Times New Roman" w:hAnsi="Times New Roman" w:cs="Times New Roman"/>
              <w:sz w:val="24"/>
              <w:szCs w:val="24"/>
            </w:rPr>
            <w:instrText xml:space="preserve"> BIBLIOGRAPHY </w:instrText>
          </w:r>
          <w:r w:rsidRPr="00DF7310">
            <w:rPr>
              <w:rFonts w:ascii="Times New Roman" w:hAnsi="Times New Roman" w:cs="Times New Roman"/>
              <w:sz w:val="24"/>
              <w:szCs w:val="24"/>
            </w:rPr>
            <w:fldChar w:fldCharType="separate"/>
          </w:r>
          <w:r w:rsidRPr="00DF7310">
            <w:rPr>
              <w:rFonts w:ascii="Times New Roman" w:hAnsi="Times New Roman" w:cs="Times New Roman"/>
              <w:noProof/>
              <w:sz w:val="24"/>
              <w:szCs w:val="24"/>
              <w:lang w:val="en-US"/>
            </w:rPr>
            <w:t xml:space="preserve">Aristotle, </w:t>
          </w:r>
          <w:r w:rsidRPr="00DF7310">
            <w:rPr>
              <w:rFonts w:ascii="Times New Roman" w:hAnsi="Times New Roman" w:cs="Times New Roman"/>
              <w:i/>
              <w:iCs/>
              <w:noProof/>
              <w:sz w:val="24"/>
              <w:szCs w:val="24"/>
              <w:lang w:val="en-US"/>
            </w:rPr>
            <w:t>Politics/ The Athenian Constitution.</w:t>
          </w:r>
          <w:r w:rsidRPr="00DF7310">
            <w:rPr>
              <w:rFonts w:ascii="Times New Roman" w:hAnsi="Times New Roman" w:cs="Times New Roman"/>
              <w:iCs/>
              <w:noProof/>
              <w:sz w:val="24"/>
              <w:szCs w:val="24"/>
              <w:lang w:val="en-US"/>
            </w:rPr>
            <w:t xml:space="preserve"> Warrington. J (trans.). 1969.</w:t>
          </w:r>
          <w:r w:rsidRPr="00DF7310">
            <w:rPr>
              <w:rFonts w:ascii="Times New Roman" w:hAnsi="Times New Roman" w:cs="Times New Roman"/>
              <w:i/>
              <w:iCs/>
              <w:noProof/>
              <w:sz w:val="24"/>
              <w:szCs w:val="24"/>
              <w:lang w:val="en-US"/>
            </w:rPr>
            <w:t xml:space="preserve"> </w:t>
          </w:r>
          <w:r w:rsidRPr="00DF7310">
            <w:rPr>
              <w:rFonts w:ascii="Times New Roman" w:hAnsi="Times New Roman" w:cs="Times New Roman"/>
              <w:noProof/>
              <w:sz w:val="24"/>
              <w:szCs w:val="24"/>
              <w:lang w:val="en-US"/>
            </w:rPr>
            <w:t>s.l.:Heron Books.</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Bede, </w:t>
          </w:r>
          <w:r w:rsidRPr="00DF7310">
            <w:rPr>
              <w:rFonts w:ascii="Times New Roman" w:hAnsi="Times New Roman" w:cs="Times New Roman"/>
              <w:i/>
              <w:iCs/>
              <w:noProof/>
              <w:sz w:val="24"/>
              <w:szCs w:val="24"/>
              <w:lang w:val="en-US"/>
            </w:rPr>
            <w:t xml:space="preserve">Ecclesiastical History of the English Nation. </w:t>
          </w:r>
          <w:r w:rsidRPr="00DF7310">
            <w:rPr>
              <w:rFonts w:ascii="Times New Roman" w:hAnsi="Times New Roman" w:cs="Times New Roman"/>
              <w:iCs/>
              <w:noProof/>
              <w:sz w:val="24"/>
              <w:szCs w:val="24"/>
              <w:lang w:val="en-US"/>
            </w:rPr>
            <w:t>Leo Shirley-Price (trans.). 1990.</w:t>
          </w:r>
          <w:r w:rsidRPr="00DF7310">
            <w:rPr>
              <w:rFonts w:ascii="Times New Roman" w:hAnsi="Times New Roman" w:cs="Times New Roman"/>
              <w:i/>
              <w:iCs/>
              <w:noProof/>
              <w:sz w:val="24"/>
              <w:szCs w:val="24"/>
              <w:lang w:val="en-US"/>
            </w:rPr>
            <w:t xml:space="preserve"> </w:t>
          </w:r>
          <w:r w:rsidRPr="00DF7310">
            <w:rPr>
              <w:rFonts w:ascii="Times New Roman" w:hAnsi="Times New Roman" w:cs="Times New Roman"/>
              <w:noProof/>
              <w:sz w:val="24"/>
              <w:szCs w:val="24"/>
              <w:lang w:val="en-US"/>
            </w:rPr>
            <w:t>London: Penguin</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Cartledge, P., 2013. Introduction. In: </w:t>
          </w:r>
          <w:r w:rsidRPr="00DF7310">
            <w:rPr>
              <w:rFonts w:ascii="Times New Roman" w:hAnsi="Times New Roman" w:cs="Times New Roman"/>
              <w:i/>
              <w:iCs/>
              <w:noProof/>
              <w:sz w:val="24"/>
              <w:szCs w:val="24"/>
              <w:lang w:val="en-US"/>
            </w:rPr>
            <w:t xml:space="preserve">Herodotus: The Histories. </w:t>
          </w:r>
          <w:r w:rsidRPr="00DF7310">
            <w:rPr>
              <w:rFonts w:ascii="Times New Roman" w:hAnsi="Times New Roman" w:cs="Times New Roman"/>
              <w:noProof/>
              <w:sz w:val="24"/>
              <w:szCs w:val="24"/>
              <w:lang w:val="en-US"/>
            </w:rPr>
            <w:t>London: Penguin, pp. xv-xxxi.</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Cochrane, C. N., 1929. </w:t>
          </w:r>
          <w:r w:rsidRPr="00DF7310">
            <w:rPr>
              <w:rFonts w:ascii="Times New Roman" w:hAnsi="Times New Roman" w:cs="Times New Roman"/>
              <w:i/>
              <w:iCs/>
              <w:noProof/>
              <w:sz w:val="24"/>
              <w:szCs w:val="24"/>
              <w:lang w:val="en-US"/>
            </w:rPr>
            <w:t xml:space="preserve">Thucydides and the Science of History. </w:t>
          </w:r>
          <w:r w:rsidRPr="00DF7310">
            <w:rPr>
              <w:rFonts w:ascii="Times New Roman" w:hAnsi="Times New Roman" w:cs="Times New Roman"/>
              <w:noProof/>
              <w:sz w:val="24"/>
              <w:szCs w:val="24"/>
              <w:lang w:val="en-US"/>
            </w:rPr>
            <w:t>London: Oxford University Press.</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Cornford, F. M., 1907. </w:t>
          </w:r>
          <w:r w:rsidRPr="00DF7310">
            <w:rPr>
              <w:rFonts w:ascii="Times New Roman" w:hAnsi="Times New Roman" w:cs="Times New Roman"/>
              <w:i/>
              <w:iCs/>
              <w:noProof/>
              <w:sz w:val="24"/>
              <w:szCs w:val="24"/>
              <w:lang w:val="en-US"/>
            </w:rPr>
            <w:t xml:space="preserve">Thucydides Mythistoricus. </w:t>
          </w:r>
          <w:r w:rsidRPr="00DF7310">
            <w:rPr>
              <w:rFonts w:ascii="Times New Roman" w:hAnsi="Times New Roman" w:cs="Times New Roman"/>
              <w:noProof/>
              <w:sz w:val="24"/>
              <w:szCs w:val="24"/>
              <w:lang w:val="en-US"/>
            </w:rPr>
            <w:t>London: Edward Arnold.</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Darbo-Peschanski, C., 2007. The Origin of Greek Historiography. In: J. Marincola, ed. </w:t>
          </w:r>
          <w:r w:rsidRPr="00DF7310">
            <w:rPr>
              <w:rFonts w:ascii="Times New Roman" w:hAnsi="Times New Roman" w:cs="Times New Roman"/>
              <w:i/>
              <w:iCs/>
              <w:noProof/>
              <w:sz w:val="24"/>
              <w:szCs w:val="24"/>
              <w:lang w:val="en-US"/>
            </w:rPr>
            <w:t xml:space="preserve">A Companion to Greek and Roman Historiography. </w:t>
          </w:r>
          <w:r w:rsidRPr="00DF7310">
            <w:rPr>
              <w:rFonts w:ascii="Times New Roman" w:hAnsi="Times New Roman" w:cs="Times New Roman"/>
              <w:noProof/>
              <w:sz w:val="24"/>
              <w:szCs w:val="24"/>
              <w:lang w:val="en-US"/>
            </w:rPr>
            <w:t>Oxford: Blackwell Publishing, pp. 27-38.</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Dewald, C., 2008. Introduction. In: </w:t>
          </w:r>
          <w:r w:rsidRPr="00DF7310">
            <w:rPr>
              <w:rFonts w:ascii="Times New Roman" w:hAnsi="Times New Roman" w:cs="Times New Roman"/>
              <w:i/>
              <w:iCs/>
              <w:noProof/>
              <w:sz w:val="24"/>
              <w:szCs w:val="24"/>
              <w:lang w:val="en-US"/>
            </w:rPr>
            <w:t xml:space="preserve">Herodotus: The Histories. </w:t>
          </w:r>
          <w:r w:rsidRPr="00DF7310">
            <w:rPr>
              <w:rFonts w:ascii="Times New Roman" w:hAnsi="Times New Roman" w:cs="Times New Roman"/>
              <w:noProof/>
              <w:sz w:val="24"/>
              <w:szCs w:val="24"/>
              <w:lang w:val="en-US"/>
            </w:rPr>
            <w:t>Oxford: Oxford University Press, pp. ix-xli.</w:t>
          </w:r>
        </w:p>
        <w:p w:rsidR="00AE1238" w:rsidRPr="00DF7310" w:rsidRDefault="00AE1238" w:rsidP="00AE1238">
          <w:pPr>
            <w:rPr>
              <w:rFonts w:ascii="Times New Roman" w:hAnsi="Times New Roman" w:cs="Times New Roman"/>
              <w:sz w:val="24"/>
              <w:szCs w:val="24"/>
              <w:lang w:val="en-US"/>
            </w:rPr>
          </w:pPr>
          <w:r w:rsidRPr="00DF7310">
            <w:rPr>
              <w:rFonts w:ascii="Times New Roman" w:hAnsi="Times New Roman" w:cs="Times New Roman"/>
              <w:sz w:val="24"/>
              <w:szCs w:val="24"/>
              <w:lang w:val="en-US"/>
            </w:rPr>
            <w:t>Grafton, A., 1997. The Footnote: A Curious History. Cambridge, MA: Harvard University Press</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Griffith, T., 1996. Introduction. In: </w:t>
          </w:r>
          <w:r w:rsidRPr="00DF7310">
            <w:rPr>
              <w:rFonts w:ascii="Times New Roman" w:hAnsi="Times New Roman" w:cs="Times New Roman"/>
              <w:i/>
              <w:iCs/>
              <w:noProof/>
              <w:sz w:val="24"/>
              <w:szCs w:val="24"/>
              <w:lang w:val="en-US"/>
            </w:rPr>
            <w:t xml:space="preserve">Histories: Herodotus. </w:t>
          </w:r>
          <w:r w:rsidRPr="00DF7310">
            <w:rPr>
              <w:rFonts w:ascii="Times New Roman" w:hAnsi="Times New Roman" w:cs="Times New Roman"/>
              <w:noProof/>
              <w:sz w:val="24"/>
              <w:szCs w:val="24"/>
              <w:lang w:val="en-US"/>
            </w:rPr>
            <w:t>Ware: Wordsworth Editions Limited, pp. v-xi.</w:t>
          </w:r>
        </w:p>
        <w:p w:rsidR="00260ACB" w:rsidRPr="00DF7310" w:rsidRDefault="00260ACB" w:rsidP="00260ACB">
          <w:pPr>
            <w:rPr>
              <w:rFonts w:ascii="Times New Roman" w:hAnsi="Times New Roman" w:cs="Times New Roman"/>
              <w:sz w:val="24"/>
              <w:szCs w:val="24"/>
              <w:lang w:val="en-US"/>
            </w:rPr>
          </w:pPr>
          <w:r w:rsidRPr="00DF7310">
            <w:rPr>
              <w:rFonts w:ascii="Times New Roman" w:hAnsi="Times New Roman" w:cs="Times New Roman"/>
              <w:sz w:val="24"/>
              <w:szCs w:val="24"/>
              <w:lang w:val="en-US"/>
            </w:rPr>
            <w:t xml:space="preserve">Herodotus, </w:t>
          </w:r>
          <w:r w:rsidRPr="00DF7310">
            <w:rPr>
              <w:rFonts w:ascii="Times New Roman" w:hAnsi="Times New Roman" w:cs="Times New Roman"/>
              <w:i/>
              <w:sz w:val="24"/>
              <w:szCs w:val="24"/>
              <w:lang w:val="en-US"/>
            </w:rPr>
            <w:t xml:space="preserve">The Histories. </w:t>
          </w:r>
          <w:r w:rsidRPr="00DF7310">
            <w:rPr>
              <w:rFonts w:ascii="Times New Roman" w:hAnsi="Times New Roman" w:cs="Times New Roman"/>
              <w:sz w:val="24"/>
              <w:szCs w:val="24"/>
              <w:lang w:val="en-US"/>
            </w:rPr>
            <w:t>Robin Waterfield (trans.). 1998. Oxford: Oxford University Press</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Hornblower, S., 1995. The Fourth-Century and Hellenistic Reception of Thucydides. </w:t>
          </w:r>
          <w:r w:rsidRPr="00DF7310">
            <w:rPr>
              <w:rFonts w:ascii="Times New Roman" w:hAnsi="Times New Roman" w:cs="Times New Roman"/>
              <w:i/>
              <w:iCs/>
              <w:noProof/>
              <w:sz w:val="24"/>
              <w:szCs w:val="24"/>
              <w:lang w:val="en-US"/>
            </w:rPr>
            <w:t xml:space="preserve">The Journal of Hellenistic Studies, </w:t>
          </w:r>
          <w:r w:rsidRPr="00DF7310">
            <w:rPr>
              <w:rFonts w:ascii="Times New Roman" w:hAnsi="Times New Roman" w:cs="Times New Roman"/>
              <w:noProof/>
              <w:sz w:val="24"/>
              <w:szCs w:val="24"/>
              <w:lang w:val="en-US"/>
            </w:rPr>
            <w:t>Volume 115, pp. 47-68.</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Hornblower, S., 2002. </w:t>
          </w:r>
          <w:r w:rsidRPr="00DF7310">
            <w:rPr>
              <w:rFonts w:ascii="Times New Roman" w:hAnsi="Times New Roman" w:cs="Times New Roman"/>
              <w:i/>
              <w:iCs/>
              <w:noProof/>
              <w:sz w:val="24"/>
              <w:szCs w:val="24"/>
              <w:lang w:val="en-US"/>
            </w:rPr>
            <w:t xml:space="preserve">The Greek World: 479-323BC. </w:t>
          </w:r>
          <w:r w:rsidRPr="00DF7310">
            <w:rPr>
              <w:rFonts w:ascii="Times New Roman" w:hAnsi="Times New Roman" w:cs="Times New Roman"/>
              <w:noProof/>
              <w:sz w:val="24"/>
              <w:szCs w:val="24"/>
              <w:lang w:val="en-US"/>
            </w:rPr>
            <w:t>3rd ed. London: Routledge.</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Livy, 1971. </w:t>
          </w:r>
          <w:r w:rsidRPr="00DF7310">
            <w:rPr>
              <w:rFonts w:ascii="Times New Roman" w:hAnsi="Times New Roman" w:cs="Times New Roman"/>
              <w:i/>
              <w:iCs/>
              <w:noProof/>
              <w:sz w:val="24"/>
              <w:szCs w:val="24"/>
              <w:lang w:val="en-US"/>
            </w:rPr>
            <w:t xml:space="preserve">The Early History of Rome. </w:t>
          </w:r>
          <w:r w:rsidRPr="00DF7310">
            <w:rPr>
              <w:rFonts w:ascii="Times New Roman" w:hAnsi="Times New Roman" w:cs="Times New Roman"/>
              <w:iCs/>
              <w:noProof/>
              <w:sz w:val="24"/>
              <w:szCs w:val="24"/>
              <w:lang w:val="en-US"/>
            </w:rPr>
            <w:t>Aubrey De Selincourt. 1971.</w:t>
          </w:r>
          <w:r w:rsidRPr="00DF7310">
            <w:rPr>
              <w:rFonts w:ascii="Times New Roman" w:hAnsi="Times New Roman" w:cs="Times New Roman"/>
              <w:i/>
              <w:iCs/>
              <w:noProof/>
              <w:sz w:val="24"/>
              <w:szCs w:val="24"/>
              <w:lang w:val="en-US"/>
            </w:rPr>
            <w:t xml:space="preserve"> </w:t>
          </w:r>
          <w:r w:rsidRPr="00DF7310">
            <w:rPr>
              <w:rFonts w:ascii="Times New Roman" w:hAnsi="Times New Roman" w:cs="Times New Roman"/>
              <w:noProof/>
              <w:sz w:val="24"/>
              <w:szCs w:val="24"/>
              <w:lang w:val="en-US"/>
            </w:rPr>
            <w:t>London: Penguin.</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McGing, B., 2010. Introduction. In: </w:t>
          </w:r>
          <w:r w:rsidRPr="00DF7310">
            <w:rPr>
              <w:rFonts w:ascii="Times New Roman" w:hAnsi="Times New Roman" w:cs="Times New Roman"/>
              <w:i/>
              <w:noProof/>
              <w:sz w:val="24"/>
              <w:szCs w:val="24"/>
              <w:lang w:val="en-US"/>
            </w:rPr>
            <w:t xml:space="preserve">Polybius: </w:t>
          </w:r>
          <w:r w:rsidRPr="00DF7310">
            <w:rPr>
              <w:rFonts w:ascii="Times New Roman" w:hAnsi="Times New Roman" w:cs="Times New Roman"/>
              <w:i/>
              <w:iCs/>
              <w:noProof/>
              <w:sz w:val="24"/>
              <w:szCs w:val="24"/>
              <w:lang w:val="en-US"/>
            </w:rPr>
            <w:t xml:space="preserve">The Histories. </w:t>
          </w:r>
          <w:r w:rsidRPr="00DF7310">
            <w:rPr>
              <w:rFonts w:ascii="Times New Roman" w:hAnsi="Times New Roman" w:cs="Times New Roman"/>
              <w:noProof/>
              <w:sz w:val="24"/>
              <w:szCs w:val="24"/>
              <w:lang w:val="en-US"/>
            </w:rPr>
            <w:t>Oxford: Oxford University Press, pp. vii-xxxv.</w:t>
          </w:r>
          <w:r w:rsidRPr="00DF7310">
            <w:rPr>
              <w:rFonts w:ascii="Times New Roman" w:hAnsi="Times New Roman" w:cs="Times New Roman"/>
              <w:noProof/>
              <w:sz w:val="24"/>
              <w:szCs w:val="24"/>
              <w:lang w:val="en-US"/>
            </w:rPr>
            <w:tab/>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Oost, S. I., 1975. Thucydides and the Irrational: Sundry Passages. </w:t>
          </w:r>
          <w:r w:rsidRPr="00DF7310">
            <w:rPr>
              <w:rFonts w:ascii="Times New Roman" w:hAnsi="Times New Roman" w:cs="Times New Roman"/>
              <w:i/>
              <w:iCs/>
              <w:noProof/>
              <w:sz w:val="24"/>
              <w:szCs w:val="24"/>
              <w:lang w:val="en-US"/>
            </w:rPr>
            <w:t xml:space="preserve">Classical Philology, </w:t>
          </w:r>
          <w:r w:rsidRPr="00DF7310">
            <w:rPr>
              <w:rFonts w:ascii="Times New Roman" w:hAnsi="Times New Roman" w:cs="Times New Roman"/>
              <w:noProof/>
              <w:sz w:val="24"/>
              <w:szCs w:val="24"/>
              <w:lang w:val="en-US"/>
            </w:rPr>
            <w:t>July, 70(3), pp. 186-196.</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Plutarch. </w:t>
          </w:r>
          <w:r w:rsidRPr="00DF7310">
            <w:rPr>
              <w:rFonts w:ascii="Times New Roman" w:hAnsi="Times New Roman" w:cs="Times New Roman"/>
              <w:i/>
              <w:iCs/>
              <w:noProof/>
              <w:sz w:val="24"/>
              <w:szCs w:val="24"/>
              <w:lang w:val="en-US"/>
            </w:rPr>
            <w:t>Malice of Herodotus.</w:t>
          </w:r>
          <w:r w:rsidRPr="00DF7310">
            <w:rPr>
              <w:rFonts w:ascii="Times New Roman" w:hAnsi="Times New Roman" w:cs="Times New Roman"/>
              <w:iCs/>
              <w:noProof/>
              <w:sz w:val="24"/>
              <w:szCs w:val="24"/>
              <w:lang w:val="en-US"/>
            </w:rPr>
            <w:t xml:space="preserve"> Anthony Bowen (trans.), 1992,</w:t>
          </w:r>
          <w:r w:rsidRPr="00DF7310">
            <w:rPr>
              <w:rFonts w:ascii="Times New Roman" w:hAnsi="Times New Roman" w:cs="Times New Roman"/>
              <w:i/>
              <w:iCs/>
              <w:noProof/>
              <w:sz w:val="24"/>
              <w:szCs w:val="24"/>
              <w:lang w:val="en-US"/>
            </w:rPr>
            <w:t xml:space="preserve"> </w:t>
          </w:r>
          <w:r w:rsidRPr="00DF7310">
            <w:rPr>
              <w:rFonts w:ascii="Times New Roman" w:hAnsi="Times New Roman" w:cs="Times New Roman"/>
              <w:noProof/>
              <w:sz w:val="24"/>
              <w:szCs w:val="24"/>
              <w:lang w:val="en-US"/>
            </w:rPr>
            <w:t>Warminster: Aris &amp; Phillips Ltd.</w:t>
          </w:r>
        </w:p>
        <w:p w:rsidR="00260ACB" w:rsidRPr="00DF7310" w:rsidRDefault="00260ACB" w:rsidP="00260ACB">
          <w:pPr>
            <w:rPr>
              <w:rFonts w:ascii="Times New Roman" w:hAnsi="Times New Roman" w:cs="Times New Roman"/>
              <w:sz w:val="24"/>
              <w:szCs w:val="24"/>
              <w:lang w:val="en-US"/>
            </w:rPr>
          </w:pPr>
          <w:r w:rsidRPr="00DF7310">
            <w:rPr>
              <w:rFonts w:ascii="Times New Roman" w:hAnsi="Times New Roman" w:cs="Times New Roman"/>
              <w:sz w:val="24"/>
              <w:szCs w:val="24"/>
              <w:lang w:val="en-US"/>
            </w:rPr>
            <w:t xml:space="preserve">Polybius. </w:t>
          </w:r>
          <w:r w:rsidRPr="00DF7310">
            <w:rPr>
              <w:rFonts w:ascii="Times New Roman" w:hAnsi="Times New Roman" w:cs="Times New Roman"/>
              <w:i/>
              <w:sz w:val="24"/>
              <w:szCs w:val="24"/>
              <w:lang w:val="en-US"/>
            </w:rPr>
            <w:t>Histories.</w:t>
          </w:r>
          <w:r w:rsidRPr="00DF7310">
            <w:rPr>
              <w:rFonts w:ascii="Times New Roman" w:hAnsi="Times New Roman" w:cs="Times New Roman"/>
              <w:sz w:val="24"/>
              <w:szCs w:val="24"/>
              <w:lang w:val="en-US"/>
            </w:rPr>
            <w:t xml:space="preserve"> Evelyn S. Shuckburgh (trans.). 1889. London, New York: Macmillan.</w:t>
          </w:r>
        </w:p>
        <w:p w:rsidR="00260ACB" w:rsidRPr="00DF7310" w:rsidRDefault="00260ACB" w:rsidP="00260ACB">
          <w:pPr>
            <w:rPr>
              <w:rFonts w:ascii="Times New Roman" w:hAnsi="Times New Roman" w:cs="Times New Roman"/>
              <w:sz w:val="24"/>
              <w:szCs w:val="24"/>
              <w:lang w:val="en-US"/>
            </w:rPr>
          </w:pPr>
          <w:r w:rsidRPr="00DF7310">
            <w:rPr>
              <w:rFonts w:ascii="Times New Roman" w:hAnsi="Times New Roman" w:cs="Times New Roman"/>
              <w:sz w:val="24"/>
              <w:szCs w:val="24"/>
              <w:lang w:val="en-US"/>
            </w:rPr>
            <w:t xml:space="preserve">Polybius. </w:t>
          </w:r>
          <w:r w:rsidRPr="00DF7310">
            <w:rPr>
              <w:rFonts w:ascii="Times New Roman" w:hAnsi="Times New Roman" w:cs="Times New Roman"/>
              <w:i/>
              <w:sz w:val="24"/>
              <w:szCs w:val="24"/>
              <w:lang w:val="en-US"/>
            </w:rPr>
            <w:t>The Histories</w:t>
          </w:r>
          <w:r w:rsidRPr="00DF7310">
            <w:rPr>
              <w:rFonts w:ascii="Times New Roman" w:hAnsi="Times New Roman" w:cs="Times New Roman"/>
              <w:sz w:val="24"/>
              <w:szCs w:val="24"/>
              <w:lang w:val="en-US"/>
            </w:rPr>
            <w:t>. Robin Waterfield (trans.), 2010, Oxford: Oxford University Press.</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Pritchett, W. K., 1985. </w:t>
          </w:r>
          <w:r w:rsidRPr="00DF7310">
            <w:rPr>
              <w:rFonts w:ascii="Times New Roman" w:hAnsi="Times New Roman" w:cs="Times New Roman"/>
              <w:i/>
              <w:iCs/>
              <w:noProof/>
              <w:sz w:val="24"/>
              <w:szCs w:val="24"/>
              <w:lang w:val="en-US"/>
            </w:rPr>
            <w:t xml:space="preserve">The Greek State at War Part IV. </w:t>
          </w:r>
          <w:r w:rsidRPr="00DF7310">
            <w:rPr>
              <w:rFonts w:ascii="Times New Roman" w:hAnsi="Times New Roman" w:cs="Times New Roman"/>
              <w:noProof/>
              <w:sz w:val="24"/>
              <w:szCs w:val="24"/>
              <w:lang w:val="en-US"/>
            </w:rPr>
            <w:t>London: University of California Press.</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Thucydides, </w:t>
          </w:r>
          <w:r w:rsidRPr="00DF7310">
            <w:rPr>
              <w:rFonts w:ascii="Times New Roman" w:hAnsi="Times New Roman" w:cs="Times New Roman"/>
              <w:i/>
              <w:iCs/>
              <w:noProof/>
              <w:sz w:val="24"/>
              <w:szCs w:val="24"/>
              <w:lang w:val="en-US"/>
            </w:rPr>
            <w:t xml:space="preserve">History of the Peloponnesian war. </w:t>
          </w:r>
          <w:r w:rsidRPr="00DF7310">
            <w:rPr>
              <w:rFonts w:ascii="Times New Roman" w:hAnsi="Times New Roman" w:cs="Times New Roman"/>
              <w:iCs/>
              <w:noProof/>
              <w:sz w:val="24"/>
              <w:szCs w:val="24"/>
              <w:lang w:val="en-US"/>
            </w:rPr>
            <w:t>Rex Warner (trans). 1972.</w:t>
          </w:r>
          <w:r w:rsidRPr="00DF7310">
            <w:rPr>
              <w:rFonts w:ascii="Times New Roman" w:hAnsi="Times New Roman" w:cs="Times New Roman"/>
              <w:i/>
              <w:iCs/>
              <w:noProof/>
              <w:sz w:val="24"/>
              <w:szCs w:val="24"/>
              <w:lang w:val="en-US"/>
            </w:rPr>
            <w:t xml:space="preserve"> </w:t>
          </w:r>
          <w:r w:rsidRPr="00DF7310">
            <w:rPr>
              <w:rFonts w:ascii="Times New Roman" w:hAnsi="Times New Roman" w:cs="Times New Roman"/>
              <w:noProof/>
              <w:sz w:val="24"/>
              <w:szCs w:val="24"/>
              <w:lang w:val="en-US"/>
            </w:rPr>
            <w:t>London: Penguin.</w:t>
          </w:r>
        </w:p>
        <w:p w:rsidR="00260ACB" w:rsidRPr="00DF7310" w:rsidRDefault="00260ACB" w:rsidP="00260ACB">
          <w:pPr>
            <w:pStyle w:val="Bibliography"/>
            <w:rPr>
              <w:rFonts w:ascii="Times New Roman" w:hAnsi="Times New Roman" w:cs="Times New Roman"/>
              <w:noProof/>
              <w:sz w:val="24"/>
              <w:szCs w:val="24"/>
              <w:lang w:val="en-US"/>
            </w:rPr>
          </w:pPr>
          <w:r w:rsidRPr="00DF7310">
            <w:rPr>
              <w:rFonts w:ascii="Times New Roman" w:hAnsi="Times New Roman" w:cs="Times New Roman"/>
              <w:noProof/>
              <w:sz w:val="24"/>
              <w:szCs w:val="24"/>
              <w:lang w:val="en-US"/>
            </w:rPr>
            <w:t xml:space="preserve">Toher, M., 1999. On "Thucydides' Blunder": 2.34.5. </w:t>
          </w:r>
          <w:r w:rsidRPr="00DF7310">
            <w:rPr>
              <w:rFonts w:ascii="Times New Roman" w:hAnsi="Times New Roman" w:cs="Times New Roman"/>
              <w:i/>
              <w:iCs/>
              <w:noProof/>
              <w:sz w:val="24"/>
              <w:szCs w:val="24"/>
              <w:lang w:val="en-US"/>
            </w:rPr>
            <w:t xml:space="preserve">Hermes, </w:t>
          </w:r>
          <w:r w:rsidRPr="00DF7310">
            <w:rPr>
              <w:rFonts w:ascii="Times New Roman" w:hAnsi="Times New Roman" w:cs="Times New Roman"/>
              <w:noProof/>
              <w:sz w:val="24"/>
              <w:szCs w:val="24"/>
              <w:lang w:val="en-US"/>
            </w:rPr>
            <w:t>Volume 127, pp. 497-501.</w:t>
          </w:r>
        </w:p>
        <w:p w:rsidR="00260ACB" w:rsidRPr="00DF7310" w:rsidRDefault="00260ACB" w:rsidP="00260ACB">
          <w:pPr>
            <w:pStyle w:val="Bibliography"/>
            <w:rPr>
              <w:rFonts w:ascii="Times New Roman" w:hAnsi="Times New Roman" w:cs="Times New Roman"/>
              <w:noProof/>
              <w:sz w:val="24"/>
              <w:szCs w:val="24"/>
            </w:rPr>
          </w:pPr>
          <w:r w:rsidRPr="00DF7310">
            <w:rPr>
              <w:rFonts w:ascii="Times New Roman" w:hAnsi="Times New Roman" w:cs="Times New Roman"/>
              <w:sz w:val="24"/>
              <w:szCs w:val="24"/>
            </w:rPr>
            <w:lastRenderedPageBreak/>
            <w:fldChar w:fldCharType="begin"/>
          </w:r>
          <w:r w:rsidRPr="00DF7310">
            <w:rPr>
              <w:rFonts w:ascii="Times New Roman" w:hAnsi="Times New Roman" w:cs="Times New Roman"/>
              <w:sz w:val="24"/>
              <w:szCs w:val="24"/>
            </w:rPr>
            <w:instrText xml:space="preserve"> BIBLIOGRAPHY  \l 2057 </w:instrText>
          </w:r>
          <w:r w:rsidRPr="00DF7310">
            <w:rPr>
              <w:rFonts w:ascii="Times New Roman" w:hAnsi="Times New Roman" w:cs="Times New Roman"/>
              <w:sz w:val="24"/>
              <w:szCs w:val="24"/>
            </w:rPr>
            <w:fldChar w:fldCharType="separate"/>
          </w:r>
          <w:r w:rsidRPr="00DF7310">
            <w:rPr>
              <w:rFonts w:ascii="Times New Roman" w:hAnsi="Times New Roman" w:cs="Times New Roman"/>
              <w:noProof/>
              <w:sz w:val="24"/>
              <w:szCs w:val="24"/>
            </w:rPr>
            <w:t xml:space="preserve">University of Cambridge, n.d. </w:t>
          </w:r>
          <w:r w:rsidRPr="00DF7310">
            <w:rPr>
              <w:rFonts w:ascii="Times New Roman" w:hAnsi="Times New Roman" w:cs="Times New Roman"/>
              <w:i/>
              <w:iCs/>
              <w:noProof/>
              <w:sz w:val="24"/>
              <w:szCs w:val="24"/>
            </w:rPr>
            <w:t xml:space="preserve">Museum of Classical Archaeology Databases: Double Herm of Thucydides and Herodotus. </w:t>
          </w:r>
          <w:r w:rsidRPr="00DF7310">
            <w:rPr>
              <w:rFonts w:ascii="Times New Roman" w:hAnsi="Times New Roman" w:cs="Times New Roman"/>
              <w:noProof/>
              <w:sz w:val="24"/>
              <w:szCs w:val="24"/>
            </w:rPr>
            <w:t xml:space="preserve">[Online] </w:t>
          </w:r>
          <w:r w:rsidRPr="00DF7310">
            <w:rPr>
              <w:rFonts w:ascii="Times New Roman" w:hAnsi="Times New Roman" w:cs="Times New Roman"/>
              <w:noProof/>
              <w:sz w:val="24"/>
              <w:szCs w:val="24"/>
            </w:rPr>
            <w:br/>
            <w:t xml:space="preserve">Available at: </w:t>
          </w:r>
          <w:r w:rsidRPr="00DF7310">
            <w:rPr>
              <w:rFonts w:ascii="Times New Roman" w:hAnsi="Times New Roman" w:cs="Times New Roman"/>
              <w:noProof/>
              <w:sz w:val="24"/>
              <w:szCs w:val="24"/>
              <w:u w:val="single"/>
            </w:rPr>
            <w:t>http://museum.classics.cam.ac.uk/collections/casts/double-herm-thucydides-and-herodotus</w:t>
          </w:r>
          <w:r w:rsidRPr="00DF7310">
            <w:rPr>
              <w:rFonts w:ascii="Times New Roman" w:hAnsi="Times New Roman" w:cs="Times New Roman"/>
              <w:noProof/>
              <w:sz w:val="24"/>
              <w:szCs w:val="24"/>
            </w:rPr>
            <w:br/>
            <w:t>[Accessed 10 November 2017].</w:t>
          </w:r>
        </w:p>
        <w:p w:rsidR="00260ACB" w:rsidRPr="00DF7310" w:rsidRDefault="00260ACB" w:rsidP="00D75FA8">
          <w:pPr>
            <w:spacing w:before="240" w:line="240" w:lineRule="auto"/>
            <w:rPr>
              <w:rFonts w:ascii="Times New Roman" w:hAnsi="Times New Roman" w:cs="Times New Roman"/>
              <w:sz w:val="24"/>
              <w:szCs w:val="24"/>
            </w:rPr>
          </w:pPr>
          <w:r w:rsidRPr="00DF7310">
            <w:rPr>
              <w:rFonts w:ascii="Times New Roman" w:hAnsi="Times New Roman" w:cs="Times New Roman"/>
              <w:sz w:val="24"/>
              <w:szCs w:val="24"/>
            </w:rPr>
            <w:fldChar w:fldCharType="end"/>
          </w:r>
        </w:p>
        <w:p w:rsidR="00260ACB" w:rsidRPr="005825C1" w:rsidRDefault="00260ACB" w:rsidP="00260ACB">
          <w:pPr>
            <w:spacing w:before="240" w:line="240" w:lineRule="auto"/>
            <w:rPr>
              <w:rFonts w:ascii="Times New Roman" w:hAnsi="Times New Roman" w:cs="Times New Roman"/>
              <w:sz w:val="24"/>
              <w:szCs w:val="24"/>
            </w:rPr>
          </w:pPr>
          <w:r w:rsidRPr="00DF7310">
            <w:rPr>
              <w:rFonts w:ascii="Times New Roman" w:hAnsi="Times New Roman" w:cs="Times New Roman"/>
              <w:b/>
              <w:bCs/>
              <w:noProof/>
              <w:sz w:val="24"/>
              <w:szCs w:val="24"/>
            </w:rPr>
            <w:fldChar w:fldCharType="end"/>
          </w:r>
        </w:p>
      </w:sdtContent>
    </w:sdt>
    <w:sectPr w:rsidR="00260ACB" w:rsidRPr="005825C1">
      <w:headerReference w:type="default" r:id="rId7"/>
      <w:footnotePr>
        <w:numRestart w:val="eachPage"/>
      </w:foot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4DF0" w:rsidRDefault="00764DF0" w:rsidP="00A8509C">
      <w:pPr>
        <w:spacing w:after="0" w:line="240" w:lineRule="auto"/>
      </w:pPr>
      <w:r>
        <w:separator/>
      </w:r>
    </w:p>
  </w:endnote>
  <w:endnote w:type="continuationSeparator" w:id="0">
    <w:p w:rsidR="00764DF0" w:rsidRDefault="00764DF0" w:rsidP="00A85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4DF0" w:rsidRDefault="00764DF0" w:rsidP="00A8509C">
      <w:pPr>
        <w:spacing w:after="0" w:line="240" w:lineRule="auto"/>
      </w:pPr>
      <w:r>
        <w:separator/>
      </w:r>
    </w:p>
  </w:footnote>
  <w:footnote w:type="continuationSeparator" w:id="0">
    <w:p w:rsidR="00764DF0" w:rsidRDefault="00764DF0" w:rsidP="00A8509C">
      <w:pPr>
        <w:spacing w:after="0" w:line="240" w:lineRule="auto"/>
      </w:pPr>
      <w:r>
        <w:continuationSeparator/>
      </w:r>
    </w:p>
  </w:footnote>
  <w:footnote w:id="1">
    <w:p w:rsidR="00DB2390" w:rsidRDefault="00DB2390">
      <w:pPr>
        <w:pStyle w:val="FootnoteText"/>
      </w:pPr>
      <w:r>
        <w:rPr>
          <w:rStyle w:val="FootnoteReference"/>
        </w:rPr>
        <w:footnoteRef/>
      </w:r>
      <w:r w:rsidR="005820B5">
        <w:t xml:space="preserve"> (</w:t>
      </w:r>
      <w:proofErr w:type="spellStart"/>
      <w:r w:rsidR="005820B5">
        <w:t>Thuc</w:t>
      </w:r>
      <w:proofErr w:type="spellEnd"/>
      <w:r w:rsidR="005820B5">
        <w:t>.</w:t>
      </w:r>
      <w:r>
        <w:t xml:space="preserve"> 1.22)</w:t>
      </w:r>
    </w:p>
  </w:footnote>
  <w:footnote w:id="2">
    <w:p w:rsidR="004E15E3" w:rsidRDefault="004E15E3">
      <w:pPr>
        <w:pStyle w:val="FootnoteText"/>
      </w:pPr>
      <w:r>
        <w:rPr>
          <w:rStyle w:val="FootnoteReference"/>
        </w:rPr>
        <w:footnoteRef/>
      </w:r>
      <w:r>
        <w:t xml:space="preserve"> </w:t>
      </w:r>
      <w:sdt>
        <w:sdtPr>
          <w:id w:val="685717087"/>
          <w:citation/>
        </w:sdtPr>
        <w:sdtEndPr/>
        <w:sdtContent>
          <w:r>
            <w:fldChar w:fldCharType="begin"/>
          </w:r>
          <w:r>
            <w:instrText xml:space="preserve"> CITATION Cha29 \l 2057 </w:instrText>
          </w:r>
          <w:r>
            <w:fldChar w:fldCharType="separate"/>
          </w:r>
          <w:r w:rsidRPr="004E15E3">
            <w:rPr>
              <w:noProof/>
            </w:rPr>
            <w:t>(Cochrane, 1929)</w:t>
          </w:r>
          <w:r>
            <w:fldChar w:fldCharType="end"/>
          </w:r>
        </w:sdtContent>
      </w:sdt>
    </w:p>
  </w:footnote>
  <w:footnote w:id="3">
    <w:p w:rsidR="00DB2390" w:rsidRDefault="00DB2390">
      <w:pPr>
        <w:pStyle w:val="FootnoteText"/>
      </w:pPr>
      <w:r>
        <w:rPr>
          <w:rStyle w:val="FootnoteReference"/>
        </w:rPr>
        <w:footnoteRef/>
      </w:r>
      <w:r>
        <w:t xml:space="preserve"> </w:t>
      </w:r>
      <w:sdt>
        <w:sdtPr>
          <w:id w:val="1721160464"/>
          <w:citation/>
        </w:sdtPr>
        <w:sdtEndPr/>
        <w:sdtContent>
          <w:r>
            <w:fldChar w:fldCharType="begin"/>
          </w:r>
          <w:r>
            <w:instrText xml:space="preserve"> CITATION Fra07 \l 2057 </w:instrText>
          </w:r>
          <w:r>
            <w:fldChar w:fldCharType="separate"/>
          </w:r>
          <w:r w:rsidRPr="00DB2390">
            <w:rPr>
              <w:noProof/>
            </w:rPr>
            <w:t>(Cornford, 1907)</w:t>
          </w:r>
          <w:r>
            <w:fldChar w:fldCharType="end"/>
          </w:r>
        </w:sdtContent>
      </w:sdt>
    </w:p>
  </w:footnote>
  <w:footnote w:id="4">
    <w:p w:rsidR="006B03D4" w:rsidRDefault="006B03D4">
      <w:pPr>
        <w:pStyle w:val="FootnoteText"/>
      </w:pPr>
      <w:r>
        <w:rPr>
          <w:rStyle w:val="FootnoteReference"/>
        </w:rPr>
        <w:footnoteRef/>
      </w:r>
      <w:r>
        <w:t xml:space="preserve"> </w:t>
      </w:r>
      <w:sdt>
        <w:sdtPr>
          <w:id w:val="951527567"/>
          <w:citation/>
        </w:sdtPr>
        <w:sdtEndPr/>
        <w:sdtContent>
          <w:r>
            <w:fldChar w:fldCharType="begin"/>
          </w:r>
          <w:r>
            <w:instrText xml:space="preserve">CITATION Hor02 \p 151 \l 2057 </w:instrText>
          </w:r>
          <w:r>
            <w:fldChar w:fldCharType="separate"/>
          </w:r>
          <w:r w:rsidRPr="006B03D4">
            <w:rPr>
              <w:noProof/>
            </w:rPr>
            <w:t>(Hornblower, 2002, p. 151)</w:t>
          </w:r>
          <w:r>
            <w:fldChar w:fldCharType="end"/>
          </w:r>
        </w:sdtContent>
      </w:sdt>
    </w:p>
  </w:footnote>
  <w:footnote w:id="5">
    <w:p w:rsidR="00935983" w:rsidRDefault="00935983">
      <w:pPr>
        <w:pStyle w:val="FootnoteText"/>
      </w:pPr>
      <w:r>
        <w:rPr>
          <w:rStyle w:val="FootnoteReference"/>
        </w:rPr>
        <w:footnoteRef/>
      </w:r>
      <w:r w:rsidR="00F771E1">
        <w:t xml:space="preserve"> (</w:t>
      </w:r>
      <w:proofErr w:type="spellStart"/>
      <w:r w:rsidR="00F771E1">
        <w:t>Thuc</w:t>
      </w:r>
      <w:proofErr w:type="spellEnd"/>
      <w:r w:rsidR="00F771E1">
        <w:t>.</w:t>
      </w:r>
      <w:r>
        <w:t xml:space="preserve"> 1.1)</w:t>
      </w:r>
    </w:p>
  </w:footnote>
  <w:footnote w:id="6">
    <w:p w:rsidR="00935983" w:rsidRDefault="00935983">
      <w:pPr>
        <w:pStyle w:val="FootnoteText"/>
      </w:pPr>
      <w:r>
        <w:rPr>
          <w:rStyle w:val="FootnoteReference"/>
        </w:rPr>
        <w:footnoteRef/>
      </w:r>
      <w:r w:rsidR="00F771E1">
        <w:t xml:space="preserve"> (</w:t>
      </w:r>
      <w:proofErr w:type="spellStart"/>
      <w:r w:rsidR="00F771E1">
        <w:t>Thuc</w:t>
      </w:r>
      <w:proofErr w:type="spellEnd"/>
      <w:r w:rsidR="00F771E1">
        <w:t>.</w:t>
      </w:r>
      <w:r>
        <w:t xml:space="preserve"> 5.26)</w:t>
      </w:r>
    </w:p>
  </w:footnote>
  <w:footnote w:id="7">
    <w:p w:rsidR="007F4AF1" w:rsidRDefault="007F4AF1">
      <w:pPr>
        <w:pStyle w:val="FootnoteText"/>
      </w:pPr>
      <w:r>
        <w:rPr>
          <w:rStyle w:val="FootnoteReference"/>
        </w:rPr>
        <w:footnoteRef/>
      </w:r>
      <w:r>
        <w:t xml:space="preserve"> (</w:t>
      </w:r>
      <w:proofErr w:type="spellStart"/>
      <w:r>
        <w:t>Thuc</w:t>
      </w:r>
      <w:proofErr w:type="spellEnd"/>
      <w:r>
        <w:t>. 1.23)</w:t>
      </w:r>
    </w:p>
  </w:footnote>
  <w:footnote w:id="8">
    <w:p w:rsidR="005A79B3" w:rsidRDefault="005A79B3">
      <w:pPr>
        <w:pStyle w:val="FootnoteText"/>
      </w:pPr>
      <w:r>
        <w:rPr>
          <w:rStyle w:val="FootnoteReference"/>
        </w:rPr>
        <w:footnoteRef/>
      </w:r>
      <w:r>
        <w:t xml:space="preserve"> </w:t>
      </w:r>
      <w:sdt>
        <w:sdtPr>
          <w:id w:val="1181542811"/>
          <w:citation/>
        </w:sdtPr>
        <w:sdtEndPr/>
        <w:sdtContent>
          <w:r>
            <w:fldChar w:fldCharType="begin"/>
          </w:r>
          <w:r w:rsidR="00381734">
            <w:instrText xml:space="preserve">CITATION Oos75 \p 191 \l 2057 </w:instrText>
          </w:r>
          <w:r>
            <w:fldChar w:fldCharType="separate"/>
          </w:r>
          <w:r w:rsidR="00381734" w:rsidRPr="00381734">
            <w:rPr>
              <w:noProof/>
            </w:rPr>
            <w:t>(Oost, 1975, p. 191)</w:t>
          </w:r>
          <w:r>
            <w:fldChar w:fldCharType="end"/>
          </w:r>
        </w:sdtContent>
      </w:sdt>
    </w:p>
  </w:footnote>
  <w:footnote w:id="9">
    <w:p w:rsidR="00F90C78" w:rsidRDefault="00F90C78">
      <w:pPr>
        <w:pStyle w:val="FootnoteText"/>
      </w:pPr>
      <w:r>
        <w:rPr>
          <w:rStyle w:val="FootnoteReference"/>
        </w:rPr>
        <w:footnoteRef/>
      </w:r>
      <w:r>
        <w:t xml:space="preserve"> </w:t>
      </w:r>
      <w:sdt>
        <w:sdtPr>
          <w:id w:val="2059654908"/>
          <w:citation/>
        </w:sdtPr>
        <w:sdtEndPr/>
        <w:sdtContent>
          <w:r>
            <w:fldChar w:fldCharType="begin"/>
          </w:r>
          <w:r>
            <w:instrText xml:space="preserve">CITATION Hor02 \p 151 \l 2057 </w:instrText>
          </w:r>
          <w:r>
            <w:fldChar w:fldCharType="separate"/>
          </w:r>
          <w:r w:rsidRPr="00F90C78">
            <w:rPr>
              <w:noProof/>
            </w:rPr>
            <w:t>(Hornblower, 2002, p. 151)</w:t>
          </w:r>
          <w:r>
            <w:fldChar w:fldCharType="end"/>
          </w:r>
        </w:sdtContent>
      </w:sdt>
    </w:p>
  </w:footnote>
  <w:footnote w:id="10">
    <w:p w:rsidR="005A79B3" w:rsidRDefault="005A79B3">
      <w:pPr>
        <w:pStyle w:val="FootnoteText"/>
      </w:pPr>
      <w:r>
        <w:rPr>
          <w:rStyle w:val="FootnoteReference"/>
        </w:rPr>
        <w:footnoteRef/>
      </w:r>
      <w:r w:rsidR="00F771E1">
        <w:t xml:space="preserve"> (</w:t>
      </w:r>
      <w:proofErr w:type="spellStart"/>
      <w:r w:rsidR="00F771E1">
        <w:t>Thuc</w:t>
      </w:r>
      <w:proofErr w:type="spellEnd"/>
      <w:r w:rsidR="00F771E1">
        <w:t>.</w:t>
      </w:r>
      <w:r>
        <w:t xml:space="preserve"> 8.73)</w:t>
      </w:r>
    </w:p>
  </w:footnote>
  <w:footnote w:id="11">
    <w:p w:rsidR="005A79B3" w:rsidRDefault="005A79B3">
      <w:pPr>
        <w:pStyle w:val="FootnoteText"/>
      </w:pPr>
      <w:r>
        <w:rPr>
          <w:rStyle w:val="FootnoteReference"/>
        </w:rPr>
        <w:footnoteRef/>
      </w:r>
      <w:r w:rsidR="00F771E1">
        <w:t xml:space="preserve"> (</w:t>
      </w:r>
      <w:proofErr w:type="spellStart"/>
      <w:r w:rsidR="00F771E1">
        <w:t>Thuc</w:t>
      </w:r>
      <w:proofErr w:type="spellEnd"/>
      <w:r w:rsidR="00F771E1">
        <w:t>.</w:t>
      </w:r>
      <w:r w:rsidR="00B10F13">
        <w:t xml:space="preserve"> 2.34.5)</w:t>
      </w:r>
    </w:p>
  </w:footnote>
  <w:footnote w:id="12">
    <w:p w:rsidR="00B05F85" w:rsidRDefault="00B05F85">
      <w:pPr>
        <w:pStyle w:val="FootnoteText"/>
      </w:pPr>
      <w:r>
        <w:rPr>
          <w:rStyle w:val="FootnoteReference"/>
        </w:rPr>
        <w:footnoteRef/>
      </w:r>
      <w:r>
        <w:t xml:space="preserve"> </w:t>
      </w:r>
      <w:sdt>
        <w:sdtPr>
          <w:id w:val="1700192946"/>
          <w:citation/>
        </w:sdtPr>
        <w:sdtEndPr/>
        <w:sdtContent>
          <w:r>
            <w:fldChar w:fldCharType="begin"/>
          </w:r>
          <w:r w:rsidR="00CB572F">
            <w:instrText xml:space="preserve">CITATION WKe85 \p "125 and 249-251" \l 2057 </w:instrText>
          </w:r>
          <w:r>
            <w:fldChar w:fldCharType="separate"/>
          </w:r>
          <w:r w:rsidR="00CB572F" w:rsidRPr="00CB572F">
            <w:rPr>
              <w:noProof/>
            </w:rPr>
            <w:t>(Pritchett, 1985, pp. 125 and 249-251)</w:t>
          </w:r>
          <w:r>
            <w:fldChar w:fldCharType="end"/>
          </w:r>
        </w:sdtContent>
      </w:sdt>
    </w:p>
  </w:footnote>
  <w:footnote w:id="13">
    <w:p w:rsidR="00711CB6" w:rsidRDefault="00711CB6">
      <w:pPr>
        <w:pStyle w:val="FootnoteText"/>
      </w:pPr>
      <w:r>
        <w:rPr>
          <w:rStyle w:val="FootnoteReference"/>
        </w:rPr>
        <w:footnoteRef/>
      </w:r>
      <w:r>
        <w:t xml:space="preserve"> </w:t>
      </w:r>
      <w:sdt>
        <w:sdtPr>
          <w:id w:val="2007251251"/>
          <w:citation/>
        </w:sdtPr>
        <w:sdtEndPr/>
        <w:sdtContent>
          <w:r>
            <w:fldChar w:fldCharType="begin"/>
          </w:r>
          <w:r w:rsidR="00A805BF">
            <w:instrText xml:space="preserve">CITATION Mar99 \p 501 \l 2057 </w:instrText>
          </w:r>
          <w:r>
            <w:fldChar w:fldCharType="separate"/>
          </w:r>
          <w:r w:rsidR="00A805BF" w:rsidRPr="00A805BF">
            <w:rPr>
              <w:noProof/>
            </w:rPr>
            <w:t>(Toher, 1999, p. 501)</w:t>
          </w:r>
          <w:r>
            <w:fldChar w:fldCharType="end"/>
          </w:r>
        </w:sdtContent>
      </w:sdt>
    </w:p>
  </w:footnote>
  <w:footnote w:id="14">
    <w:p w:rsidR="005F2C90" w:rsidRDefault="005F2C90">
      <w:pPr>
        <w:pStyle w:val="FootnoteText"/>
      </w:pPr>
      <w:r>
        <w:rPr>
          <w:rStyle w:val="FootnoteReference"/>
        </w:rPr>
        <w:footnoteRef/>
      </w:r>
      <w:r>
        <w:t xml:space="preserve"> (</w:t>
      </w:r>
      <w:proofErr w:type="spellStart"/>
      <w:r>
        <w:t>Cic</w:t>
      </w:r>
      <w:proofErr w:type="spellEnd"/>
      <w:r>
        <w:t>. Leg. 1.5)</w:t>
      </w:r>
    </w:p>
  </w:footnote>
  <w:footnote w:id="15">
    <w:p w:rsidR="00F143FC" w:rsidRDefault="00F143FC">
      <w:pPr>
        <w:pStyle w:val="FootnoteText"/>
      </w:pPr>
      <w:r>
        <w:rPr>
          <w:rStyle w:val="FootnoteReference"/>
        </w:rPr>
        <w:footnoteRef/>
      </w:r>
      <w:r>
        <w:t xml:space="preserve"> (</w:t>
      </w:r>
      <w:proofErr w:type="spellStart"/>
      <w:r>
        <w:t>Hdt</w:t>
      </w:r>
      <w:proofErr w:type="spellEnd"/>
      <w:r>
        <w:t xml:space="preserve">. 1.1 and </w:t>
      </w:r>
      <w:proofErr w:type="spellStart"/>
      <w:r>
        <w:t>Thuc</w:t>
      </w:r>
      <w:proofErr w:type="spellEnd"/>
      <w:r>
        <w:t>. 1.1)</w:t>
      </w:r>
    </w:p>
  </w:footnote>
  <w:footnote w:id="16">
    <w:p w:rsidR="00982C32" w:rsidRDefault="00982C32">
      <w:pPr>
        <w:pStyle w:val="FootnoteText"/>
      </w:pPr>
      <w:r>
        <w:rPr>
          <w:rStyle w:val="FootnoteReference"/>
        </w:rPr>
        <w:footnoteRef/>
      </w:r>
      <w:r>
        <w:t xml:space="preserve"> (</w:t>
      </w:r>
      <w:proofErr w:type="spellStart"/>
      <w:r>
        <w:t>Hdt</w:t>
      </w:r>
      <w:proofErr w:type="spellEnd"/>
      <w:r>
        <w:t>. 4.75-76)</w:t>
      </w:r>
    </w:p>
  </w:footnote>
  <w:footnote w:id="17">
    <w:p w:rsidR="009E68E1" w:rsidRDefault="009E68E1">
      <w:pPr>
        <w:pStyle w:val="FootnoteText"/>
      </w:pPr>
      <w:r>
        <w:rPr>
          <w:rStyle w:val="FootnoteReference"/>
        </w:rPr>
        <w:footnoteRef/>
      </w:r>
      <w:r>
        <w:t xml:space="preserve"> </w:t>
      </w:r>
      <w:sdt>
        <w:sdtPr>
          <w:id w:val="-631254700"/>
          <w:citation/>
        </w:sdtPr>
        <w:sdtEndPr/>
        <w:sdtContent>
          <w:r>
            <w:fldChar w:fldCharType="begin"/>
          </w:r>
          <w:r>
            <w:instrText xml:space="preserve">CITATION Ant97 \p vii-ix \l 2057 </w:instrText>
          </w:r>
          <w:r>
            <w:fldChar w:fldCharType="separate"/>
          </w:r>
          <w:r w:rsidRPr="009E68E1">
            <w:rPr>
              <w:noProof/>
            </w:rPr>
            <w:t>(Grafton, 1997, pp. vii-ix)</w:t>
          </w:r>
          <w:r>
            <w:fldChar w:fldCharType="end"/>
          </w:r>
        </w:sdtContent>
      </w:sdt>
      <w:r w:rsidR="008E2EF6">
        <w:t xml:space="preserve">, </w:t>
      </w:r>
      <w:sdt>
        <w:sdtPr>
          <w:id w:val="1600143909"/>
          <w:citation/>
        </w:sdtPr>
        <w:sdtEndPr/>
        <w:sdtContent>
          <w:r w:rsidR="008E2EF6">
            <w:fldChar w:fldCharType="begin"/>
          </w:r>
          <w:r w:rsidR="008E2EF6">
            <w:instrText xml:space="preserve">CITATION Car08 \p xi \l 2057 </w:instrText>
          </w:r>
          <w:r w:rsidR="008E2EF6">
            <w:fldChar w:fldCharType="separate"/>
          </w:r>
          <w:r w:rsidR="008E2EF6" w:rsidRPr="008E2EF6">
            <w:rPr>
              <w:noProof/>
            </w:rPr>
            <w:t>(Dewald, 2008, p. xi)</w:t>
          </w:r>
          <w:r w:rsidR="008E2EF6">
            <w:fldChar w:fldCharType="end"/>
          </w:r>
        </w:sdtContent>
      </w:sdt>
    </w:p>
  </w:footnote>
  <w:footnote w:id="18">
    <w:p w:rsidR="009E68E1" w:rsidRDefault="009E68E1">
      <w:pPr>
        <w:pStyle w:val="FootnoteText"/>
      </w:pPr>
      <w:r>
        <w:rPr>
          <w:rStyle w:val="FootnoteReference"/>
        </w:rPr>
        <w:footnoteRef/>
      </w:r>
      <w:r>
        <w:t xml:space="preserve"> </w:t>
      </w:r>
      <w:sdt>
        <w:sdtPr>
          <w:id w:val="-664168339"/>
          <w:citation/>
        </w:sdtPr>
        <w:sdtEndPr/>
        <w:sdtContent>
          <w:r>
            <w:fldChar w:fldCharType="begin"/>
          </w:r>
          <w:r w:rsidR="00E964AE">
            <w:instrText xml:space="preserve">CITATION Dar07 \p 37-38 \l 2057 </w:instrText>
          </w:r>
          <w:r>
            <w:fldChar w:fldCharType="separate"/>
          </w:r>
          <w:r w:rsidR="00E964AE" w:rsidRPr="00E964AE">
            <w:rPr>
              <w:noProof/>
            </w:rPr>
            <w:t>(Darbo-Peschanski, 2007, pp. 37-38)</w:t>
          </w:r>
          <w:r>
            <w:fldChar w:fldCharType="end"/>
          </w:r>
        </w:sdtContent>
      </w:sdt>
    </w:p>
  </w:footnote>
  <w:footnote w:id="19">
    <w:p w:rsidR="00E964AE" w:rsidRDefault="00E964AE">
      <w:pPr>
        <w:pStyle w:val="FootnoteText"/>
      </w:pPr>
      <w:r>
        <w:rPr>
          <w:rStyle w:val="FootnoteReference"/>
        </w:rPr>
        <w:footnoteRef/>
      </w:r>
      <w:r>
        <w:t xml:space="preserve"> </w:t>
      </w:r>
      <w:sdt>
        <w:sdtPr>
          <w:id w:val="1317612358"/>
          <w:citation/>
        </w:sdtPr>
        <w:sdtEndPr/>
        <w:sdtContent>
          <w:r>
            <w:fldChar w:fldCharType="begin"/>
          </w:r>
          <w:r>
            <w:instrText xml:space="preserve">CITATION Fra07 \p 129-152 \l 2057 </w:instrText>
          </w:r>
          <w:r>
            <w:fldChar w:fldCharType="separate"/>
          </w:r>
          <w:r w:rsidRPr="00E964AE">
            <w:rPr>
              <w:noProof/>
            </w:rPr>
            <w:t>(Cornford, 1907, pp. 129-152)</w:t>
          </w:r>
          <w:r>
            <w:fldChar w:fldCharType="end"/>
          </w:r>
        </w:sdtContent>
      </w:sdt>
    </w:p>
  </w:footnote>
  <w:footnote w:id="20">
    <w:p w:rsidR="0052502F" w:rsidRDefault="0052502F">
      <w:pPr>
        <w:pStyle w:val="FootnoteText"/>
      </w:pPr>
      <w:r>
        <w:rPr>
          <w:rStyle w:val="FootnoteReference"/>
        </w:rPr>
        <w:footnoteRef/>
      </w:r>
      <w:r>
        <w:t xml:space="preserve"> </w:t>
      </w:r>
      <w:sdt>
        <w:sdtPr>
          <w:id w:val="-1519452065"/>
          <w:citation/>
        </w:sdtPr>
        <w:sdtEndPr/>
        <w:sdtContent>
          <w:r>
            <w:fldChar w:fldCharType="begin"/>
          </w:r>
          <w:r w:rsidR="00A805BF">
            <w:instrText xml:space="preserve">CITATION Hor95 \p 55 \l 2057 </w:instrText>
          </w:r>
          <w:r>
            <w:fldChar w:fldCharType="separate"/>
          </w:r>
          <w:r w:rsidR="00A805BF" w:rsidRPr="00A805BF">
            <w:rPr>
              <w:noProof/>
            </w:rPr>
            <w:t>(Hornblower, 1995, p. 55)</w:t>
          </w:r>
          <w:r>
            <w:fldChar w:fldCharType="end"/>
          </w:r>
        </w:sdtContent>
      </w:sdt>
    </w:p>
  </w:footnote>
  <w:footnote w:id="21">
    <w:p w:rsidR="00A4231B" w:rsidRDefault="00A4231B">
      <w:pPr>
        <w:pStyle w:val="FootnoteText"/>
      </w:pPr>
      <w:r>
        <w:rPr>
          <w:rStyle w:val="FootnoteReference"/>
        </w:rPr>
        <w:footnoteRef/>
      </w:r>
      <w:r>
        <w:t xml:space="preserve"> (</w:t>
      </w:r>
      <w:proofErr w:type="spellStart"/>
      <w:r>
        <w:t>Thuc</w:t>
      </w:r>
      <w:proofErr w:type="spellEnd"/>
      <w:r>
        <w:t xml:space="preserve"> 3.2.3,</w:t>
      </w:r>
      <w:r w:rsidR="00B80BC6">
        <w:t xml:space="preserve"> </w:t>
      </w:r>
      <w:proofErr w:type="spellStart"/>
      <w:r w:rsidR="00F771E1">
        <w:t>Arist</w:t>
      </w:r>
      <w:proofErr w:type="spellEnd"/>
      <w:r w:rsidR="00F771E1">
        <w:t>. Pol.</w:t>
      </w:r>
      <w:r>
        <w:t xml:space="preserve"> 1304a)</w:t>
      </w:r>
    </w:p>
  </w:footnote>
  <w:footnote w:id="22">
    <w:p w:rsidR="007E0297" w:rsidRDefault="007E0297">
      <w:pPr>
        <w:pStyle w:val="FootnoteText"/>
      </w:pPr>
      <w:r>
        <w:rPr>
          <w:rStyle w:val="FootnoteReference"/>
        </w:rPr>
        <w:footnoteRef/>
      </w:r>
      <w:r>
        <w:t xml:space="preserve"> (Liv. 1.3-1.6), (Bede, Ecclesiastical History of the English Nation, chapter 15)</w:t>
      </w:r>
    </w:p>
  </w:footnote>
  <w:footnote w:id="23">
    <w:p w:rsidR="00352112" w:rsidRDefault="00352112">
      <w:pPr>
        <w:pStyle w:val="FootnoteText"/>
      </w:pPr>
      <w:r>
        <w:rPr>
          <w:rStyle w:val="FootnoteReference"/>
        </w:rPr>
        <w:footnoteRef/>
      </w:r>
      <w:r>
        <w:t xml:space="preserve"> </w:t>
      </w:r>
      <w:sdt>
        <w:sdtPr>
          <w:id w:val="-935442424"/>
          <w:citation/>
        </w:sdtPr>
        <w:sdtEndPr/>
        <w:sdtContent>
          <w:r>
            <w:fldChar w:fldCharType="begin"/>
          </w:r>
          <w:r>
            <w:instrText xml:space="preserve">CITATION McG10 \p xxi \l 2057 </w:instrText>
          </w:r>
          <w:r>
            <w:fldChar w:fldCharType="separate"/>
          </w:r>
          <w:r w:rsidRPr="00352112">
            <w:rPr>
              <w:noProof/>
            </w:rPr>
            <w:t>(McGing, 2010, p. xxi)</w:t>
          </w:r>
          <w:r>
            <w:fldChar w:fldCharType="end"/>
          </w:r>
        </w:sdtContent>
      </w:sdt>
      <w:r>
        <w:t>, (</w:t>
      </w:r>
      <w:proofErr w:type="spellStart"/>
      <w:r w:rsidR="00337CED">
        <w:t>Plb</w:t>
      </w:r>
      <w:proofErr w:type="spellEnd"/>
      <w:r>
        <w:t>. 1.4)</w:t>
      </w:r>
    </w:p>
  </w:footnote>
  <w:footnote w:id="24">
    <w:p w:rsidR="00337CED" w:rsidRDefault="00337CED">
      <w:pPr>
        <w:pStyle w:val="FootnoteText"/>
      </w:pPr>
      <w:r>
        <w:rPr>
          <w:rStyle w:val="FootnoteReference"/>
        </w:rPr>
        <w:footnoteRef/>
      </w:r>
      <w:r>
        <w:t xml:space="preserve"> (</w:t>
      </w:r>
      <w:proofErr w:type="spellStart"/>
      <w:r>
        <w:t>Plb</w:t>
      </w:r>
      <w:proofErr w:type="spellEnd"/>
      <w:r>
        <w:t>. 9.14</w:t>
      </w:r>
      <w:r w:rsidR="00DF3C60">
        <w:t xml:space="preserve"> (trans. </w:t>
      </w:r>
      <w:proofErr w:type="spellStart"/>
      <w:r w:rsidR="00DF3C60">
        <w:t>Shuckburgh</w:t>
      </w:r>
      <w:proofErr w:type="spellEnd"/>
      <w:r w:rsidR="00DF3C60">
        <w:t>)</w:t>
      </w:r>
      <w:r>
        <w:t>)</w:t>
      </w:r>
    </w:p>
  </w:footnote>
  <w:footnote w:id="25">
    <w:p w:rsidR="005825C1" w:rsidRDefault="005825C1">
      <w:pPr>
        <w:pStyle w:val="FootnoteText"/>
      </w:pPr>
      <w:r>
        <w:rPr>
          <w:rStyle w:val="FootnoteReference"/>
        </w:rPr>
        <w:footnoteRef/>
      </w:r>
      <w:r>
        <w:t xml:space="preserve"> (</w:t>
      </w:r>
      <w:proofErr w:type="spellStart"/>
      <w:r w:rsidRPr="005825C1">
        <w:t>Plut</w:t>
      </w:r>
      <w:proofErr w:type="spellEnd"/>
      <w:r w:rsidRPr="005825C1">
        <w:t>. De Herod.</w:t>
      </w:r>
      <w:r>
        <w:t xml:space="preserve"> 12)</w:t>
      </w:r>
    </w:p>
  </w:footnote>
  <w:footnote w:id="26">
    <w:p w:rsidR="00A43EC7" w:rsidRDefault="00A43EC7">
      <w:pPr>
        <w:pStyle w:val="FootnoteText"/>
      </w:pPr>
      <w:r>
        <w:rPr>
          <w:rStyle w:val="FootnoteReference"/>
        </w:rPr>
        <w:footnoteRef/>
      </w:r>
      <w:r>
        <w:t xml:space="preserve"> (Leopold Von Ranke, cited from Grafton, The Footnote, 1997, p51</w:t>
      </w:r>
    </w:p>
  </w:footnote>
  <w:footnote w:id="27">
    <w:p w:rsidR="009E64F3" w:rsidRDefault="009E64F3">
      <w:pPr>
        <w:pStyle w:val="FootnoteText"/>
      </w:pPr>
      <w:r>
        <w:rPr>
          <w:rStyle w:val="FootnoteReference"/>
        </w:rPr>
        <w:footnoteRef/>
      </w:r>
      <w:r>
        <w:t xml:space="preserve"> </w:t>
      </w:r>
      <w:sdt>
        <w:sdtPr>
          <w:id w:val="492302196"/>
          <w:citation/>
        </w:sdtPr>
        <w:sdtEndPr/>
        <w:sdtContent>
          <w:r>
            <w:fldChar w:fldCharType="begin"/>
          </w:r>
          <w:r>
            <w:instrText xml:space="preserve">CITATION Pau13 \p xxx-xxxii \l 2057 </w:instrText>
          </w:r>
          <w:r>
            <w:fldChar w:fldCharType="separate"/>
          </w:r>
          <w:r w:rsidRPr="009E64F3">
            <w:rPr>
              <w:noProof/>
            </w:rPr>
            <w:t>(Cartledge, 2013, pp. xxx-xxxii)</w:t>
          </w:r>
          <w:r>
            <w:fldChar w:fldCharType="end"/>
          </w:r>
        </w:sdtContent>
      </w:sdt>
    </w:p>
  </w:footnote>
  <w:footnote w:id="28">
    <w:p w:rsidR="00E83391" w:rsidRDefault="00E83391">
      <w:pPr>
        <w:pStyle w:val="FootnoteText"/>
      </w:pPr>
      <w:r>
        <w:rPr>
          <w:rStyle w:val="FootnoteReference"/>
        </w:rPr>
        <w:footnoteRef/>
      </w:r>
      <w:r>
        <w:t xml:space="preserve"> </w:t>
      </w:r>
      <w:sdt>
        <w:sdtPr>
          <w:id w:val="-26256839"/>
          <w:citation/>
        </w:sdtPr>
        <w:sdtEndPr/>
        <w:sdtContent>
          <w:r>
            <w:fldChar w:fldCharType="begin"/>
          </w:r>
          <w:r>
            <w:instrText xml:space="preserve"> CITATION Uni17 \l 2057 </w:instrText>
          </w:r>
          <w:r>
            <w:fldChar w:fldCharType="separate"/>
          </w:r>
          <w:r w:rsidRPr="00E83391">
            <w:rPr>
              <w:noProof/>
            </w:rPr>
            <w:t>(University of Cambridge, n.d.)</w:t>
          </w:r>
          <w:r>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509C" w:rsidRDefault="00A8509C">
    <w:pPr>
      <w:pStyle w:val="Header"/>
    </w:pPr>
    <w:r>
      <w:t>James Forder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numRestart w:val="eachPage"/>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09C"/>
    <w:rsid w:val="000312D7"/>
    <w:rsid w:val="00057FBF"/>
    <w:rsid w:val="000E25BE"/>
    <w:rsid w:val="00122158"/>
    <w:rsid w:val="00123C4E"/>
    <w:rsid w:val="00225F6F"/>
    <w:rsid w:val="00240E83"/>
    <w:rsid w:val="00260ACB"/>
    <w:rsid w:val="00265277"/>
    <w:rsid w:val="00266A26"/>
    <w:rsid w:val="002B21B2"/>
    <w:rsid w:val="002B2A02"/>
    <w:rsid w:val="002C4E01"/>
    <w:rsid w:val="002D0A47"/>
    <w:rsid w:val="00310191"/>
    <w:rsid w:val="0033626F"/>
    <w:rsid w:val="00337CED"/>
    <w:rsid w:val="00352083"/>
    <w:rsid w:val="00352112"/>
    <w:rsid w:val="0036035C"/>
    <w:rsid w:val="003723EC"/>
    <w:rsid w:val="00381734"/>
    <w:rsid w:val="003B007E"/>
    <w:rsid w:val="003F7026"/>
    <w:rsid w:val="00417B05"/>
    <w:rsid w:val="004227D1"/>
    <w:rsid w:val="004330F3"/>
    <w:rsid w:val="00447E78"/>
    <w:rsid w:val="004870C7"/>
    <w:rsid w:val="004E15E3"/>
    <w:rsid w:val="00505FF1"/>
    <w:rsid w:val="00507F64"/>
    <w:rsid w:val="0052502F"/>
    <w:rsid w:val="005820B5"/>
    <w:rsid w:val="005825C1"/>
    <w:rsid w:val="005A79B3"/>
    <w:rsid w:val="005B7E0C"/>
    <w:rsid w:val="005C725B"/>
    <w:rsid w:val="005E56D0"/>
    <w:rsid w:val="005F2C90"/>
    <w:rsid w:val="0060120C"/>
    <w:rsid w:val="00680811"/>
    <w:rsid w:val="006917F8"/>
    <w:rsid w:val="006B03D4"/>
    <w:rsid w:val="006E55D0"/>
    <w:rsid w:val="006E6AF0"/>
    <w:rsid w:val="00711CB6"/>
    <w:rsid w:val="0071776E"/>
    <w:rsid w:val="00764DF0"/>
    <w:rsid w:val="0078684B"/>
    <w:rsid w:val="007D5D91"/>
    <w:rsid w:val="007E0297"/>
    <w:rsid w:val="007F4AF1"/>
    <w:rsid w:val="00804F25"/>
    <w:rsid w:val="00857F86"/>
    <w:rsid w:val="00860198"/>
    <w:rsid w:val="008704D0"/>
    <w:rsid w:val="008B081C"/>
    <w:rsid w:val="008B65B9"/>
    <w:rsid w:val="008C3F9E"/>
    <w:rsid w:val="008E2EF6"/>
    <w:rsid w:val="00935983"/>
    <w:rsid w:val="00946B90"/>
    <w:rsid w:val="00953C5D"/>
    <w:rsid w:val="009607C2"/>
    <w:rsid w:val="00982C32"/>
    <w:rsid w:val="009D6A56"/>
    <w:rsid w:val="009E64F3"/>
    <w:rsid w:val="009E68E1"/>
    <w:rsid w:val="00A02763"/>
    <w:rsid w:val="00A4231B"/>
    <w:rsid w:val="00A43EC7"/>
    <w:rsid w:val="00A805BF"/>
    <w:rsid w:val="00A8509C"/>
    <w:rsid w:val="00A90A53"/>
    <w:rsid w:val="00AA787B"/>
    <w:rsid w:val="00AC01CB"/>
    <w:rsid w:val="00AC0DFD"/>
    <w:rsid w:val="00AC6184"/>
    <w:rsid w:val="00AD30DD"/>
    <w:rsid w:val="00AE1238"/>
    <w:rsid w:val="00B05F85"/>
    <w:rsid w:val="00B10F13"/>
    <w:rsid w:val="00B20BE5"/>
    <w:rsid w:val="00B61E31"/>
    <w:rsid w:val="00B80BC6"/>
    <w:rsid w:val="00BD5563"/>
    <w:rsid w:val="00BE6832"/>
    <w:rsid w:val="00C1168D"/>
    <w:rsid w:val="00C55B89"/>
    <w:rsid w:val="00C602D4"/>
    <w:rsid w:val="00C81852"/>
    <w:rsid w:val="00CB572F"/>
    <w:rsid w:val="00CF7B3E"/>
    <w:rsid w:val="00D00E09"/>
    <w:rsid w:val="00D13528"/>
    <w:rsid w:val="00D234C6"/>
    <w:rsid w:val="00D276F9"/>
    <w:rsid w:val="00D33B67"/>
    <w:rsid w:val="00D7404D"/>
    <w:rsid w:val="00D75FA8"/>
    <w:rsid w:val="00DB0271"/>
    <w:rsid w:val="00DB09B4"/>
    <w:rsid w:val="00DB2390"/>
    <w:rsid w:val="00DC3E6B"/>
    <w:rsid w:val="00DE2F88"/>
    <w:rsid w:val="00DF217F"/>
    <w:rsid w:val="00DF3C60"/>
    <w:rsid w:val="00DF7310"/>
    <w:rsid w:val="00E36CC3"/>
    <w:rsid w:val="00E77E94"/>
    <w:rsid w:val="00E81929"/>
    <w:rsid w:val="00E83391"/>
    <w:rsid w:val="00E8372F"/>
    <w:rsid w:val="00E964AE"/>
    <w:rsid w:val="00EC04C2"/>
    <w:rsid w:val="00F143FC"/>
    <w:rsid w:val="00F15609"/>
    <w:rsid w:val="00F21BEC"/>
    <w:rsid w:val="00F65CDE"/>
    <w:rsid w:val="00F760F8"/>
    <w:rsid w:val="00F77068"/>
    <w:rsid w:val="00F771E1"/>
    <w:rsid w:val="00F827F9"/>
    <w:rsid w:val="00F90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712781-534C-46FF-AAC2-62BF948EF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A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5">
    <w:name w:val="heading 5"/>
    <w:basedOn w:val="Normal"/>
    <w:link w:val="Heading5Char"/>
    <w:uiPriority w:val="9"/>
    <w:qFormat/>
    <w:rsid w:val="00337CE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5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09C"/>
  </w:style>
  <w:style w:type="paragraph" w:styleId="Footer">
    <w:name w:val="footer"/>
    <w:basedOn w:val="Normal"/>
    <w:link w:val="FooterChar"/>
    <w:uiPriority w:val="99"/>
    <w:unhideWhenUsed/>
    <w:rsid w:val="00A85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09C"/>
  </w:style>
  <w:style w:type="paragraph" w:styleId="FootnoteText">
    <w:name w:val="footnote text"/>
    <w:basedOn w:val="Normal"/>
    <w:link w:val="FootnoteTextChar"/>
    <w:uiPriority w:val="99"/>
    <w:semiHidden/>
    <w:unhideWhenUsed/>
    <w:rsid w:val="00A850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509C"/>
    <w:rPr>
      <w:sz w:val="20"/>
      <w:szCs w:val="20"/>
    </w:rPr>
  </w:style>
  <w:style w:type="character" w:styleId="FootnoteReference">
    <w:name w:val="footnote reference"/>
    <w:basedOn w:val="DefaultParagraphFont"/>
    <w:uiPriority w:val="99"/>
    <w:semiHidden/>
    <w:unhideWhenUsed/>
    <w:rsid w:val="00A8509C"/>
    <w:rPr>
      <w:vertAlign w:val="superscript"/>
    </w:rPr>
  </w:style>
  <w:style w:type="paragraph" w:styleId="EndnoteText">
    <w:name w:val="endnote text"/>
    <w:basedOn w:val="Normal"/>
    <w:link w:val="EndnoteTextChar"/>
    <w:uiPriority w:val="99"/>
    <w:semiHidden/>
    <w:unhideWhenUsed/>
    <w:rsid w:val="00DB23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B2390"/>
    <w:rPr>
      <w:sz w:val="20"/>
      <w:szCs w:val="20"/>
    </w:rPr>
  </w:style>
  <w:style w:type="character" w:styleId="EndnoteReference">
    <w:name w:val="endnote reference"/>
    <w:basedOn w:val="DefaultParagraphFont"/>
    <w:uiPriority w:val="99"/>
    <w:semiHidden/>
    <w:unhideWhenUsed/>
    <w:rsid w:val="00DB2390"/>
    <w:rPr>
      <w:vertAlign w:val="superscript"/>
    </w:rPr>
  </w:style>
  <w:style w:type="character" w:customStyle="1" w:styleId="Heading5Char">
    <w:name w:val="Heading 5 Char"/>
    <w:basedOn w:val="DefaultParagraphFont"/>
    <w:link w:val="Heading5"/>
    <w:uiPriority w:val="9"/>
    <w:rsid w:val="00337CED"/>
    <w:rPr>
      <w:rFonts w:ascii="Times New Roman" w:eastAsia="Times New Roman" w:hAnsi="Times New Roman" w:cs="Times New Roman"/>
      <w:b/>
      <w:bCs/>
      <w:sz w:val="20"/>
      <w:szCs w:val="20"/>
      <w:lang w:eastAsia="en-GB"/>
    </w:rPr>
  </w:style>
  <w:style w:type="character" w:customStyle="1" w:styleId="sidetext">
    <w:name w:val="sidetext"/>
    <w:basedOn w:val="DefaultParagraphFont"/>
    <w:rsid w:val="00337CED"/>
  </w:style>
  <w:style w:type="paragraph" w:styleId="Bibliography">
    <w:name w:val="Bibliography"/>
    <w:basedOn w:val="Normal"/>
    <w:next w:val="Normal"/>
    <w:uiPriority w:val="37"/>
    <w:unhideWhenUsed/>
    <w:rsid w:val="00352083"/>
  </w:style>
  <w:style w:type="character" w:customStyle="1" w:styleId="Heading1Char">
    <w:name w:val="Heading 1 Char"/>
    <w:basedOn w:val="DefaultParagraphFont"/>
    <w:link w:val="Heading1"/>
    <w:uiPriority w:val="9"/>
    <w:rsid w:val="00260ACB"/>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498397">
      <w:bodyDiv w:val="1"/>
      <w:marLeft w:val="0"/>
      <w:marRight w:val="0"/>
      <w:marTop w:val="0"/>
      <w:marBottom w:val="0"/>
      <w:divBdr>
        <w:top w:val="none" w:sz="0" w:space="0" w:color="auto"/>
        <w:left w:val="none" w:sz="0" w:space="0" w:color="auto"/>
        <w:bottom w:val="none" w:sz="0" w:space="0" w:color="auto"/>
        <w:right w:val="none" w:sz="0" w:space="0" w:color="auto"/>
      </w:divBdr>
    </w:div>
    <w:div w:id="275257546">
      <w:bodyDiv w:val="1"/>
      <w:marLeft w:val="0"/>
      <w:marRight w:val="0"/>
      <w:marTop w:val="0"/>
      <w:marBottom w:val="0"/>
      <w:divBdr>
        <w:top w:val="none" w:sz="0" w:space="0" w:color="auto"/>
        <w:left w:val="none" w:sz="0" w:space="0" w:color="auto"/>
        <w:bottom w:val="none" w:sz="0" w:space="0" w:color="auto"/>
        <w:right w:val="none" w:sz="0" w:space="0" w:color="auto"/>
      </w:divBdr>
    </w:div>
    <w:div w:id="292641984">
      <w:bodyDiv w:val="1"/>
      <w:marLeft w:val="0"/>
      <w:marRight w:val="0"/>
      <w:marTop w:val="0"/>
      <w:marBottom w:val="0"/>
      <w:divBdr>
        <w:top w:val="none" w:sz="0" w:space="0" w:color="auto"/>
        <w:left w:val="none" w:sz="0" w:space="0" w:color="auto"/>
        <w:bottom w:val="none" w:sz="0" w:space="0" w:color="auto"/>
        <w:right w:val="none" w:sz="0" w:space="0" w:color="auto"/>
      </w:divBdr>
    </w:div>
    <w:div w:id="310525367">
      <w:bodyDiv w:val="1"/>
      <w:marLeft w:val="0"/>
      <w:marRight w:val="0"/>
      <w:marTop w:val="0"/>
      <w:marBottom w:val="0"/>
      <w:divBdr>
        <w:top w:val="none" w:sz="0" w:space="0" w:color="auto"/>
        <w:left w:val="none" w:sz="0" w:space="0" w:color="auto"/>
        <w:bottom w:val="none" w:sz="0" w:space="0" w:color="auto"/>
        <w:right w:val="none" w:sz="0" w:space="0" w:color="auto"/>
      </w:divBdr>
    </w:div>
    <w:div w:id="397289568">
      <w:bodyDiv w:val="1"/>
      <w:marLeft w:val="0"/>
      <w:marRight w:val="0"/>
      <w:marTop w:val="0"/>
      <w:marBottom w:val="0"/>
      <w:divBdr>
        <w:top w:val="none" w:sz="0" w:space="0" w:color="auto"/>
        <w:left w:val="none" w:sz="0" w:space="0" w:color="auto"/>
        <w:bottom w:val="none" w:sz="0" w:space="0" w:color="auto"/>
        <w:right w:val="none" w:sz="0" w:space="0" w:color="auto"/>
      </w:divBdr>
    </w:div>
    <w:div w:id="442924620">
      <w:bodyDiv w:val="1"/>
      <w:marLeft w:val="0"/>
      <w:marRight w:val="0"/>
      <w:marTop w:val="0"/>
      <w:marBottom w:val="0"/>
      <w:divBdr>
        <w:top w:val="none" w:sz="0" w:space="0" w:color="auto"/>
        <w:left w:val="none" w:sz="0" w:space="0" w:color="auto"/>
        <w:bottom w:val="none" w:sz="0" w:space="0" w:color="auto"/>
        <w:right w:val="none" w:sz="0" w:space="0" w:color="auto"/>
      </w:divBdr>
    </w:div>
    <w:div w:id="447091871">
      <w:bodyDiv w:val="1"/>
      <w:marLeft w:val="0"/>
      <w:marRight w:val="0"/>
      <w:marTop w:val="0"/>
      <w:marBottom w:val="0"/>
      <w:divBdr>
        <w:top w:val="none" w:sz="0" w:space="0" w:color="auto"/>
        <w:left w:val="none" w:sz="0" w:space="0" w:color="auto"/>
        <w:bottom w:val="none" w:sz="0" w:space="0" w:color="auto"/>
        <w:right w:val="none" w:sz="0" w:space="0" w:color="auto"/>
      </w:divBdr>
    </w:div>
    <w:div w:id="467820983">
      <w:bodyDiv w:val="1"/>
      <w:marLeft w:val="0"/>
      <w:marRight w:val="0"/>
      <w:marTop w:val="0"/>
      <w:marBottom w:val="0"/>
      <w:divBdr>
        <w:top w:val="none" w:sz="0" w:space="0" w:color="auto"/>
        <w:left w:val="none" w:sz="0" w:space="0" w:color="auto"/>
        <w:bottom w:val="none" w:sz="0" w:space="0" w:color="auto"/>
        <w:right w:val="none" w:sz="0" w:space="0" w:color="auto"/>
      </w:divBdr>
    </w:div>
    <w:div w:id="526989962">
      <w:bodyDiv w:val="1"/>
      <w:marLeft w:val="0"/>
      <w:marRight w:val="0"/>
      <w:marTop w:val="0"/>
      <w:marBottom w:val="0"/>
      <w:divBdr>
        <w:top w:val="none" w:sz="0" w:space="0" w:color="auto"/>
        <w:left w:val="none" w:sz="0" w:space="0" w:color="auto"/>
        <w:bottom w:val="none" w:sz="0" w:space="0" w:color="auto"/>
        <w:right w:val="none" w:sz="0" w:space="0" w:color="auto"/>
      </w:divBdr>
    </w:div>
    <w:div w:id="561864838">
      <w:bodyDiv w:val="1"/>
      <w:marLeft w:val="0"/>
      <w:marRight w:val="0"/>
      <w:marTop w:val="0"/>
      <w:marBottom w:val="0"/>
      <w:divBdr>
        <w:top w:val="none" w:sz="0" w:space="0" w:color="auto"/>
        <w:left w:val="none" w:sz="0" w:space="0" w:color="auto"/>
        <w:bottom w:val="none" w:sz="0" w:space="0" w:color="auto"/>
        <w:right w:val="none" w:sz="0" w:space="0" w:color="auto"/>
      </w:divBdr>
    </w:div>
    <w:div w:id="572813267">
      <w:bodyDiv w:val="1"/>
      <w:marLeft w:val="0"/>
      <w:marRight w:val="0"/>
      <w:marTop w:val="0"/>
      <w:marBottom w:val="0"/>
      <w:divBdr>
        <w:top w:val="none" w:sz="0" w:space="0" w:color="auto"/>
        <w:left w:val="none" w:sz="0" w:space="0" w:color="auto"/>
        <w:bottom w:val="none" w:sz="0" w:space="0" w:color="auto"/>
        <w:right w:val="none" w:sz="0" w:space="0" w:color="auto"/>
      </w:divBdr>
    </w:div>
    <w:div w:id="603927529">
      <w:bodyDiv w:val="1"/>
      <w:marLeft w:val="0"/>
      <w:marRight w:val="0"/>
      <w:marTop w:val="0"/>
      <w:marBottom w:val="0"/>
      <w:divBdr>
        <w:top w:val="none" w:sz="0" w:space="0" w:color="auto"/>
        <w:left w:val="none" w:sz="0" w:space="0" w:color="auto"/>
        <w:bottom w:val="none" w:sz="0" w:space="0" w:color="auto"/>
        <w:right w:val="none" w:sz="0" w:space="0" w:color="auto"/>
      </w:divBdr>
    </w:div>
    <w:div w:id="646470035">
      <w:bodyDiv w:val="1"/>
      <w:marLeft w:val="0"/>
      <w:marRight w:val="0"/>
      <w:marTop w:val="0"/>
      <w:marBottom w:val="0"/>
      <w:divBdr>
        <w:top w:val="none" w:sz="0" w:space="0" w:color="auto"/>
        <w:left w:val="none" w:sz="0" w:space="0" w:color="auto"/>
        <w:bottom w:val="none" w:sz="0" w:space="0" w:color="auto"/>
        <w:right w:val="none" w:sz="0" w:space="0" w:color="auto"/>
      </w:divBdr>
    </w:div>
    <w:div w:id="710688724">
      <w:bodyDiv w:val="1"/>
      <w:marLeft w:val="0"/>
      <w:marRight w:val="0"/>
      <w:marTop w:val="0"/>
      <w:marBottom w:val="0"/>
      <w:divBdr>
        <w:top w:val="none" w:sz="0" w:space="0" w:color="auto"/>
        <w:left w:val="none" w:sz="0" w:space="0" w:color="auto"/>
        <w:bottom w:val="none" w:sz="0" w:space="0" w:color="auto"/>
        <w:right w:val="none" w:sz="0" w:space="0" w:color="auto"/>
      </w:divBdr>
    </w:div>
    <w:div w:id="752509922">
      <w:bodyDiv w:val="1"/>
      <w:marLeft w:val="0"/>
      <w:marRight w:val="0"/>
      <w:marTop w:val="0"/>
      <w:marBottom w:val="0"/>
      <w:divBdr>
        <w:top w:val="none" w:sz="0" w:space="0" w:color="auto"/>
        <w:left w:val="none" w:sz="0" w:space="0" w:color="auto"/>
        <w:bottom w:val="none" w:sz="0" w:space="0" w:color="auto"/>
        <w:right w:val="none" w:sz="0" w:space="0" w:color="auto"/>
      </w:divBdr>
    </w:div>
    <w:div w:id="799960880">
      <w:bodyDiv w:val="1"/>
      <w:marLeft w:val="0"/>
      <w:marRight w:val="0"/>
      <w:marTop w:val="0"/>
      <w:marBottom w:val="0"/>
      <w:divBdr>
        <w:top w:val="none" w:sz="0" w:space="0" w:color="auto"/>
        <w:left w:val="none" w:sz="0" w:space="0" w:color="auto"/>
        <w:bottom w:val="none" w:sz="0" w:space="0" w:color="auto"/>
        <w:right w:val="none" w:sz="0" w:space="0" w:color="auto"/>
      </w:divBdr>
    </w:div>
    <w:div w:id="860824915">
      <w:bodyDiv w:val="1"/>
      <w:marLeft w:val="0"/>
      <w:marRight w:val="0"/>
      <w:marTop w:val="0"/>
      <w:marBottom w:val="0"/>
      <w:divBdr>
        <w:top w:val="none" w:sz="0" w:space="0" w:color="auto"/>
        <w:left w:val="none" w:sz="0" w:space="0" w:color="auto"/>
        <w:bottom w:val="none" w:sz="0" w:space="0" w:color="auto"/>
        <w:right w:val="none" w:sz="0" w:space="0" w:color="auto"/>
      </w:divBdr>
    </w:div>
    <w:div w:id="935747274">
      <w:bodyDiv w:val="1"/>
      <w:marLeft w:val="0"/>
      <w:marRight w:val="0"/>
      <w:marTop w:val="0"/>
      <w:marBottom w:val="0"/>
      <w:divBdr>
        <w:top w:val="none" w:sz="0" w:space="0" w:color="auto"/>
        <w:left w:val="none" w:sz="0" w:space="0" w:color="auto"/>
        <w:bottom w:val="none" w:sz="0" w:space="0" w:color="auto"/>
        <w:right w:val="none" w:sz="0" w:space="0" w:color="auto"/>
      </w:divBdr>
    </w:div>
    <w:div w:id="1010716642">
      <w:bodyDiv w:val="1"/>
      <w:marLeft w:val="0"/>
      <w:marRight w:val="0"/>
      <w:marTop w:val="0"/>
      <w:marBottom w:val="0"/>
      <w:divBdr>
        <w:top w:val="none" w:sz="0" w:space="0" w:color="auto"/>
        <w:left w:val="none" w:sz="0" w:space="0" w:color="auto"/>
        <w:bottom w:val="none" w:sz="0" w:space="0" w:color="auto"/>
        <w:right w:val="none" w:sz="0" w:space="0" w:color="auto"/>
      </w:divBdr>
    </w:div>
    <w:div w:id="1031758542">
      <w:bodyDiv w:val="1"/>
      <w:marLeft w:val="0"/>
      <w:marRight w:val="0"/>
      <w:marTop w:val="0"/>
      <w:marBottom w:val="0"/>
      <w:divBdr>
        <w:top w:val="none" w:sz="0" w:space="0" w:color="auto"/>
        <w:left w:val="none" w:sz="0" w:space="0" w:color="auto"/>
        <w:bottom w:val="none" w:sz="0" w:space="0" w:color="auto"/>
        <w:right w:val="none" w:sz="0" w:space="0" w:color="auto"/>
      </w:divBdr>
    </w:div>
    <w:div w:id="1047875089">
      <w:bodyDiv w:val="1"/>
      <w:marLeft w:val="0"/>
      <w:marRight w:val="0"/>
      <w:marTop w:val="0"/>
      <w:marBottom w:val="0"/>
      <w:divBdr>
        <w:top w:val="none" w:sz="0" w:space="0" w:color="auto"/>
        <w:left w:val="none" w:sz="0" w:space="0" w:color="auto"/>
        <w:bottom w:val="none" w:sz="0" w:space="0" w:color="auto"/>
        <w:right w:val="none" w:sz="0" w:space="0" w:color="auto"/>
      </w:divBdr>
    </w:div>
    <w:div w:id="1149445212">
      <w:bodyDiv w:val="1"/>
      <w:marLeft w:val="0"/>
      <w:marRight w:val="0"/>
      <w:marTop w:val="0"/>
      <w:marBottom w:val="0"/>
      <w:divBdr>
        <w:top w:val="none" w:sz="0" w:space="0" w:color="auto"/>
        <w:left w:val="none" w:sz="0" w:space="0" w:color="auto"/>
        <w:bottom w:val="none" w:sz="0" w:space="0" w:color="auto"/>
        <w:right w:val="none" w:sz="0" w:space="0" w:color="auto"/>
      </w:divBdr>
    </w:div>
    <w:div w:id="1157958147">
      <w:bodyDiv w:val="1"/>
      <w:marLeft w:val="0"/>
      <w:marRight w:val="0"/>
      <w:marTop w:val="0"/>
      <w:marBottom w:val="0"/>
      <w:divBdr>
        <w:top w:val="none" w:sz="0" w:space="0" w:color="auto"/>
        <w:left w:val="none" w:sz="0" w:space="0" w:color="auto"/>
        <w:bottom w:val="none" w:sz="0" w:space="0" w:color="auto"/>
        <w:right w:val="none" w:sz="0" w:space="0" w:color="auto"/>
      </w:divBdr>
    </w:div>
    <w:div w:id="1249316531">
      <w:bodyDiv w:val="1"/>
      <w:marLeft w:val="0"/>
      <w:marRight w:val="0"/>
      <w:marTop w:val="0"/>
      <w:marBottom w:val="0"/>
      <w:divBdr>
        <w:top w:val="none" w:sz="0" w:space="0" w:color="auto"/>
        <w:left w:val="none" w:sz="0" w:space="0" w:color="auto"/>
        <w:bottom w:val="none" w:sz="0" w:space="0" w:color="auto"/>
        <w:right w:val="none" w:sz="0" w:space="0" w:color="auto"/>
      </w:divBdr>
    </w:div>
    <w:div w:id="1263609174">
      <w:bodyDiv w:val="1"/>
      <w:marLeft w:val="0"/>
      <w:marRight w:val="0"/>
      <w:marTop w:val="0"/>
      <w:marBottom w:val="0"/>
      <w:divBdr>
        <w:top w:val="none" w:sz="0" w:space="0" w:color="auto"/>
        <w:left w:val="none" w:sz="0" w:space="0" w:color="auto"/>
        <w:bottom w:val="none" w:sz="0" w:space="0" w:color="auto"/>
        <w:right w:val="none" w:sz="0" w:space="0" w:color="auto"/>
      </w:divBdr>
    </w:div>
    <w:div w:id="1363550461">
      <w:bodyDiv w:val="1"/>
      <w:marLeft w:val="0"/>
      <w:marRight w:val="0"/>
      <w:marTop w:val="0"/>
      <w:marBottom w:val="0"/>
      <w:divBdr>
        <w:top w:val="none" w:sz="0" w:space="0" w:color="auto"/>
        <w:left w:val="none" w:sz="0" w:space="0" w:color="auto"/>
        <w:bottom w:val="none" w:sz="0" w:space="0" w:color="auto"/>
        <w:right w:val="none" w:sz="0" w:space="0" w:color="auto"/>
      </w:divBdr>
    </w:div>
    <w:div w:id="1371147911">
      <w:bodyDiv w:val="1"/>
      <w:marLeft w:val="0"/>
      <w:marRight w:val="0"/>
      <w:marTop w:val="0"/>
      <w:marBottom w:val="0"/>
      <w:divBdr>
        <w:top w:val="none" w:sz="0" w:space="0" w:color="auto"/>
        <w:left w:val="none" w:sz="0" w:space="0" w:color="auto"/>
        <w:bottom w:val="none" w:sz="0" w:space="0" w:color="auto"/>
        <w:right w:val="none" w:sz="0" w:space="0" w:color="auto"/>
      </w:divBdr>
    </w:div>
    <w:div w:id="1394113394">
      <w:bodyDiv w:val="1"/>
      <w:marLeft w:val="0"/>
      <w:marRight w:val="0"/>
      <w:marTop w:val="0"/>
      <w:marBottom w:val="0"/>
      <w:divBdr>
        <w:top w:val="none" w:sz="0" w:space="0" w:color="auto"/>
        <w:left w:val="none" w:sz="0" w:space="0" w:color="auto"/>
        <w:bottom w:val="none" w:sz="0" w:space="0" w:color="auto"/>
        <w:right w:val="none" w:sz="0" w:space="0" w:color="auto"/>
      </w:divBdr>
    </w:div>
    <w:div w:id="1406147304">
      <w:bodyDiv w:val="1"/>
      <w:marLeft w:val="0"/>
      <w:marRight w:val="0"/>
      <w:marTop w:val="0"/>
      <w:marBottom w:val="0"/>
      <w:divBdr>
        <w:top w:val="none" w:sz="0" w:space="0" w:color="auto"/>
        <w:left w:val="none" w:sz="0" w:space="0" w:color="auto"/>
        <w:bottom w:val="none" w:sz="0" w:space="0" w:color="auto"/>
        <w:right w:val="none" w:sz="0" w:space="0" w:color="auto"/>
      </w:divBdr>
    </w:div>
    <w:div w:id="1449465326">
      <w:bodyDiv w:val="1"/>
      <w:marLeft w:val="0"/>
      <w:marRight w:val="0"/>
      <w:marTop w:val="0"/>
      <w:marBottom w:val="0"/>
      <w:divBdr>
        <w:top w:val="none" w:sz="0" w:space="0" w:color="auto"/>
        <w:left w:val="none" w:sz="0" w:space="0" w:color="auto"/>
        <w:bottom w:val="none" w:sz="0" w:space="0" w:color="auto"/>
        <w:right w:val="none" w:sz="0" w:space="0" w:color="auto"/>
      </w:divBdr>
    </w:div>
    <w:div w:id="1475954127">
      <w:bodyDiv w:val="1"/>
      <w:marLeft w:val="0"/>
      <w:marRight w:val="0"/>
      <w:marTop w:val="0"/>
      <w:marBottom w:val="0"/>
      <w:divBdr>
        <w:top w:val="none" w:sz="0" w:space="0" w:color="auto"/>
        <w:left w:val="none" w:sz="0" w:space="0" w:color="auto"/>
        <w:bottom w:val="none" w:sz="0" w:space="0" w:color="auto"/>
        <w:right w:val="none" w:sz="0" w:space="0" w:color="auto"/>
      </w:divBdr>
    </w:div>
    <w:div w:id="1614744505">
      <w:bodyDiv w:val="1"/>
      <w:marLeft w:val="0"/>
      <w:marRight w:val="0"/>
      <w:marTop w:val="0"/>
      <w:marBottom w:val="0"/>
      <w:divBdr>
        <w:top w:val="none" w:sz="0" w:space="0" w:color="auto"/>
        <w:left w:val="none" w:sz="0" w:space="0" w:color="auto"/>
        <w:bottom w:val="none" w:sz="0" w:space="0" w:color="auto"/>
        <w:right w:val="none" w:sz="0" w:space="0" w:color="auto"/>
      </w:divBdr>
    </w:div>
    <w:div w:id="1656756495">
      <w:bodyDiv w:val="1"/>
      <w:marLeft w:val="0"/>
      <w:marRight w:val="0"/>
      <w:marTop w:val="0"/>
      <w:marBottom w:val="0"/>
      <w:divBdr>
        <w:top w:val="none" w:sz="0" w:space="0" w:color="auto"/>
        <w:left w:val="none" w:sz="0" w:space="0" w:color="auto"/>
        <w:bottom w:val="none" w:sz="0" w:space="0" w:color="auto"/>
        <w:right w:val="none" w:sz="0" w:space="0" w:color="auto"/>
      </w:divBdr>
    </w:div>
    <w:div w:id="1835030411">
      <w:bodyDiv w:val="1"/>
      <w:marLeft w:val="0"/>
      <w:marRight w:val="0"/>
      <w:marTop w:val="0"/>
      <w:marBottom w:val="0"/>
      <w:divBdr>
        <w:top w:val="none" w:sz="0" w:space="0" w:color="auto"/>
        <w:left w:val="none" w:sz="0" w:space="0" w:color="auto"/>
        <w:bottom w:val="none" w:sz="0" w:space="0" w:color="auto"/>
        <w:right w:val="none" w:sz="0" w:space="0" w:color="auto"/>
      </w:divBdr>
    </w:div>
    <w:div w:id="1905411409">
      <w:bodyDiv w:val="1"/>
      <w:marLeft w:val="0"/>
      <w:marRight w:val="0"/>
      <w:marTop w:val="0"/>
      <w:marBottom w:val="0"/>
      <w:divBdr>
        <w:top w:val="none" w:sz="0" w:space="0" w:color="auto"/>
        <w:left w:val="none" w:sz="0" w:space="0" w:color="auto"/>
        <w:bottom w:val="none" w:sz="0" w:space="0" w:color="auto"/>
        <w:right w:val="none" w:sz="0" w:space="0" w:color="auto"/>
      </w:divBdr>
    </w:div>
    <w:div w:id="2006667834">
      <w:bodyDiv w:val="1"/>
      <w:marLeft w:val="0"/>
      <w:marRight w:val="0"/>
      <w:marTop w:val="0"/>
      <w:marBottom w:val="0"/>
      <w:divBdr>
        <w:top w:val="none" w:sz="0" w:space="0" w:color="auto"/>
        <w:left w:val="none" w:sz="0" w:space="0" w:color="auto"/>
        <w:bottom w:val="none" w:sz="0" w:space="0" w:color="auto"/>
        <w:right w:val="none" w:sz="0" w:space="0" w:color="auto"/>
      </w:divBdr>
    </w:div>
    <w:div w:id="2026049715">
      <w:bodyDiv w:val="1"/>
      <w:marLeft w:val="0"/>
      <w:marRight w:val="0"/>
      <w:marTop w:val="0"/>
      <w:marBottom w:val="0"/>
      <w:divBdr>
        <w:top w:val="none" w:sz="0" w:space="0" w:color="auto"/>
        <w:left w:val="none" w:sz="0" w:space="0" w:color="auto"/>
        <w:bottom w:val="none" w:sz="0" w:space="0" w:color="auto"/>
        <w:right w:val="none" w:sz="0" w:space="0" w:color="auto"/>
      </w:divBdr>
    </w:div>
    <w:div w:id="2089228318">
      <w:bodyDiv w:val="1"/>
      <w:marLeft w:val="0"/>
      <w:marRight w:val="0"/>
      <w:marTop w:val="0"/>
      <w:marBottom w:val="0"/>
      <w:divBdr>
        <w:top w:val="none" w:sz="0" w:space="0" w:color="auto"/>
        <w:left w:val="none" w:sz="0" w:space="0" w:color="auto"/>
        <w:bottom w:val="none" w:sz="0" w:space="0" w:color="auto"/>
        <w:right w:val="none" w:sz="0" w:space="0" w:color="auto"/>
      </w:divBdr>
    </w:div>
    <w:div w:id="2134207013">
      <w:bodyDiv w:val="1"/>
      <w:marLeft w:val="0"/>
      <w:marRight w:val="0"/>
      <w:marTop w:val="0"/>
      <w:marBottom w:val="0"/>
      <w:divBdr>
        <w:top w:val="none" w:sz="0" w:space="0" w:color="auto"/>
        <w:left w:val="none" w:sz="0" w:space="0" w:color="auto"/>
        <w:bottom w:val="none" w:sz="0" w:space="0" w:color="auto"/>
        <w:right w:val="none" w:sz="0" w:space="0" w:color="auto"/>
      </w:divBdr>
    </w:div>
    <w:div w:id="213609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Cha29</b:Tag>
    <b:SourceType>Book</b:SourceType>
    <b:Guid>{41BD0C9A-3D35-4D71-9B20-625EFCBF6DB5}</b:Guid>
    <b:Author>
      <b:Author>
        <b:NameList>
          <b:Person>
            <b:Last>Cochrane</b:Last>
            <b:First>Charles</b:First>
            <b:Middle>Norris</b:Middle>
          </b:Person>
        </b:NameList>
      </b:Author>
    </b:Author>
    <b:Title>Thucydides and the Science of History</b:Title>
    <b:Year>1929</b:Year>
    <b:City>London</b:City>
    <b:Publisher>Oxford University Press</b:Publisher>
    <b:RefOrder>1</b:RefOrder>
  </b:Source>
  <b:Source>
    <b:Tag>Fra07</b:Tag>
    <b:SourceType>Book</b:SourceType>
    <b:Guid>{CA0C47AA-29B0-4FFC-AB6F-337AC660C281}</b:Guid>
    <b:Author>
      <b:Author>
        <b:NameList>
          <b:Person>
            <b:Last>Cornford</b:Last>
            <b:First>Francis</b:First>
            <b:Middle>Macdonald</b:Middle>
          </b:Person>
        </b:NameList>
      </b:Author>
    </b:Author>
    <b:Title>Thucydides Mythistoricus</b:Title>
    <b:Year>1907</b:Year>
    <b:City>London</b:City>
    <b:Publisher>Edward Arnold</b:Publisher>
    <b:RefOrder>2</b:RefOrder>
  </b:Source>
  <b:Source>
    <b:Tag>Oos75</b:Tag>
    <b:SourceType>JournalArticle</b:SourceType>
    <b:Guid>{E2FF49EA-30FA-4062-93A7-68C99778C112}</b:Guid>
    <b:Author>
      <b:Author>
        <b:NameList>
          <b:Person>
            <b:Last>Oost</b:Last>
            <b:First>Stewart</b:First>
            <b:Middle>Irvin</b:Middle>
          </b:Person>
        </b:NameList>
      </b:Author>
    </b:Author>
    <b:Title>Thucydides and the Irrational: Sundry Passages</b:Title>
    <b:JournalName>Classical Philology</b:JournalName>
    <b:Year>1975</b:Year>
    <b:Pages>186-196</b:Pages>
    <b:Volume>70</b:Volume>
    <b:Issue>3</b:Issue>
    <b:Month>July</b:Month>
    <b:RefOrder>3</b:RefOrder>
  </b:Source>
  <b:Source>
    <b:Tag>WKe85</b:Tag>
    <b:SourceType>Book</b:SourceType>
    <b:Guid>{30D28E20-A136-4EBE-B331-C2D70B347AE0}</b:Guid>
    <b:Title>The Greek State at War Part IV</b:Title>
    <b:Year>1985</b:Year>
    <b:City>London</b:City>
    <b:Publisher>University of California Press</b:Publisher>
    <b:Author>
      <b:Author>
        <b:NameList>
          <b:Person>
            <b:Last>Pritchett</b:Last>
            <b:First>W.</b:First>
            <b:Middle>Kendrick</b:Middle>
          </b:Person>
        </b:NameList>
      </b:Author>
    </b:Author>
    <b:RefOrder>4</b:RefOrder>
  </b:Source>
  <b:Source>
    <b:Tag>Mar99</b:Tag>
    <b:SourceType>JournalArticle</b:SourceType>
    <b:Guid>{13EC0E23-B36C-45AB-838C-443CD61661A0}</b:Guid>
    <b:Author>
      <b:Author>
        <b:NameList>
          <b:Person>
            <b:Last>Toher</b:Last>
            <b:First>Mark</b:First>
          </b:Person>
        </b:NameList>
      </b:Author>
    </b:Author>
    <b:Title>On "Thucydides' Blunder": 2.34.5</b:Title>
    <b:JournalName>Hermes</b:JournalName>
    <b:Year>1999</b:Year>
    <b:Pages>497-501</b:Pages>
    <b:Volume>127</b:Volume>
    <b:RefOrder>5</b:RefOrder>
  </b:Source>
  <b:Source>
    <b:Tag>Hor02</b:Tag>
    <b:SourceType>Book</b:SourceType>
    <b:Guid>{0AC73C76-038D-45A5-840E-A373C207DADC}</b:Guid>
    <b:Author>
      <b:Author>
        <b:NameList>
          <b:Person>
            <b:Last>Hornblower</b:Last>
            <b:First>Simon</b:First>
          </b:Person>
        </b:NameList>
      </b:Author>
    </b:Author>
    <b:Title>The Greek World: 479-323BC</b:Title>
    <b:Year>2002</b:Year>
    <b:City>London</b:City>
    <b:Publisher>Routledge</b:Publisher>
    <b:Edition>3rd</b:Edition>
    <b:RefOrder>6</b:RefOrder>
  </b:Source>
  <b:Source>
    <b:Tag>Hor95</b:Tag>
    <b:SourceType>JournalArticle</b:SourceType>
    <b:Guid>{E87CC09D-86E3-49AF-81A2-679FBD3F06C3}</b:Guid>
    <b:Title>The Fourth-Century and Hellenistic Reception of Thucydides</b:Title>
    <b:Year>1995</b:Year>
    <b:Author>
      <b:Author>
        <b:NameList>
          <b:Person>
            <b:Last>Hornblower</b:Last>
            <b:First>Simon</b:First>
          </b:Person>
        </b:NameList>
      </b:Author>
    </b:Author>
    <b:JournalName>The Journal of Hellenistic Studies</b:JournalName>
    <b:Pages>47-68</b:Pages>
    <b:Volume>115</b:Volume>
    <b:RefOrder>7</b:RefOrder>
  </b:Source>
  <b:Source>
    <b:Tag>Ant97</b:Tag>
    <b:SourceType>Book</b:SourceType>
    <b:Guid>{00EE664D-8F6E-4E2B-B7B3-D1C2D7285CF8}</b:Guid>
    <b:Author>
      <b:Author>
        <b:NameList>
          <b:Person>
            <b:Last>Grafton</b:Last>
            <b:First>Anthony</b:First>
          </b:Person>
        </b:NameList>
      </b:Author>
    </b:Author>
    <b:Title>The Footnote: A Curious History</b:Title>
    <b:Year>1997</b:Year>
    <b:City>Harvard</b:City>
    <b:Publisher>Harvard University Press</b:Publisher>
    <b:RefOrder>8</b:RefOrder>
  </b:Source>
  <b:Source>
    <b:Tag>Pau13</b:Tag>
    <b:SourceType>BookSection</b:SourceType>
    <b:Guid>{53356D84-A3EC-4147-9432-2BA882D15D9A}</b:Guid>
    <b:Title>Introduction</b:Title>
    <b:Year>2013</b:Year>
    <b:City>London</b:City>
    <b:Publisher>Penguin</b:Publisher>
    <b:Author>
      <b:Author>
        <b:NameList>
          <b:Person>
            <b:Last>Cartledge</b:Last>
            <b:First>Paul</b:First>
          </b:Person>
        </b:NameList>
      </b:Author>
    </b:Author>
    <b:BookTitle>Herodotus: The Histories</b:BookTitle>
    <b:Pages>xv-xxxii</b:Pages>
    <b:RefOrder>9</b:RefOrder>
  </b:Source>
  <b:Source>
    <b:Tag>Cic98</b:Tag>
    <b:SourceType>Book</b:SourceType>
    <b:Guid>{9A592CAD-23EF-4220-9990-47D447BCFC25}</b:Guid>
    <b:Title>The Republic and The Laws</b:Title>
    <b:Year>1998</b:Year>
    <b:City>Oxford</b:City>
    <b:Publisher>Oxford University Press</b:Publisher>
    <b:Author>
      <b:Author>
        <b:NameList>
          <b:Person>
            <b:Last>Cicero</b:Last>
          </b:Person>
        </b:NameList>
      </b:Author>
      <b:Translator>
        <b:NameList>
          <b:Person>
            <b:Last>Rudd</b:Last>
            <b:First>Niall</b:First>
          </b:Person>
        </b:NameList>
      </b:Translator>
    </b:Author>
    <b:RefOrder>10</b:RefOrder>
  </b:Source>
  <b:Source>
    <b:Tag>Tom96</b:Tag>
    <b:SourceType>BookSection</b:SourceType>
    <b:Guid>{78CED9A2-2378-4D47-B467-FEAF12740203}</b:Guid>
    <b:Title>Introduction</b:Title>
    <b:Year>1996</b:Year>
    <b:City>Ware</b:City>
    <b:Publisher>Wordsworth Editions Limited</b:Publisher>
    <b:Author>
      <b:Author>
        <b:NameList>
          <b:Person>
            <b:Last>Griffith</b:Last>
            <b:First>Tom</b:First>
          </b:Person>
        </b:NameList>
      </b:Author>
    </b:Author>
    <b:BookTitle>Histories: Herodotus</b:BookTitle>
    <b:Pages>v-xi</b:Pages>
    <b:RefOrder>11</b:RefOrder>
  </b:Source>
  <b:Source>
    <b:Tag>McG10</b:Tag>
    <b:SourceType>BookSection</b:SourceType>
    <b:Guid>{F14F6F53-B6B7-46A3-8676-0C37BAD700EF}</b:Guid>
    <b:Title>Introduction</b:Title>
    <b:Year>2010</b:Year>
    <b:City>Oxford</b:City>
    <b:Publisher>Oxford University Press</b:Publisher>
    <b:Author>
      <b:Author>
        <b:NameList>
          <b:Person>
            <b:Last>McGing</b:Last>
            <b:First>Brian</b:First>
          </b:Person>
        </b:NameList>
      </b:Author>
      <b:BookAuthor>
        <b:NameList>
          <b:Person>
            <b:Last>Polybius</b:Last>
          </b:Person>
        </b:NameList>
      </b:BookAuthor>
    </b:Author>
    <b:BookTitle>The Histories</b:BookTitle>
    <b:Pages>vii-xxxv</b:Pages>
    <b:RefOrder>12</b:RefOrder>
  </b:Source>
  <b:Source>
    <b:Tag>Dar07</b:Tag>
    <b:SourceType>BookSection</b:SourceType>
    <b:Guid>{217722B7-2E77-4649-864A-E1A3C1C839DB}</b:Guid>
    <b:Author>
      <b:Author>
        <b:NameList>
          <b:Person>
            <b:Last>Darbo-Peschanski</b:Last>
            <b:First>Catherine</b:First>
          </b:Person>
        </b:NameList>
      </b:Author>
      <b:Editor>
        <b:NameList>
          <b:Person>
            <b:Last>Marincola</b:Last>
            <b:First>John</b:First>
          </b:Person>
        </b:NameList>
      </b:Editor>
    </b:Author>
    <b:Title>The Origin of Greek Historiography</b:Title>
    <b:Year>2007</b:Year>
    <b:City>Oxford</b:City>
    <b:Publisher>Blackwell Publishing</b:Publisher>
    <b:BookTitle>A Companion to Greek and Roman Historiography</b:BookTitle>
    <b:Pages>27-38</b:Pages>
    <b:Volume>1</b:Volume>
    <b:ChapterNumber>2</b:ChapterNumber>
    <b:RefOrder>13</b:RefOrder>
  </b:Source>
  <b:Source>
    <b:Tag>Plu92</b:Tag>
    <b:SourceType>Book</b:SourceType>
    <b:Guid>{3907DEBB-3973-4108-9D2B-5A88DFB0715B}</b:Guid>
    <b:Author>
      <b:Author>
        <b:NameList>
          <b:Person>
            <b:Last>Plutarch</b:Last>
          </b:Person>
        </b:NameList>
      </b:Author>
      <b:Translator>
        <b:NameList>
          <b:Person>
            <b:Last>Bowen</b:Last>
            <b:First>Anthony</b:First>
          </b:Person>
        </b:NameList>
      </b:Translator>
    </b:Author>
    <b:Title>Malice of Herodotus</b:Title>
    <b:Year>1992</b:Year>
    <b:City>Warminster</b:City>
    <b:Publisher>Aris &amp; Phillips Ltd</b:Publisher>
    <b:RefOrder>14</b:RefOrder>
  </b:Source>
  <b:Source>
    <b:Tag>Car08</b:Tag>
    <b:SourceType>BookSection</b:SourceType>
    <b:Guid>{929A8070-7A21-4592-BFBE-90111CE0378B}</b:Guid>
    <b:Author>
      <b:Author>
        <b:NameList>
          <b:Person>
            <b:Last>Dewald</b:Last>
            <b:First>Carolyn</b:First>
          </b:Person>
        </b:NameList>
      </b:Author>
    </b:Author>
    <b:Title>Introduction</b:Title>
    <b:BookTitle>Herodotus: The Histories</b:BookTitle>
    <b:Year>2008</b:Year>
    <b:Pages>ix-xli</b:Pages>
    <b:City>Oxford</b:City>
    <b:Publisher>Oxford University Press</b:Publisher>
    <b:RefOrder>15</b:RefOrder>
  </b:Source>
  <b:Source>
    <b:Tag>Uni17</b:Tag>
    <b:SourceType>InternetSite</b:SourceType>
    <b:Guid>{2DE3127F-D304-4D43-8837-B0696C292B84}</b:Guid>
    <b:Title>Museum of Classical Archaeology Databases: Double Herm of Thucydides and Herodotus</b:Title>
    <b:Author>
      <b:Author>
        <b:Corporate>University of Cambridge</b:Corporate>
      </b:Author>
    </b:Author>
    <b:YearAccessed>2017</b:YearAccessed>
    <b:MonthAccessed>November</b:MonthAccessed>
    <b:DayAccessed>10</b:DayAccessed>
    <b:URL>http://museum.classics.cam.ac.uk/collections/casts/double-herm-thucydides-and-herodotus</b:URL>
    <b:RefOrder>16</b:RefOrder>
  </b:Source>
  <b:Source>
    <b:Tag>Eva68</b:Tag>
    <b:SourceType>JournalArticle</b:SourceType>
    <b:Guid>{C6389D1E-FBEF-4C28-A631-4452976F9C07}</b:Guid>
    <b:Author>
      <b:Author>
        <b:NameList>
          <b:Person>
            <b:Last>Evans</b:Last>
            <b:First>J.A.S.</b:First>
          </b:Person>
        </b:NameList>
      </b:Author>
    </b:Author>
    <b:Title>Father of History or Father of Lies: The Reputation of Herodotus</b:Title>
    <b:JournalName>The Classical Journal</b:JournalName>
    <b:Year>1968</b:Year>
    <b:Pages>11-17</b:Pages>
    <b:Volume>64</b:Volume>
    <b:Issue>1</b:Issue>
    <b:Month>October</b:Month>
    <b:RefOrder>3</b:RefOrder>
  </b:Source>
  <b:Source>
    <b:Tag>Sch07</b:Tag>
    <b:SourceType>BookSection</b:SourceType>
    <b:Guid>{A67F1828-5A5D-4A2D-9807-102372692B6A}</b:Guid>
    <b:Author>
      <b:Author>
        <b:NameList>
          <b:Person>
            <b:Last>Schepens</b:Last>
            <b:First>Guido</b:First>
          </b:Person>
        </b:NameList>
      </b:Author>
      <b:Editor>
        <b:NameList>
          <b:Person>
            <b:Last>Marincola</b:Last>
            <b:First>John</b:First>
          </b:Person>
        </b:NameList>
      </b:Editor>
    </b:Author>
    <b:Title>History and Historia: Inquiry in the Greek Historians</b:Title>
    <b:BookTitle>A Companion to Greek and Roman Historiography</b:BookTitle>
    <b:Year>2007</b:Year>
    <b:Pages>39-66</b:Pages>
    <b:City>Oxford</b:City>
    <b:Publisher>Blackwell Publishing</b:Publisher>
    <b:Volume>1</b:Volume>
    <b:ChapterNumber>3</b:ChapterNumber>
    <b:RefOrder>8</b:RefOrder>
  </b:Source>
  <b:Source>
    <b:Tag>Ari69</b:Tag>
    <b:SourceType>Book</b:SourceType>
    <b:Guid>{B56F8FC7-4046-4617-AE18-846D542E76D2}</b:Guid>
    <b:Title>Politics/ The Athenian Constitution</b:Title>
    <b:Year>1969</b:Year>
    <b:Publisher>Heron Books</b:Publisher>
    <b:Author>
      <b:Author>
        <b:NameList>
          <b:Person>
            <b:Last>Aristotle</b:Last>
          </b:Person>
        </b:NameList>
      </b:Author>
      <b:Translator>
        <b:NameList>
          <b:Person>
            <b:Last>Warrington</b:Last>
            <b:First>John</b:First>
          </b:Person>
        </b:NameList>
      </b:Translator>
    </b:Author>
    <b:RefOrder>10</b:RefOrder>
  </b:Source>
  <b:Source>
    <b:Tag>Car13</b:Tag>
    <b:SourceType>BookSection</b:SourceType>
    <b:Guid>{10853292-5868-487A-8833-8E76B6CF265B}</b:Guid>
    <b:Author>
      <b:Author>
        <b:NameList>
          <b:Person>
            <b:Last>Cartledge</b:Last>
            <b:First>Paul</b:First>
          </b:Person>
        </b:NameList>
      </b:Author>
      <b:Translator>
        <b:NameList>
          <b:Person>
            <b:Last>Holland</b:Last>
            <b:First>Tom</b:First>
          </b:Person>
        </b:NameList>
      </b:Translator>
    </b:Author>
    <b:Title>Introduction</b:Title>
    <b:Year>2013</b:Year>
    <b:City>London</b:City>
    <b:Publisher>Penguin</b:Publisher>
    <b:BookTitle>Herodotus: The Histories</b:BookTitle>
    <b:Pages>xv-xxxi</b:Pages>
    <b:RefOrder>12</b:RefOrder>
  </b:Source>
  <b:Source>
    <b:Tag>Bed70</b:Tag>
    <b:SourceType>Book</b:SourceType>
    <b:Guid>{721E373B-556F-4846-B788-5680797ED9E1}</b:Guid>
    <b:Author>
      <b:Author>
        <b:NameList>
          <b:Person>
            <b:Last>Bede</b:Last>
          </b:Person>
        </b:NameList>
      </b:Author>
    </b:Author>
    <b:Title>Ecclesiastical History of the English Nation</b:Title>
    <b:Year>1870</b:Year>
    <b:City>Oxford/ London</b:City>
    <b:Publisher>James Parker and Co.</b:Publisher>
    <b:RefOrder>14</b:RefOrder>
  </b:Source>
  <b:Source>
    <b:Tag>Liv71</b:Tag>
    <b:SourceType>Book</b:SourceType>
    <b:Guid>{530F0B5A-4354-4B3C-9269-2908BA1AE42D}</b:Guid>
    <b:Author>
      <b:Author>
        <b:NameList>
          <b:Person>
            <b:Last>Livy</b:Last>
          </b:Person>
        </b:NameList>
      </b:Author>
      <b:Translator>
        <b:NameList>
          <b:Person>
            <b:Last>Selincourt</b:Last>
            <b:First>Audrey</b:First>
            <b:Middle>De</b:Middle>
          </b:Person>
        </b:NameList>
      </b:Translator>
    </b:Author>
    <b:Title>The Early History of Rome</b:Title>
    <b:Year>1971</b:Year>
    <b:City>London</b:City>
    <b:Publisher>Penguin</b:Publisher>
    <b:RefOrder>17</b:RefOrder>
  </b:Source>
  <b:Source>
    <b:Tag>MIF72</b:Tag>
    <b:SourceType>BookSection</b:SourceType>
    <b:Guid>{F5C6430F-3AD8-4240-B2AD-12545EDA9DEE}</b:Guid>
    <b:Author>
      <b:Author>
        <b:NameList>
          <b:Person>
            <b:Last>Finley</b:Last>
            <b:First>M.I.</b:First>
          </b:Person>
        </b:NameList>
      </b:Author>
    </b:Author>
    <b:Title>Introduction</b:Title>
    <b:BookTitle>The History of the Peloponnesian War</b:BookTitle>
    <b:Year>1972</b:Year>
    <b:Pages>9-32</b:Pages>
    <b:City>London</b:City>
    <b:Publisher>Penguin</b:Publisher>
    <b:RefOrder>19</b:RefOrder>
  </b:Source>
  <b:Source>
    <b:Tag>Thu72</b:Tag>
    <b:SourceType>Book</b:SourceType>
    <b:Guid>{F401F6B3-10C9-4263-9CDF-433039343835}</b:Guid>
    <b:Title>History of the Peloponnesian war</b:Title>
    <b:Year>1972</b:Year>
    <b:City>London</b:City>
    <b:Publisher>Penguin</b:Publisher>
    <b:Author>
      <b:Author>
        <b:NameList>
          <b:Person>
            <b:Last>Thucydides</b:Last>
          </b:Person>
        </b:NameList>
      </b:Author>
      <b:Translator>
        <b:NameList>
          <b:Person>
            <b:Last>Warner</b:Last>
            <b:First>Rex</b:First>
          </b:Person>
        </b:NameList>
      </b:Translator>
    </b:Author>
    <b:RefOrder>20</b:RefOrder>
  </b:Source>
</b:Sources>
</file>

<file path=customXml/itemProps1.xml><?xml version="1.0" encoding="utf-8"?>
<ds:datastoreItem xmlns:ds="http://schemas.openxmlformats.org/officeDocument/2006/customXml" ds:itemID="{9CF08587-053E-4807-8366-E6F9E8070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8</Pages>
  <Words>1828</Words>
  <Characters>10422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87</cp:revision>
  <dcterms:created xsi:type="dcterms:W3CDTF">2017-11-07T15:18:00Z</dcterms:created>
  <dcterms:modified xsi:type="dcterms:W3CDTF">2017-11-14T16:06:00Z</dcterms:modified>
</cp:coreProperties>
</file>