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622" w:rsidRDefault="00B70622" w:rsidP="00B70622">
      <w:pPr>
        <w:spacing w:line="480" w:lineRule="auto"/>
        <w:jc w:val="center"/>
        <w:rPr>
          <w:u w:val="single"/>
        </w:rPr>
      </w:pPr>
      <w:r w:rsidRPr="00555345">
        <w:rPr>
          <w:u w:val="single"/>
        </w:rPr>
        <w:t xml:space="preserve">CHAPTER </w:t>
      </w:r>
      <w:r>
        <w:rPr>
          <w:u w:val="single"/>
        </w:rPr>
        <w:t>3</w:t>
      </w:r>
      <w:r w:rsidRPr="00555345">
        <w:rPr>
          <w:u w:val="single"/>
        </w:rPr>
        <w:t xml:space="preserve"> </w:t>
      </w:r>
      <w:r>
        <w:rPr>
          <w:u w:val="single"/>
        </w:rPr>
        <w:t>- ASPECTS OF</w:t>
      </w:r>
      <w:r w:rsidRPr="00555345">
        <w:rPr>
          <w:u w:val="single"/>
        </w:rPr>
        <w:t xml:space="preserve"> THE GREAT WAR AND </w:t>
      </w:r>
      <w:smartTag w:uri="urn:schemas-microsoft-com:office:smarttags" w:element="place">
        <w:r w:rsidRPr="00555345">
          <w:rPr>
            <w:u w:val="single"/>
          </w:rPr>
          <w:t>WEST WALES</w:t>
        </w:r>
      </w:smartTag>
    </w:p>
    <w:p w:rsidR="00B70622" w:rsidRDefault="00B70622" w:rsidP="00B70622">
      <w:pPr>
        <w:spacing w:line="480" w:lineRule="auto"/>
        <w:jc w:val="center"/>
        <w:rPr>
          <w:u w:val="single"/>
        </w:rPr>
      </w:pPr>
    </w:p>
    <w:p w:rsidR="00B70622" w:rsidRPr="00CB1B32" w:rsidRDefault="00B70622" w:rsidP="00B70622">
      <w:pPr>
        <w:spacing w:line="480" w:lineRule="auto"/>
        <w:jc w:val="both"/>
        <w:rPr>
          <w:u w:val="single"/>
        </w:rPr>
      </w:pPr>
      <w:r>
        <w:t xml:space="preserve">3.1   </w:t>
      </w:r>
      <w:r w:rsidRPr="00CB1B32">
        <w:rPr>
          <w:u w:val="single"/>
        </w:rPr>
        <w:t xml:space="preserve">WEST </w:t>
      </w:r>
      <w:smartTag w:uri="urn:schemas-microsoft-com:office:smarttags" w:element="country-region">
        <w:r w:rsidRPr="00CB1B32">
          <w:rPr>
            <w:u w:val="single"/>
          </w:rPr>
          <w:t>WALES</w:t>
        </w:r>
      </w:smartTag>
      <w:r w:rsidRPr="00CB1B32">
        <w:rPr>
          <w:u w:val="single"/>
        </w:rPr>
        <w:t xml:space="preserve"> ON THE EVE OF WAR  - A </w:t>
      </w:r>
      <w:smartTag w:uri="urn:schemas-microsoft-com:office:smarttags" w:element="place">
        <w:smartTag w:uri="urn:schemas-microsoft-com:office:smarttags" w:element="PlaceType">
          <w:r w:rsidRPr="00CB1B32">
            <w:rPr>
              <w:u w:val="single"/>
            </w:rPr>
            <w:t>LAND</w:t>
          </w:r>
        </w:smartTag>
        <w:r w:rsidRPr="00CB1B32">
          <w:rPr>
            <w:u w:val="single"/>
          </w:rPr>
          <w:t xml:space="preserve"> OF </w:t>
        </w:r>
        <w:smartTag w:uri="urn:schemas-microsoft-com:office:smarttags" w:element="PlaceName">
          <w:r w:rsidRPr="00CB1B32">
            <w:rPr>
              <w:u w:val="single"/>
            </w:rPr>
            <w:t>DIVERSITY</w:t>
          </w:r>
        </w:smartTag>
      </w:smartTag>
      <w:r w:rsidRPr="00CB1B32">
        <w:rPr>
          <w:u w:val="single"/>
        </w:rPr>
        <w:t xml:space="preserve"> </w:t>
      </w:r>
    </w:p>
    <w:p w:rsidR="00B70622" w:rsidRPr="00CB1B32" w:rsidRDefault="00B70622" w:rsidP="00B70622">
      <w:pPr>
        <w:spacing w:line="480" w:lineRule="auto"/>
        <w:ind w:left="540" w:firstLine="720"/>
        <w:jc w:val="both"/>
        <w:rPr>
          <w:u w:val="single"/>
        </w:rPr>
      </w:pPr>
      <w:r w:rsidRPr="00CB1B32">
        <w:rPr>
          <w:u w:val="single"/>
        </w:rPr>
        <w:t xml:space="preserve"> </w:t>
      </w:r>
    </w:p>
    <w:p w:rsidR="00B70622" w:rsidRDefault="00B70622" w:rsidP="00B70622">
      <w:pPr>
        <w:spacing w:line="480" w:lineRule="auto"/>
        <w:ind w:firstLine="720"/>
        <w:jc w:val="both"/>
      </w:pPr>
      <w:r>
        <w:t xml:space="preserve">In the early decades of the twentieth century the counties of west </w:t>
      </w:r>
      <w:smartTag w:uri="urn:schemas-microsoft-com:office:smarttags" w:element="country-region">
        <w:r>
          <w:t>Wales</w:t>
        </w:r>
      </w:smartTag>
      <w:r>
        <w:t xml:space="preserve">, Carmarthenshire, Cardiganshire and Pembrokeshire, in many ways reflected the whole of </w:t>
      </w:r>
      <w:smartTag w:uri="urn:schemas-microsoft-com:office:smarttags" w:element="country-region">
        <w:smartTag w:uri="urn:schemas-microsoft-com:office:smarttags" w:element="place">
          <w:r>
            <w:t>Wales</w:t>
          </w:r>
        </w:smartTag>
      </w:smartTag>
      <w:r>
        <w:t xml:space="preserve">, certainly from the viewpoint of economic diversity. The differences between the rural and urban or industrialised areas were pronounced. Rural areas at this time were characterised by population decline (brought on through migration of people to the industrial areas of south </w:t>
      </w:r>
      <w:smartTag w:uri="urn:schemas-microsoft-com:office:smarttags" w:element="country-region">
        <w:smartTag w:uri="urn:schemas-microsoft-com:office:smarttags" w:element="place">
          <w:r>
            <w:t>Wales</w:t>
          </w:r>
        </w:smartTag>
      </w:smartTag>
      <w:r>
        <w:t xml:space="preserve"> in the hope of higher wages and an improved standard of living) and agricultural land that was economically impoverished and marginalised. Alternatively, the expanding industrialised communities of south-east Carmarthenshire around Llanelli and the Amman and </w:t>
      </w:r>
      <w:proofErr w:type="spellStart"/>
      <w:r>
        <w:t>Gwendraeth</w:t>
      </w:r>
      <w:proofErr w:type="spellEnd"/>
      <w:r>
        <w:t xml:space="preserve"> valleys, (the destination of many of those leaving the land), were vibrant and confident, not only as centres of industry, but also as civic entities. In Pembrokeshire, further distinctions can be made between north and south of the county. Economically, and indeed culturally, the rural north had more in common with Cardiganshire than the south, where a richer, more productive land supported the larger towns of the county. In the towns of south Pembrokeshire, another dimension to the economic diversity of west </w:t>
      </w:r>
      <w:smartTag w:uri="urn:schemas-microsoft-com:office:smarttags" w:element="country-region">
        <w:smartTag w:uri="urn:schemas-microsoft-com:office:smarttags" w:element="place">
          <w:r>
            <w:t>Wales</w:t>
          </w:r>
        </w:smartTag>
      </w:smartTag>
      <w:r>
        <w:t xml:space="preserve"> was evident, one given less attention than the rural-urban dichotomy mentioned above. The strategic position of the area meant a significant military and naval presence, primarily in the dockyard at Milford Haven, with its deep water estuary, and the barracks complex at Pembroke Dock. These would play a significant role during the war years, but such industry would also prove vulnerable to the economic uncertainties of the post-war years.</w:t>
      </w:r>
    </w:p>
    <w:p w:rsidR="00B70622" w:rsidRDefault="00B70622" w:rsidP="00B70622">
      <w:pPr>
        <w:spacing w:line="480" w:lineRule="auto"/>
        <w:ind w:firstLine="720"/>
        <w:jc w:val="both"/>
      </w:pPr>
    </w:p>
    <w:p w:rsidR="00B70622" w:rsidRDefault="00B70622" w:rsidP="00B70622">
      <w:pPr>
        <w:spacing w:line="480" w:lineRule="auto"/>
        <w:ind w:firstLine="720"/>
        <w:jc w:val="both"/>
      </w:pPr>
      <w:r>
        <w:lastRenderedPageBreak/>
        <w:t>As well as this military presence, there were other anomalies present that belied a clear cut dichotomy between a rural north and west and an urban south-east. The population of Aberystwyth, on the Cardiganshire coast, doubled between 1871 and 1921,</w:t>
      </w:r>
      <w:r w:rsidRPr="006331D0">
        <w:rPr>
          <w:vertAlign w:val="superscript"/>
        </w:rPr>
        <w:t>1</w:t>
      </w:r>
      <w:r>
        <w:rPr>
          <w:vertAlign w:val="superscript"/>
        </w:rPr>
        <w:t xml:space="preserve"> </w:t>
      </w:r>
      <w:r>
        <w:t xml:space="preserve">reflecting its growing importance as a centre for both tourism and as a university town. The influx of English-speaking and affluent newcomers, either as residents or holidaymakers, affected other coastal areas in Cardiganshire, such as </w:t>
      </w:r>
      <w:proofErr w:type="spellStart"/>
      <w:r>
        <w:t>Aberaeron</w:t>
      </w:r>
      <w:proofErr w:type="spellEnd"/>
      <w:r>
        <w:t>, which gave that community a unique character unlike other towns and villages in the county. Elsewhere seaside towns like Tenby in south Pembrokeshire were thriving as places catering for affluent middle class professionals eager to retire in comfort and in pleasant surroundings.</w:t>
      </w:r>
    </w:p>
    <w:p w:rsidR="00B70622" w:rsidRDefault="00B70622" w:rsidP="00B70622">
      <w:pPr>
        <w:spacing w:line="480" w:lineRule="auto"/>
        <w:ind w:left="540" w:firstLine="720"/>
        <w:jc w:val="both"/>
      </w:pPr>
    </w:p>
    <w:p w:rsidR="00346714" w:rsidRDefault="00B70622" w:rsidP="00B70622">
      <w:pPr>
        <w:spacing w:line="480" w:lineRule="auto"/>
        <w:jc w:val="both"/>
      </w:pPr>
      <w:r>
        <w:tab/>
        <w:t xml:space="preserve">The industrialised areas of south-east Carmarthenshire at this time also witnessed the rise of an increasingly confident labour movement, particularly in the anthracite coalfields of the </w:t>
      </w:r>
      <w:smartTag w:uri="urn:schemas-microsoft-com:office:smarttags" w:element="City">
        <w:smartTag w:uri="urn:schemas-microsoft-com:office:smarttags" w:element="place">
          <w:r>
            <w:t>Amman</w:t>
          </w:r>
        </w:smartTag>
      </w:smartTag>
      <w:r>
        <w:t xml:space="preserve"> and </w:t>
      </w:r>
      <w:proofErr w:type="spellStart"/>
      <w:r>
        <w:t>Gwendraeth</w:t>
      </w:r>
      <w:proofErr w:type="spellEnd"/>
      <w:r>
        <w:t xml:space="preserve"> valleys. In the early decades of the twentieth century this began to challenge the Liberal party’s power base that had dominated Welsh politics for decades. With it came militancy and industrial conflict over miners’ pay and conditions. However, the element of radical syndicalism that penetrated organised labour in other parts of </w:t>
      </w:r>
      <w:smartTag w:uri="urn:schemas-microsoft-com:office:smarttags" w:element="country-region">
        <w:smartTag w:uri="urn:schemas-microsoft-com:office:smarttags" w:element="place">
          <w:r>
            <w:t>Wales</w:t>
          </w:r>
        </w:smartTag>
      </w:smartTag>
      <w:r>
        <w:t xml:space="preserve"> did not take root in</w:t>
      </w:r>
    </w:p>
    <w:p w:rsidR="00B70622" w:rsidRPr="009567B6" w:rsidRDefault="00B70622" w:rsidP="00B70622">
      <w:pPr>
        <w:spacing w:line="480" w:lineRule="auto"/>
        <w:jc w:val="both"/>
      </w:pPr>
      <w:r>
        <w:t xml:space="preserve"> </w:t>
      </w:r>
      <w:r>
        <w:rPr>
          <w:sz w:val="20"/>
          <w:szCs w:val="20"/>
        </w:rPr>
        <w:t>________________________</w:t>
      </w:r>
    </w:p>
    <w:p w:rsidR="00B70622" w:rsidRPr="00FE5075" w:rsidRDefault="00B70622" w:rsidP="00B70622">
      <w:pPr>
        <w:jc w:val="both"/>
        <w:rPr>
          <w:sz w:val="20"/>
          <w:szCs w:val="20"/>
        </w:rPr>
      </w:pPr>
      <w:r>
        <w:rPr>
          <w:sz w:val="20"/>
          <w:szCs w:val="20"/>
        </w:rPr>
        <w:t xml:space="preserve">1.  </w:t>
      </w:r>
      <w:r w:rsidRPr="001A6272">
        <w:rPr>
          <w:sz w:val="20"/>
          <w:szCs w:val="20"/>
        </w:rPr>
        <w:t>It stood at 11,000 in 1921. The population of Cardiganshire had d</w:t>
      </w:r>
      <w:r>
        <w:rPr>
          <w:sz w:val="20"/>
          <w:szCs w:val="20"/>
        </w:rPr>
        <w:t>eclined</w:t>
      </w:r>
      <w:r w:rsidRPr="001A6272">
        <w:rPr>
          <w:sz w:val="20"/>
          <w:szCs w:val="20"/>
        </w:rPr>
        <w:t xml:space="preserve"> from 73,000 in 1</w:t>
      </w:r>
      <w:r>
        <w:rPr>
          <w:sz w:val="20"/>
          <w:szCs w:val="20"/>
        </w:rPr>
        <w:t>8</w:t>
      </w:r>
      <w:r w:rsidRPr="001A6272">
        <w:rPr>
          <w:sz w:val="20"/>
          <w:szCs w:val="20"/>
        </w:rPr>
        <w:t>71 to 59,000 in 1911</w:t>
      </w:r>
      <w:r>
        <w:rPr>
          <w:sz w:val="20"/>
          <w:szCs w:val="20"/>
        </w:rPr>
        <w:t xml:space="preserve"> - s</w:t>
      </w:r>
      <w:r w:rsidRPr="001A6272">
        <w:rPr>
          <w:sz w:val="20"/>
          <w:szCs w:val="20"/>
        </w:rPr>
        <w:t>ee</w:t>
      </w:r>
      <w:r>
        <w:rPr>
          <w:sz w:val="20"/>
          <w:szCs w:val="20"/>
        </w:rPr>
        <w:t xml:space="preserve"> </w:t>
      </w:r>
      <w:r w:rsidRPr="001A6272">
        <w:rPr>
          <w:sz w:val="20"/>
          <w:szCs w:val="20"/>
        </w:rPr>
        <w:t>Morgan,</w:t>
      </w:r>
      <w:r>
        <w:rPr>
          <w:sz w:val="20"/>
          <w:szCs w:val="20"/>
        </w:rPr>
        <w:t xml:space="preserve"> K.O.,</w:t>
      </w:r>
      <w:r w:rsidRPr="001A6272">
        <w:rPr>
          <w:sz w:val="20"/>
          <w:szCs w:val="20"/>
        </w:rPr>
        <w:t xml:space="preserve"> ‘Cardiganshire Politics: The Liberal Ascendancy, 1885-1923’, </w:t>
      </w:r>
      <w:r w:rsidRPr="001A6272">
        <w:rPr>
          <w:i/>
          <w:sz w:val="20"/>
          <w:szCs w:val="20"/>
        </w:rPr>
        <w:t>Ceredigion</w:t>
      </w:r>
      <w:r w:rsidRPr="001A6272">
        <w:rPr>
          <w:sz w:val="20"/>
          <w:szCs w:val="20"/>
        </w:rPr>
        <w:t xml:space="preserve"> Vol V, No 4, (1967), p.314. </w:t>
      </w:r>
    </w:p>
    <w:p w:rsidR="00B70622" w:rsidRDefault="00B70622"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proofErr w:type="gramStart"/>
      <w:r>
        <w:lastRenderedPageBreak/>
        <w:t>the</w:t>
      </w:r>
      <w:proofErr w:type="gramEnd"/>
      <w:r>
        <w:t xml:space="preserve"> industrialised communities of the west. Here the influence of the Nonconformist religion, and the common imperatives that made up a Welsh way of life, remained intact, sealed by a strong and resilient political conformity to the less radical doctrines </w:t>
      </w:r>
    </w:p>
    <w:p w:rsidR="00B70622" w:rsidRDefault="00B70622" w:rsidP="00B70622">
      <w:pPr>
        <w:spacing w:line="480" w:lineRule="auto"/>
        <w:jc w:val="both"/>
      </w:pPr>
      <w:r>
        <w:t>of both the Liberal and Labour parties. On this bedrock the peoples of the expanding urban communities, working class and middle class alike, shared a common destiny that remained impervious to more radical political influences. Despite gradual decreases in membership, ‘on the eve of war…the institutional solidity of the chapels permeated Welsh life more than ever’.</w:t>
      </w:r>
      <w:r w:rsidRPr="00774D3D">
        <w:rPr>
          <w:vertAlign w:val="superscript"/>
        </w:rPr>
        <w:t xml:space="preserve">2 </w:t>
      </w:r>
      <w:r>
        <w:t xml:space="preserve"> Nonconformist religion was particularly well rooted in the Welsh-speaking communities in the west of Wales.</w:t>
      </w:r>
    </w:p>
    <w:p w:rsidR="00B70622" w:rsidRDefault="00B70622" w:rsidP="00B70622">
      <w:pPr>
        <w:spacing w:line="480" w:lineRule="auto"/>
        <w:ind w:left="540" w:firstLine="720"/>
        <w:jc w:val="both"/>
      </w:pPr>
    </w:p>
    <w:p w:rsidR="00B70622" w:rsidRDefault="00B70622" w:rsidP="00B70622">
      <w:pPr>
        <w:spacing w:line="480" w:lineRule="auto"/>
        <w:ind w:firstLine="720"/>
        <w:jc w:val="both"/>
      </w:pPr>
      <w:r>
        <w:t xml:space="preserve">This was also a period of growing national awareness, manifested through Welsh language literature - poetry, novels and short story publications - but also through the widespread publication of journals and newspapers, such as </w:t>
      </w:r>
      <w:r w:rsidRPr="009874AA">
        <w:rPr>
          <w:i/>
        </w:rPr>
        <w:t xml:space="preserve">Y </w:t>
      </w:r>
      <w:proofErr w:type="spellStart"/>
      <w:r w:rsidRPr="009874AA">
        <w:rPr>
          <w:i/>
        </w:rPr>
        <w:t>Beirniad</w:t>
      </w:r>
      <w:proofErr w:type="spellEnd"/>
      <w:r>
        <w:t xml:space="preserve"> (The Judge), or the more populist </w:t>
      </w:r>
      <w:r w:rsidRPr="009874AA">
        <w:rPr>
          <w:i/>
        </w:rPr>
        <w:t>Welsh Outlook</w:t>
      </w:r>
      <w:r>
        <w:rPr>
          <w:i/>
        </w:rPr>
        <w:t xml:space="preserve">. </w:t>
      </w:r>
      <w:r>
        <w:t xml:space="preserve">Inextricably linked to this cultural awareness and activity was the Welsh language. Although the language remained healthy throughout Cardiganshire, Carmarthenshire and north Pembrokeshire, rural to urban migration and the growth of towns like Aberystwyth was changing the distribution of Welsh speakers in the area. The period also saw a decrease in </w:t>
      </w:r>
      <w:proofErr w:type="spellStart"/>
      <w:r>
        <w:t>monoglot</w:t>
      </w:r>
      <w:proofErr w:type="spellEnd"/>
      <w:r>
        <w:t xml:space="preserve"> Welsh speakers and a corresponding increase in bilingualism. </w:t>
      </w:r>
    </w:p>
    <w:p w:rsidR="00B70622" w:rsidRDefault="00B70622" w:rsidP="00B70622">
      <w:pPr>
        <w:spacing w:line="480" w:lineRule="auto"/>
        <w:jc w:val="both"/>
        <w:rPr>
          <w:sz w:val="20"/>
          <w:szCs w:val="20"/>
        </w:rPr>
      </w:pPr>
    </w:p>
    <w:p w:rsidR="00B70622" w:rsidRPr="009567B6" w:rsidRDefault="00B70622" w:rsidP="00B70622">
      <w:pPr>
        <w:spacing w:line="480" w:lineRule="auto"/>
        <w:ind w:firstLine="720"/>
        <w:jc w:val="both"/>
      </w:pPr>
      <w:r>
        <w:t xml:space="preserve">Following a study carried out in the early 1930s, D.T. Williams concluded ‘bilingualism has spread rapidly, even in rural areas, and this occasions </w:t>
      </w:r>
      <w:r>
        <w:rPr>
          <w:sz w:val="20"/>
          <w:szCs w:val="20"/>
        </w:rPr>
        <w:t>_________________________</w:t>
      </w:r>
    </w:p>
    <w:p w:rsidR="00B70622" w:rsidRPr="00FE5075" w:rsidRDefault="00B70622" w:rsidP="00B70622">
      <w:pPr>
        <w:jc w:val="both"/>
        <w:rPr>
          <w:sz w:val="20"/>
          <w:szCs w:val="20"/>
        </w:rPr>
      </w:pPr>
      <w:r>
        <w:rPr>
          <w:sz w:val="20"/>
          <w:szCs w:val="20"/>
        </w:rPr>
        <w:t xml:space="preserve">2.  Morgan, K.O., </w:t>
      </w:r>
      <w:r w:rsidRPr="00812195">
        <w:rPr>
          <w:i/>
          <w:sz w:val="20"/>
          <w:szCs w:val="20"/>
        </w:rPr>
        <w:t>Rebirth of a Nation: A History of Modern Wales</w:t>
      </w:r>
      <w:r>
        <w:rPr>
          <w:sz w:val="20"/>
          <w:szCs w:val="20"/>
        </w:rPr>
        <w:t xml:space="preserve"> (Oxford: Oxford University Press, 1982), p.135. </w:t>
      </w:r>
    </w:p>
    <w:p w:rsidR="00B70622" w:rsidRDefault="00B70622" w:rsidP="00B70622">
      <w:pPr>
        <w:spacing w:line="480" w:lineRule="auto"/>
        <w:jc w:val="both"/>
      </w:pPr>
    </w:p>
    <w:p w:rsidR="00B70622" w:rsidRPr="00D306D8" w:rsidRDefault="00B70622" w:rsidP="00B70622">
      <w:pPr>
        <w:spacing w:line="480" w:lineRule="auto"/>
        <w:jc w:val="both"/>
      </w:pPr>
      <w:r>
        <w:lastRenderedPageBreak/>
        <w:t>no surprise when one considers the emigration from the country and the growth of the tourist industry and its many coastal resorts’.</w:t>
      </w:r>
      <w:r w:rsidRPr="00A20F15">
        <w:rPr>
          <w:vertAlign w:val="superscript"/>
        </w:rPr>
        <w:t xml:space="preserve">3 </w:t>
      </w:r>
      <w:r>
        <w:t xml:space="preserve">In Cardiganshire, </w:t>
      </w:r>
      <w:proofErr w:type="spellStart"/>
      <w:r>
        <w:t>monoglot</w:t>
      </w:r>
      <w:proofErr w:type="spellEnd"/>
      <w:r>
        <w:t xml:space="preserve"> Welsh speakers had dropped from 29,100 in 1901 to 13,200 in 1921. Carmarthenshire saw a decrease from 44,900 to 27,100 over the same period. While in Pembrokeshire the numbers also show a decrease from 9,800 to just 5,000. Over the same period the total number of Welsh speakers in Cardiganshire and Pembrokeshire also decreased from 53,600 to 47,600 and 28,300 to 26,200 respectively. In Carmarthenshire, between 1901 and 1921, the total number of Welsh speakers increased from 113,900 to 135,500, reflecting rural to urban shifts.</w:t>
      </w:r>
      <w:r w:rsidRPr="00C41DCE">
        <w:rPr>
          <w:vertAlign w:val="superscript"/>
        </w:rPr>
        <w:t xml:space="preserve">4 </w:t>
      </w:r>
      <w:r>
        <w:t xml:space="preserve"> </w:t>
      </w:r>
    </w:p>
    <w:p w:rsidR="00B70622" w:rsidRPr="0028144A" w:rsidRDefault="00B70622" w:rsidP="00B70622">
      <w:pPr>
        <w:ind w:left="540" w:firstLine="720"/>
        <w:jc w:val="both"/>
      </w:pPr>
    </w:p>
    <w:p w:rsidR="00B70622" w:rsidRDefault="00B70622" w:rsidP="00B70622">
      <w:pPr>
        <w:ind w:left="540" w:firstLine="720"/>
        <w:jc w:val="both"/>
        <w:rPr>
          <w:sz w:val="20"/>
          <w:szCs w:val="20"/>
        </w:rPr>
      </w:pPr>
    </w:p>
    <w:p w:rsidR="005D1D8C" w:rsidRDefault="00B70622" w:rsidP="00B70622">
      <w:pPr>
        <w:spacing w:line="480" w:lineRule="auto"/>
        <w:ind w:firstLine="720"/>
        <w:jc w:val="both"/>
      </w:pPr>
      <w:r>
        <w:t>In Cardiganshire, despite rural migration and the changes taking place in the coastal towns mentioned above, ‘topography and lack of transport penetration had created a relatively isolated Welsh core, punctuated only by the growth of anglicised sectors in the urban area which are almost without exception coastal settlements’.</w:t>
      </w:r>
      <w:r w:rsidRPr="000606DA">
        <w:rPr>
          <w:vertAlign w:val="superscript"/>
        </w:rPr>
        <w:t>5</w:t>
      </w:r>
      <w:r>
        <w:rPr>
          <w:vertAlign w:val="superscript"/>
        </w:rPr>
        <w:t xml:space="preserve"> </w:t>
      </w:r>
      <w:r>
        <w:t>The figures also highlight the relatively small number of Welsh speakers in Pembrokeshire, and, consequently, remain unwitting testimony to the other great divide in west Wales, that between north and south Pembrokeshire. Centuries of</w:t>
      </w:r>
    </w:p>
    <w:p w:rsidR="00B70622" w:rsidRPr="009567B6" w:rsidRDefault="00B70622" w:rsidP="00B70622">
      <w:pPr>
        <w:spacing w:line="480" w:lineRule="auto"/>
        <w:ind w:firstLine="720"/>
        <w:jc w:val="both"/>
      </w:pPr>
      <w:bookmarkStart w:id="0" w:name="_GoBack"/>
      <w:bookmarkEnd w:id="0"/>
      <w:r>
        <w:t xml:space="preserve"> </w:t>
      </w:r>
      <w:r>
        <w:rPr>
          <w:sz w:val="20"/>
          <w:szCs w:val="20"/>
        </w:rPr>
        <w:t>_________________________</w:t>
      </w:r>
    </w:p>
    <w:p w:rsidR="00B70622" w:rsidRDefault="00B70622" w:rsidP="00B70622">
      <w:pPr>
        <w:jc w:val="both"/>
        <w:rPr>
          <w:sz w:val="20"/>
          <w:szCs w:val="20"/>
        </w:rPr>
      </w:pPr>
      <w:r>
        <w:rPr>
          <w:sz w:val="20"/>
          <w:szCs w:val="20"/>
        </w:rPr>
        <w:t xml:space="preserve">3.  Williams, D.T., ‘Linguistic Divides in South Wales’, </w:t>
      </w:r>
      <w:proofErr w:type="spellStart"/>
      <w:r w:rsidRPr="00A20F15">
        <w:rPr>
          <w:i/>
          <w:sz w:val="20"/>
          <w:szCs w:val="20"/>
        </w:rPr>
        <w:t>Archaeologia</w:t>
      </w:r>
      <w:proofErr w:type="spellEnd"/>
      <w:r w:rsidRPr="00A20F15">
        <w:rPr>
          <w:i/>
          <w:sz w:val="20"/>
          <w:szCs w:val="20"/>
        </w:rPr>
        <w:t xml:space="preserve"> </w:t>
      </w:r>
      <w:proofErr w:type="spellStart"/>
      <w:r w:rsidRPr="00A20F15">
        <w:rPr>
          <w:i/>
          <w:sz w:val="20"/>
          <w:szCs w:val="20"/>
        </w:rPr>
        <w:t>Cambrenis</w:t>
      </w:r>
      <w:proofErr w:type="spellEnd"/>
      <w:r>
        <w:rPr>
          <w:sz w:val="20"/>
          <w:szCs w:val="20"/>
        </w:rPr>
        <w:t xml:space="preserve">, Vol 90 (1935), pp.239-66, quoted in Williams, Colin, H., ‘Language Contact and Language Change in Wales, 1901-1971: A Study in Historical </w:t>
      </w:r>
      <w:proofErr w:type="spellStart"/>
      <w:r>
        <w:rPr>
          <w:sz w:val="20"/>
          <w:szCs w:val="20"/>
        </w:rPr>
        <w:t>Geolinguistics</w:t>
      </w:r>
      <w:proofErr w:type="spellEnd"/>
      <w:r>
        <w:rPr>
          <w:sz w:val="20"/>
          <w:szCs w:val="20"/>
        </w:rPr>
        <w:t xml:space="preserve">’, </w:t>
      </w:r>
      <w:r w:rsidRPr="00A20F15">
        <w:rPr>
          <w:i/>
          <w:sz w:val="20"/>
          <w:szCs w:val="20"/>
        </w:rPr>
        <w:t>Welsh History Review</w:t>
      </w:r>
      <w:r>
        <w:rPr>
          <w:sz w:val="20"/>
          <w:szCs w:val="20"/>
        </w:rPr>
        <w:t xml:space="preserve"> Vol. 10, (1980-81), p.219. See also Pryce, W.T.R., ‘Welsh and English in </w:t>
      </w:r>
      <w:smartTag w:uri="urn:schemas-microsoft-com:office:smarttags" w:element="country-region">
        <w:smartTag w:uri="urn:schemas-microsoft-com:office:smarttags" w:element="place">
          <w:r>
            <w:rPr>
              <w:sz w:val="20"/>
              <w:szCs w:val="20"/>
            </w:rPr>
            <w:t>Wales</w:t>
          </w:r>
        </w:smartTag>
      </w:smartTag>
      <w:r>
        <w:rPr>
          <w:sz w:val="20"/>
          <w:szCs w:val="20"/>
        </w:rPr>
        <w:t xml:space="preserve"> 1750-1971. A spatial analysis based on the linguistic affiliation of parochial communities’, </w:t>
      </w:r>
      <w:r w:rsidRPr="00002B9E">
        <w:rPr>
          <w:i/>
          <w:sz w:val="20"/>
          <w:szCs w:val="20"/>
        </w:rPr>
        <w:t>Bulletin Board Celtic Studies</w:t>
      </w:r>
      <w:r>
        <w:rPr>
          <w:sz w:val="20"/>
          <w:szCs w:val="20"/>
        </w:rPr>
        <w:t xml:space="preserve">, XXIX, No. 1, (November 1978), pp.1-36. For general studies on language and identity in </w:t>
      </w:r>
      <w:smartTag w:uri="urn:schemas-microsoft-com:office:smarttags" w:element="country-region">
        <w:r>
          <w:rPr>
            <w:sz w:val="20"/>
            <w:szCs w:val="20"/>
          </w:rPr>
          <w:t>Wales</w:t>
        </w:r>
      </w:smartTag>
      <w:r>
        <w:rPr>
          <w:sz w:val="20"/>
          <w:szCs w:val="20"/>
        </w:rPr>
        <w:t>, see Evans, Neil, ‘</w:t>
      </w:r>
      <w:proofErr w:type="spellStart"/>
      <w:r>
        <w:rPr>
          <w:sz w:val="20"/>
          <w:szCs w:val="20"/>
        </w:rPr>
        <w:t>Gogs</w:t>
      </w:r>
      <w:proofErr w:type="spellEnd"/>
      <w:r>
        <w:rPr>
          <w:sz w:val="20"/>
          <w:szCs w:val="20"/>
        </w:rPr>
        <w:t xml:space="preserve">, </w:t>
      </w:r>
      <w:proofErr w:type="spellStart"/>
      <w:r>
        <w:rPr>
          <w:sz w:val="20"/>
          <w:szCs w:val="20"/>
        </w:rPr>
        <w:t>Cardis</w:t>
      </w:r>
      <w:proofErr w:type="spellEnd"/>
      <w:r>
        <w:rPr>
          <w:sz w:val="20"/>
          <w:szCs w:val="20"/>
        </w:rPr>
        <w:t xml:space="preserve"> and </w:t>
      </w:r>
      <w:proofErr w:type="spellStart"/>
      <w:r>
        <w:rPr>
          <w:sz w:val="20"/>
          <w:szCs w:val="20"/>
        </w:rPr>
        <w:t>Hwntws</w:t>
      </w:r>
      <w:proofErr w:type="spellEnd"/>
      <w:r>
        <w:rPr>
          <w:sz w:val="20"/>
          <w:szCs w:val="20"/>
        </w:rPr>
        <w:t xml:space="preserve">: Region, Nation and State in </w:t>
      </w:r>
      <w:smartTag w:uri="urn:schemas-microsoft-com:office:smarttags" w:element="country-region">
        <w:r>
          <w:rPr>
            <w:sz w:val="20"/>
            <w:szCs w:val="20"/>
          </w:rPr>
          <w:t>Wales</w:t>
        </w:r>
      </w:smartTag>
      <w:r>
        <w:rPr>
          <w:sz w:val="20"/>
          <w:szCs w:val="20"/>
        </w:rPr>
        <w:t xml:space="preserve">’, in </w:t>
      </w:r>
      <w:proofErr w:type="spellStart"/>
      <w:r>
        <w:rPr>
          <w:sz w:val="20"/>
          <w:szCs w:val="20"/>
        </w:rPr>
        <w:t>N.Evans</w:t>
      </w:r>
      <w:proofErr w:type="spellEnd"/>
      <w:r>
        <w:rPr>
          <w:sz w:val="20"/>
          <w:szCs w:val="20"/>
        </w:rPr>
        <w:t xml:space="preserve"> (ed.), </w:t>
      </w:r>
      <w:r w:rsidRPr="004A43FC">
        <w:rPr>
          <w:i/>
          <w:sz w:val="20"/>
          <w:szCs w:val="20"/>
        </w:rPr>
        <w:t xml:space="preserve">National Identity </w:t>
      </w:r>
      <w:r>
        <w:rPr>
          <w:i/>
          <w:sz w:val="20"/>
          <w:szCs w:val="20"/>
        </w:rPr>
        <w:t>i</w:t>
      </w:r>
      <w:r w:rsidRPr="004A43FC">
        <w:rPr>
          <w:i/>
          <w:sz w:val="20"/>
          <w:szCs w:val="20"/>
        </w:rPr>
        <w:t>n the British Isles</w:t>
      </w:r>
      <w:r>
        <w:rPr>
          <w:sz w:val="20"/>
          <w:szCs w:val="20"/>
        </w:rPr>
        <w:t xml:space="preserve"> (Aberystwyth: </w:t>
      </w:r>
      <w:proofErr w:type="spellStart"/>
      <w:r>
        <w:rPr>
          <w:sz w:val="20"/>
          <w:szCs w:val="20"/>
        </w:rPr>
        <w:t>Coleg</w:t>
      </w:r>
      <w:proofErr w:type="spellEnd"/>
      <w:r>
        <w:rPr>
          <w:sz w:val="20"/>
          <w:szCs w:val="20"/>
        </w:rPr>
        <w:t xml:space="preserve"> </w:t>
      </w:r>
      <w:proofErr w:type="spellStart"/>
      <w:r>
        <w:rPr>
          <w:sz w:val="20"/>
          <w:szCs w:val="20"/>
        </w:rPr>
        <w:t>Harlech</w:t>
      </w:r>
      <w:proofErr w:type="spellEnd"/>
      <w:r>
        <w:rPr>
          <w:sz w:val="20"/>
          <w:szCs w:val="20"/>
        </w:rPr>
        <w:t xml:space="preserve">, 1989), pp.60-72, or Williams, </w:t>
      </w:r>
      <w:proofErr w:type="spellStart"/>
      <w:r>
        <w:rPr>
          <w:sz w:val="20"/>
          <w:szCs w:val="20"/>
        </w:rPr>
        <w:t>Glanmor</w:t>
      </w:r>
      <w:proofErr w:type="spellEnd"/>
      <w:r>
        <w:rPr>
          <w:sz w:val="20"/>
          <w:szCs w:val="20"/>
        </w:rPr>
        <w:t xml:space="preserve">, </w:t>
      </w:r>
      <w:r w:rsidRPr="004A43FC">
        <w:rPr>
          <w:i/>
          <w:sz w:val="20"/>
          <w:szCs w:val="20"/>
        </w:rPr>
        <w:t xml:space="preserve">Religion, Language and Nationality in </w:t>
      </w:r>
      <w:smartTag w:uri="urn:schemas-microsoft-com:office:smarttags" w:element="country-region">
        <w:smartTag w:uri="urn:schemas-microsoft-com:office:smarttags" w:element="place">
          <w:r w:rsidRPr="004A43FC">
            <w:rPr>
              <w:i/>
              <w:sz w:val="20"/>
              <w:szCs w:val="20"/>
            </w:rPr>
            <w:t>Wales</w:t>
          </w:r>
        </w:smartTag>
      </w:smartTag>
      <w:r>
        <w:rPr>
          <w:i/>
          <w:sz w:val="20"/>
          <w:szCs w:val="20"/>
        </w:rPr>
        <w:t xml:space="preserve"> </w:t>
      </w:r>
      <w:r>
        <w:rPr>
          <w:sz w:val="20"/>
          <w:szCs w:val="20"/>
        </w:rPr>
        <w:t xml:space="preserve">(Cardiff: University of Wales Press, 1979). Also, </w:t>
      </w:r>
      <w:proofErr w:type="spellStart"/>
      <w:r>
        <w:rPr>
          <w:sz w:val="20"/>
          <w:szCs w:val="20"/>
        </w:rPr>
        <w:t>Gruffydd</w:t>
      </w:r>
      <w:proofErr w:type="spellEnd"/>
      <w:r>
        <w:rPr>
          <w:sz w:val="20"/>
          <w:szCs w:val="20"/>
        </w:rPr>
        <w:t xml:space="preserve">, P., ‘Landscape and Nationhood: Tradition and Modernity in Rural </w:t>
      </w:r>
      <w:smartTag w:uri="urn:schemas-microsoft-com:office:smarttags" w:element="place">
        <w:smartTag w:uri="urn:schemas-microsoft-com:office:smarttags" w:element="country-region">
          <w:r>
            <w:rPr>
              <w:sz w:val="20"/>
              <w:szCs w:val="20"/>
            </w:rPr>
            <w:t>Wales</w:t>
          </w:r>
        </w:smartTag>
      </w:smartTag>
      <w:r>
        <w:rPr>
          <w:sz w:val="20"/>
          <w:szCs w:val="20"/>
        </w:rPr>
        <w:t xml:space="preserve">, 1900-1950, (PhD, University of Loughborough, 1989).  </w:t>
      </w:r>
    </w:p>
    <w:p w:rsidR="00B70622" w:rsidRDefault="00B70622" w:rsidP="00B70622">
      <w:pPr>
        <w:jc w:val="both"/>
      </w:pPr>
      <w:r>
        <w:rPr>
          <w:sz w:val="20"/>
          <w:szCs w:val="20"/>
        </w:rPr>
        <w:t>4.  All figures are taken from Williams, Colin, H., p.231.</w:t>
      </w:r>
    </w:p>
    <w:p w:rsidR="00B70622" w:rsidRDefault="00B70622" w:rsidP="00B70622">
      <w:pPr>
        <w:jc w:val="both"/>
        <w:rPr>
          <w:sz w:val="20"/>
          <w:szCs w:val="20"/>
        </w:rPr>
      </w:pPr>
      <w:r>
        <w:rPr>
          <w:sz w:val="20"/>
          <w:szCs w:val="20"/>
        </w:rPr>
        <w:t>5.  W</w:t>
      </w:r>
      <w:r w:rsidRPr="000606DA">
        <w:rPr>
          <w:sz w:val="20"/>
          <w:szCs w:val="20"/>
        </w:rPr>
        <w:t>illiams, Colin, H.</w:t>
      </w:r>
      <w:r>
        <w:rPr>
          <w:sz w:val="20"/>
          <w:szCs w:val="20"/>
        </w:rPr>
        <w:t>, p</w:t>
      </w:r>
      <w:r w:rsidRPr="000606DA">
        <w:rPr>
          <w:sz w:val="20"/>
          <w:szCs w:val="20"/>
        </w:rPr>
        <w:t>.219.</w:t>
      </w:r>
    </w:p>
    <w:p w:rsidR="00B70622" w:rsidRDefault="00B70622"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proofErr w:type="gramStart"/>
      <w:r>
        <w:lastRenderedPageBreak/>
        <w:t>political</w:t>
      </w:r>
      <w:proofErr w:type="gramEnd"/>
      <w:r>
        <w:t>,</w:t>
      </w:r>
      <w:r w:rsidRPr="0051316A">
        <w:t xml:space="preserve"> </w:t>
      </w:r>
      <w:r>
        <w:t>economic, and cultural division had brought about</w:t>
      </w:r>
      <w:r w:rsidRPr="0051316A">
        <w:t xml:space="preserve"> </w:t>
      </w:r>
      <w:r>
        <w:t xml:space="preserve">an anglicised south that incorporated the most populated areas of the county around </w:t>
      </w:r>
      <w:proofErr w:type="spellStart"/>
      <w:r>
        <w:t>Haverfordwest</w:t>
      </w:r>
      <w:proofErr w:type="spellEnd"/>
      <w:r>
        <w:t xml:space="preserve">, Milford Haven, the two </w:t>
      </w:r>
      <w:proofErr w:type="spellStart"/>
      <w:r>
        <w:t>Pembrokes</w:t>
      </w:r>
      <w:proofErr w:type="spellEnd"/>
      <w:r>
        <w:t xml:space="preserve"> and Tenby. The distinction between north and south is best illustrated through the use of the Welsh language, and the evidence gleaned from the map contained in Appendix 2 which shows the areal break up, parish-by-parish, of the percentage of Welsh speakers in the Pembrokeshire of 1931.</w:t>
      </w:r>
      <w:r w:rsidRPr="00BE593A">
        <w:rPr>
          <w:vertAlign w:val="superscript"/>
        </w:rPr>
        <w:t>6</w:t>
      </w:r>
      <w:r>
        <w:t xml:space="preserve"> It clearly indicates the strength of the language in the parishes of the north, as opposed to the situation further south. Later census reports</w:t>
      </w:r>
      <w:r w:rsidRPr="009E7897">
        <w:rPr>
          <w:vertAlign w:val="superscript"/>
        </w:rPr>
        <w:t>7</w:t>
      </w:r>
      <w:r>
        <w:rPr>
          <w:vertAlign w:val="superscript"/>
        </w:rPr>
        <w:t xml:space="preserve"> </w:t>
      </w:r>
      <w:r>
        <w:t xml:space="preserve">highlight a decrease in Welsh speakers in some parishes around </w:t>
      </w:r>
      <w:proofErr w:type="spellStart"/>
      <w:r>
        <w:t>Fishguard</w:t>
      </w:r>
      <w:proofErr w:type="spellEnd"/>
      <w:r>
        <w:t xml:space="preserve"> and towards St David’s, but Welsh continued to remain healthy in the north-east of the county, as it does today. What impact this linguistic divide, as well as the influence of the Nonconformist chapel, would have on the commemoration process and the way the communities looked back and remembered their dead remains to be seen. What cannot be discounted is the need to identify language and religion as possible variables in the study of commemoration practices in west </w:t>
      </w:r>
      <w:smartTag w:uri="urn:schemas-microsoft-com:office:smarttags" w:element="country-region">
        <w:smartTag w:uri="urn:schemas-microsoft-com:office:smarttags" w:element="place">
          <w:r>
            <w:t>Wales</w:t>
          </w:r>
        </w:smartTag>
      </w:smartTag>
      <w:r>
        <w:t>, and in particular differences that may be evident between south Pembrokeshire and elsewhere in the region.</w:t>
      </w:r>
    </w:p>
    <w:p w:rsidR="00B70622" w:rsidRDefault="00B70622" w:rsidP="00B70622">
      <w:pPr>
        <w:spacing w:line="480" w:lineRule="auto"/>
        <w:ind w:left="540" w:firstLine="720"/>
        <w:jc w:val="both"/>
      </w:pPr>
    </w:p>
    <w:p w:rsidR="00B70622" w:rsidRDefault="00B70622" w:rsidP="00B70622">
      <w:pPr>
        <w:spacing w:line="480" w:lineRule="auto"/>
        <w:jc w:val="both"/>
        <w:rPr>
          <w:u w:val="single"/>
        </w:rPr>
      </w:pPr>
      <w:r>
        <w:t xml:space="preserve">3.2   </w:t>
      </w:r>
      <w:r w:rsidRPr="00D6786D">
        <w:rPr>
          <w:u w:val="single"/>
        </w:rPr>
        <w:t>THE WAR</w:t>
      </w:r>
      <w:r>
        <w:rPr>
          <w:u w:val="single"/>
        </w:rPr>
        <w:t xml:space="preserve"> </w:t>
      </w:r>
      <w:r w:rsidRPr="00D6786D">
        <w:rPr>
          <w:u w:val="single"/>
        </w:rPr>
        <w:t xml:space="preserve">AND </w:t>
      </w:r>
      <w:smartTag w:uri="urn:schemas-microsoft-com:office:smarttags" w:element="place">
        <w:r w:rsidRPr="00D6786D">
          <w:rPr>
            <w:u w:val="single"/>
          </w:rPr>
          <w:t>WEST WALES</w:t>
        </w:r>
      </w:smartTag>
    </w:p>
    <w:p w:rsidR="00B70622" w:rsidRDefault="00B70622" w:rsidP="00B70622">
      <w:pPr>
        <w:spacing w:line="480" w:lineRule="auto"/>
        <w:ind w:left="540" w:firstLine="720"/>
        <w:jc w:val="both"/>
        <w:rPr>
          <w:u w:val="single"/>
        </w:rPr>
      </w:pPr>
    </w:p>
    <w:p w:rsidR="00B70622" w:rsidRPr="00A26666" w:rsidRDefault="00B70622" w:rsidP="00B70622">
      <w:pPr>
        <w:spacing w:line="480" w:lineRule="auto"/>
        <w:ind w:firstLine="720"/>
        <w:jc w:val="both"/>
        <w:rPr>
          <w:sz w:val="20"/>
          <w:szCs w:val="20"/>
        </w:rPr>
      </w:pPr>
      <w:r>
        <w:t>For the most part the call to arms in August 1914 brought an enthusiastic</w:t>
      </w:r>
      <w:r>
        <w:rPr>
          <w:sz w:val="20"/>
          <w:szCs w:val="20"/>
        </w:rPr>
        <w:t xml:space="preserve"> </w:t>
      </w:r>
      <w:r>
        <w:t xml:space="preserve">response from the people of west </w:t>
      </w:r>
      <w:smartTag w:uri="urn:schemas-microsoft-com:office:smarttags" w:element="country-region">
        <w:r>
          <w:t>Wales</w:t>
        </w:r>
      </w:smartTag>
      <w:r>
        <w:t xml:space="preserve"> as it did throughout the rest of </w:t>
      </w:r>
      <w:smartTag w:uri="urn:schemas-microsoft-com:office:smarttags" w:element="country-region">
        <w:smartTag w:uri="urn:schemas-microsoft-com:office:smarttags" w:element="place">
          <w:r>
            <w:t>Wales</w:t>
          </w:r>
        </w:smartTag>
      </w:smartTag>
      <w:r>
        <w:t xml:space="preserve"> and </w:t>
      </w:r>
      <w:r>
        <w:rPr>
          <w:sz w:val="20"/>
          <w:szCs w:val="20"/>
        </w:rPr>
        <w:t>_________________________</w:t>
      </w:r>
    </w:p>
    <w:p w:rsidR="00B70622" w:rsidRDefault="00B70622" w:rsidP="00B70622">
      <w:pPr>
        <w:jc w:val="both"/>
        <w:rPr>
          <w:sz w:val="20"/>
          <w:szCs w:val="20"/>
        </w:rPr>
      </w:pPr>
      <w:r>
        <w:rPr>
          <w:sz w:val="20"/>
          <w:szCs w:val="20"/>
        </w:rPr>
        <w:t xml:space="preserve">6. This map is reproduced from John, Brian, S. ‘The Linguistic Significance of the Pembrokeshire </w:t>
      </w:r>
      <w:proofErr w:type="spellStart"/>
      <w:r>
        <w:rPr>
          <w:sz w:val="20"/>
          <w:szCs w:val="20"/>
        </w:rPr>
        <w:t>Landsker</w:t>
      </w:r>
      <w:proofErr w:type="spellEnd"/>
      <w:r>
        <w:rPr>
          <w:sz w:val="20"/>
          <w:szCs w:val="20"/>
        </w:rPr>
        <w:t xml:space="preserve">’, </w:t>
      </w:r>
      <w:r w:rsidRPr="009E7897">
        <w:rPr>
          <w:i/>
          <w:sz w:val="20"/>
          <w:szCs w:val="20"/>
        </w:rPr>
        <w:t>Pembrokeshire Historian</w:t>
      </w:r>
      <w:r>
        <w:rPr>
          <w:sz w:val="20"/>
          <w:szCs w:val="20"/>
        </w:rPr>
        <w:t xml:space="preserve">, No. 4, (1972), p.12, and uses data supplied by the 1935 study by D.T. Williams, (see note 3 above). </w:t>
      </w:r>
    </w:p>
    <w:p w:rsidR="00B70622" w:rsidRDefault="00B70622" w:rsidP="00B70622">
      <w:pPr>
        <w:spacing w:line="480" w:lineRule="auto"/>
        <w:jc w:val="both"/>
        <w:rPr>
          <w:sz w:val="20"/>
          <w:szCs w:val="20"/>
        </w:rPr>
      </w:pPr>
      <w:r>
        <w:rPr>
          <w:sz w:val="20"/>
          <w:szCs w:val="20"/>
        </w:rPr>
        <w:t>7.  See John, Brian, S. p.13.</w:t>
      </w:r>
    </w:p>
    <w:p w:rsidR="00346714" w:rsidRDefault="00346714" w:rsidP="00B70622">
      <w:pPr>
        <w:spacing w:line="480" w:lineRule="auto"/>
        <w:jc w:val="both"/>
      </w:pPr>
    </w:p>
    <w:p w:rsidR="00B70622" w:rsidRDefault="00B70622" w:rsidP="00B70622">
      <w:pPr>
        <w:spacing w:line="480" w:lineRule="auto"/>
        <w:jc w:val="both"/>
      </w:pPr>
      <w:proofErr w:type="gramStart"/>
      <w:r>
        <w:lastRenderedPageBreak/>
        <w:t>Britain as a whole.</w:t>
      </w:r>
      <w:proofErr w:type="gramEnd"/>
      <w:r>
        <w:t xml:space="preserve"> Even a majority of Nonconformist ministers, who enjoyed significant influence at a communal level, ‘whipped up their congregations and urged them to enlist in what seemed a holy crusade on behalf of liberal values’.</w:t>
      </w:r>
      <w:r w:rsidRPr="00270E85">
        <w:rPr>
          <w:vertAlign w:val="superscript"/>
        </w:rPr>
        <w:t>8</w:t>
      </w:r>
      <w:r>
        <w:rPr>
          <w:vertAlign w:val="superscript"/>
        </w:rPr>
        <w:t xml:space="preserve"> </w:t>
      </w:r>
      <w:r>
        <w:t xml:space="preserve">Known for their anti-militarist rhetoric, such sentiments were now directed at the Kaiser’s Germany, and in defence of ‘Little Belgium’, as opposed to developments in Britain, and were a potent force throughout the communities of west Wales, certainly in August 1914. Even the political divisions and industrial strife in the anthracite coalfields were set aside for the common cause of defeating </w:t>
      </w:r>
      <w:smartTag w:uri="urn:schemas-microsoft-com:office:smarttags" w:element="country-region">
        <w:smartTag w:uri="urn:schemas-microsoft-com:office:smarttags" w:element="place">
          <w:r>
            <w:t>Germany</w:t>
          </w:r>
        </w:smartTag>
      </w:smartTag>
      <w:r>
        <w:t xml:space="preserve">. </w:t>
      </w:r>
    </w:p>
    <w:p w:rsidR="00B70622" w:rsidRDefault="00B70622" w:rsidP="00B70622">
      <w:pPr>
        <w:spacing w:line="480" w:lineRule="auto"/>
        <w:ind w:left="540" w:firstLine="720"/>
        <w:jc w:val="both"/>
      </w:pPr>
    </w:p>
    <w:p w:rsidR="00346714" w:rsidRDefault="00B70622" w:rsidP="00B70622">
      <w:pPr>
        <w:spacing w:line="480" w:lineRule="auto"/>
        <w:ind w:firstLine="720"/>
        <w:jc w:val="both"/>
      </w:pPr>
      <w:r>
        <w:t xml:space="preserve">Hatred for the enemy was clearly evident in the case of German-born </w:t>
      </w:r>
      <w:proofErr w:type="spellStart"/>
      <w:r>
        <w:t>Hermanne</w:t>
      </w:r>
      <w:proofErr w:type="spellEnd"/>
      <w:r>
        <w:t xml:space="preserve"> </w:t>
      </w:r>
      <w:proofErr w:type="spellStart"/>
      <w:r>
        <w:t>Ethe</w:t>
      </w:r>
      <w:proofErr w:type="spellEnd"/>
      <w:r>
        <w:t xml:space="preserve">, Professor of German and Oriental languages at </w:t>
      </w:r>
      <w:smartTag w:uri="urn:schemas-microsoft-com:office:smarttags" w:element="place">
        <w:smartTag w:uri="urn:schemas-microsoft-com:office:smarttags" w:element="PlaceName">
          <w:r>
            <w:t>Aberystwyth</w:t>
          </w:r>
        </w:smartTag>
        <w:r>
          <w:t xml:space="preserve"> </w:t>
        </w:r>
        <w:smartTag w:uri="urn:schemas-microsoft-com:office:smarttags" w:element="PlaceType">
          <w:r>
            <w:t>University</w:t>
          </w:r>
        </w:smartTag>
      </w:smartTag>
      <w:r>
        <w:t xml:space="preserve"> since 1875. His continuing presence in the town caused major demonstrations and even death threats, forcing him to leave and never to return.</w:t>
      </w:r>
      <w:r w:rsidRPr="007438C6">
        <w:rPr>
          <w:vertAlign w:val="superscript"/>
        </w:rPr>
        <w:t>9</w:t>
      </w:r>
      <w:r>
        <w:rPr>
          <w:vertAlign w:val="superscript"/>
        </w:rPr>
        <w:t xml:space="preserve"> </w:t>
      </w:r>
      <w:r>
        <w:t>Popular publications at the time seemed fully behind the war effort, and were only too eager to make public their conviction ‘to fight this war and…fight to the end with all the strength we have got’.</w:t>
      </w:r>
      <w:r w:rsidRPr="00641ADD">
        <w:rPr>
          <w:vertAlign w:val="superscript"/>
        </w:rPr>
        <w:t xml:space="preserve">10 </w:t>
      </w:r>
      <w:r>
        <w:t xml:space="preserve">Despite this rhetoric, the rate of enlistment at the time conveys conflicting messages. Just two weeks after war was declared the young men of Pembrokeshire were able to join up at a recruitment drive in </w:t>
      </w:r>
      <w:proofErr w:type="spellStart"/>
      <w:r>
        <w:t>Haverfordwest</w:t>
      </w:r>
      <w:proofErr w:type="spellEnd"/>
      <w:r>
        <w:t xml:space="preserve">. As well as the Welsh regiments other units chasing recruits included the </w:t>
      </w:r>
      <w:proofErr w:type="spellStart"/>
      <w:r>
        <w:t>Devons</w:t>
      </w:r>
      <w:proofErr w:type="spellEnd"/>
      <w:r>
        <w:t xml:space="preserve">, the </w:t>
      </w:r>
      <w:proofErr w:type="spellStart"/>
      <w:r>
        <w:t>Gloucesters</w:t>
      </w:r>
      <w:proofErr w:type="spellEnd"/>
      <w:r>
        <w:t xml:space="preserve"> and the </w:t>
      </w:r>
      <w:proofErr w:type="spellStart"/>
      <w:smartTag w:uri="urn:schemas-microsoft-com:office:smarttags" w:element="place">
        <w:r>
          <w:t>Dorsets</w:t>
        </w:r>
      </w:smartTag>
      <w:proofErr w:type="spellEnd"/>
      <w:r>
        <w:t xml:space="preserve">, and even the Royal Irish Rifles and the Dublin Fusiliers </w:t>
      </w:r>
    </w:p>
    <w:p w:rsidR="00B70622" w:rsidRPr="00FC566A" w:rsidRDefault="00B70622" w:rsidP="00B70622">
      <w:pPr>
        <w:spacing w:line="480" w:lineRule="auto"/>
        <w:ind w:firstLine="720"/>
        <w:jc w:val="both"/>
      </w:pPr>
      <w:r>
        <w:rPr>
          <w:sz w:val="20"/>
          <w:szCs w:val="20"/>
        </w:rPr>
        <w:t>_________________________</w:t>
      </w:r>
    </w:p>
    <w:p w:rsidR="00B70622" w:rsidRPr="00FC566A" w:rsidRDefault="00B70622" w:rsidP="00B70622">
      <w:pPr>
        <w:jc w:val="both"/>
        <w:rPr>
          <w:sz w:val="20"/>
          <w:szCs w:val="20"/>
        </w:rPr>
      </w:pPr>
      <w:r>
        <w:rPr>
          <w:sz w:val="20"/>
          <w:szCs w:val="20"/>
        </w:rPr>
        <w:t xml:space="preserve">8.  Morgan, K.O. </w:t>
      </w:r>
      <w:r w:rsidRPr="00270E85">
        <w:rPr>
          <w:i/>
          <w:sz w:val="20"/>
          <w:szCs w:val="20"/>
        </w:rPr>
        <w:t>Rebirth of a Nation</w:t>
      </w:r>
      <w:r>
        <w:rPr>
          <w:sz w:val="20"/>
          <w:szCs w:val="20"/>
        </w:rPr>
        <w:t>, p.159.</w:t>
      </w:r>
    </w:p>
    <w:p w:rsidR="00B70622" w:rsidRPr="00FC566A" w:rsidRDefault="00B70622" w:rsidP="00B70622">
      <w:pPr>
        <w:jc w:val="both"/>
      </w:pPr>
      <w:r>
        <w:rPr>
          <w:sz w:val="20"/>
          <w:szCs w:val="20"/>
        </w:rPr>
        <w:t xml:space="preserve">9.  For more on the Professor  </w:t>
      </w:r>
      <w:proofErr w:type="spellStart"/>
      <w:r>
        <w:rPr>
          <w:sz w:val="20"/>
          <w:szCs w:val="20"/>
        </w:rPr>
        <w:t>Ethe</w:t>
      </w:r>
      <w:proofErr w:type="spellEnd"/>
      <w:r>
        <w:rPr>
          <w:sz w:val="20"/>
          <w:szCs w:val="20"/>
        </w:rPr>
        <w:t xml:space="preserve"> affair see </w:t>
      </w:r>
      <w:proofErr w:type="spellStart"/>
      <w:r>
        <w:rPr>
          <w:sz w:val="20"/>
          <w:szCs w:val="20"/>
        </w:rPr>
        <w:t>Ivens</w:t>
      </w:r>
      <w:proofErr w:type="spellEnd"/>
      <w:r>
        <w:rPr>
          <w:sz w:val="20"/>
          <w:szCs w:val="20"/>
        </w:rPr>
        <w:t xml:space="preserve">, Roger, ‘A Survey of Sources for the First World War in Aberystwyth’ (Unpublished MSc Econ, University of Wales, Aberystwyth, 1997), pp.8-9; also Ellis, E.L. </w:t>
      </w:r>
      <w:r w:rsidRPr="006D1E84">
        <w:rPr>
          <w:i/>
          <w:sz w:val="20"/>
          <w:szCs w:val="20"/>
        </w:rPr>
        <w:t>University College, Wales, Aberystwyth, 1</w:t>
      </w:r>
      <w:r>
        <w:rPr>
          <w:i/>
          <w:sz w:val="20"/>
          <w:szCs w:val="20"/>
        </w:rPr>
        <w:t>8</w:t>
      </w:r>
      <w:r w:rsidRPr="006D1E84">
        <w:rPr>
          <w:i/>
          <w:sz w:val="20"/>
          <w:szCs w:val="20"/>
        </w:rPr>
        <w:t>72-197</w:t>
      </w:r>
      <w:r>
        <w:rPr>
          <w:i/>
          <w:sz w:val="20"/>
          <w:szCs w:val="20"/>
        </w:rPr>
        <w:t xml:space="preserve">2 </w:t>
      </w:r>
      <w:r>
        <w:rPr>
          <w:sz w:val="20"/>
          <w:szCs w:val="20"/>
        </w:rPr>
        <w:t xml:space="preserve">(Cardiff: University of Wales Press, 1972).  </w:t>
      </w:r>
    </w:p>
    <w:p w:rsidR="00B70622" w:rsidRPr="00413074" w:rsidRDefault="00B70622" w:rsidP="00B70622">
      <w:pPr>
        <w:jc w:val="both"/>
        <w:rPr>
          <w:sz w:val="20"/>
          <w:szCs w:val="20"/>
        </w:rPr>
      </w:pPr>
      <w:r w:rsidRPr="00FE5075">
        <w:rPr>
          <w:sz w:val="20"/>
          <w:szCs w:val="20"/>
        </w:rPr>
        <w:t>10.</w:t>
      </w:r>
      <w:r>
        <w:rPr>
          <w:i/>
          <w:sz w:val="20"/>
          <w:szCs w:val="20"/>
        </w:rPr>
        <w:t xml:space="preserve">   </w:t>
      </w:r>
      <w:r w:rsidRPr="00641ADD">
        <w:rPr>
          <w:i/>
          <w:sz w:val="20"/>
          <w:szCs w:val="20"/>
        </w:rPr>
        <w:t>Welsh Outlook</w:t>
      </w:r>
      <w:r>
        <w:rPr>
          <w:sz w:val="20"/>
          <w:szCs w:val="20"/>
        </w:rPr>
        <w:t>, September 1914, pp.378-9.</w:t>
      </w:r>
    </w:p>
    <w:p w:rsidR="00346714" w:rsidRDefault="00346714" w:rsidP="00B70622">
      <w:pPr>
        <w:spacing w:line="480" w:lineRule="auto"/>
        <w:jc w:val="both"/>
      </w:pPr>
    </w:p>
    <w:p w:rsidR="00B70622" w:rsidRDefault="00B70622" w:rsidP="00B70622">
      <w:pPr>
        <w:spacing w:line="480" w:lineRule="auto"/>
        <w:jc w:val="both"/>
      </w:pPr>
      <w:r>
        <w:lastRenderedPageBreak/>
        <w:t>were present.</w:t>
      </w:r>
      <w:r w:rsidRPr="00B40E45">
        <w:rPr>
          <w:vertAlign w:val="superscript"/>
        </w:rPr>
        <w:t>11</w:t>
      </w:r>
      <w:r>
        <w:rPr>
          <w:vertAlign w:val="superscript"/>
        </w:rPr>
        <w:t xml:space="preserve"> </w:t>
      </w:r>
      <w:r>
        <w:t xml:space="preserve">Although fifty men joined up on that day, it was reported in one editorial that ‘recruitment has gone on in </w:t>
      </w:r>
      <w:proofErr w:type="spellStart"/>
      <w:r>
        <w:t>Haverfordwest</w:t>
      </w:r>
      <w:proofErr w:type="spellEnd"/>
      <w:r>
        <w:t xml:space="preserve"> and Pembroke, but not so briskly as the case demands’.</w:t>
      </w:r>
      <w:r w:rsidRPr="00C47FED">
        <w:rPr>
          <w:vertAlign w:val="superscript"/>
        </w:rPr>
        <w:t>12</w:t>
      </w:r>
      <w:r>
        <w:t xml:space="preserve"> In rural areas such as west Wales the demand for agricultural labour competed against the recruitment drive, and this became particularly acute when the pressure on farmers to produce more and more foodstuffs was greater than ever. This explains why, at the beginning of hostilities, the recruitment drive was seen as ‘somewhat backward in Cardiganshire’,</w:t>
      </w:r>
      <w:r w:rsidRPr="001F4B11">
        <w:rPr>
          <w:vertAlign w:val="superscript"/>
        </w:rPr>
        <w:t>13</w:t>
      </w:r>
      <w:r>
        <w:t xml:space="preserve"> although the situation did improve with events such as the enlistment meeting at the Coliseum at Aberystwyth in October 1914. From the spring of 1915 the authorities in the town listed all men between eighteen and forty years of age who had not joined up and appeals were made directly to individuals in the hope of changing minds. Of the five hundred and fifty-one on the list, just over one hundred replied, of which only two dozen extra recruits were secured.</w:t>
      </w:r>
      <w:r w:rsidRPr="000F30E9">
        <w:rPr>
          <w:vertAlign w:val="superscript"/>
        </w:rPr>
        <w:t>14</w:t>
      </w:r>
      <w:r>
        <w:t xml:space="preserve"> Such action pre-dated national registration and the Derby scheme, which appeared later in the year, and conscription which was introduced at the beginning of 1916. The poor response in Aberystwyth does illustrate, at a local level, the reason why the British Government finally decided to take the conscription route.</w:t>
      </w:r>
    </w:p>
    <w:p w:rsidR="00B70622" w:rsidRPr="00576B2E" w:rsidRDefault="00B70622" w:rsidP="00B70622">
      <w:pPr>
        <w:spacing w:line="480" w:lineRule="auto"/>
        <w:jc w:val="both"/>
      </w:pPr>
      <w:r>
        <w:rPr>
          <w:sz w:val="20"/>
          <w:szCs w:val="20"/>
        </w:rPr>
        <w:t>_________________________</w:t>
      </w:r>
    </w:p>
    <w:p w:rsidR="00B70622" w:rsidRPr="00E22B97" w:rsidRDefault="00B70622" w:rsidP="00B70622">
      <w:pPr>
        <w:jc w:val="both"/>
        <w:rPr>
          <w:sz w:val="20"/>
          <w:szCs w:val="20"/>
        </w:rPr>
      </w:pPr>
      <w:r>
        <w:rPr>
          <w:sz w:val="20"/>
          <w:szCs w:val="20"/>
        </w:rPr>
        <w:t xml:space="preserve">11.  See account in </w:t>
      </w:r>
      <w:r w:rsidRPr="00B40E45">
        <w:rPr>
          <w:i/>
          <w:sz w:val="20"/>
          <w:szCs w:val="20"/>
        </w:rPr>
        <w:t>Pembrokeshire Telegraph</w:t>
      </w:r>
      <w:r>
        <w:rPr>
          <w:sz w:val="20"/>
          <w:szCs w:val="20"/>
        </w:rPr>
        <w:t>, 26 August 1914.</w:t>
      </w:r>
    </w:p>
    <w:p w:rsidR="00B70622" w:rsidRPr="00FC566A" w:rsidRDefault="00B70622" w:rsidP="00B70622">
      <w:pPr>
        <w:jc w:val="both"/>
        <w:rPr>
          <w:sz w:val="20"/>
          <w:szCs w:val="20"/>
        </w:rPr>
      </w:pPr>
      <w:r>
        <w:rPr>
          <w:sz w:val="20"/>
          <w:szCs w:val="20"/>
        </w:rPr>
        <w:t>12</w:t>
      </w:r>
      <w:r>
        <w:rPr>
          <w:i/>
          <w:sz w:val="20"/>
          <w:szCs w:val="20"/>
        </w:rPr>
        <w:t xml:space="preserve">.  </w:t>
      </w:r>
      <w:r w:rsidRPr="00C47FED">
        <w:rPr>
          <w:i/>
          <w:sz w:val="20"/>
          <w:szCs w:val="20"/>
        </w:rPr>
        <w:t>Pembrokeshire Telegraph</w:t>
      </w:r>
      <w:r>
        <w:rPr>
          <w:sz w:val="20"/>
          <w:szCs w:val="20"/>
        </w:rPr>
        <w:t>, 26 August 1914.</w:t>
      </w:r>
    </w:p>
    <w:p w:rsidR="00B70622" w:rsidRDefault="00B70622" w:rsidP="00B70622">
      <w:pPr>
        <w:jc w:val="both"/>
        <w:rPr>
          <w:sz w:val="20"/>
          <w:szCs w:val="20"/>
        </w:rPr>
      </w:pPr>
      <w:r>
        <w:rPr>
          <w:sz w:val="20"/>
          <w:szCs w:val="20"/>
        </w:rPr>
        <w:t xml:space="preserve">13.  </w:t>
      </w:r>
      <w:proofErr w:type="spellStart"/>
      <w:r>
        <w:rPr>
          <w:sz w:val="20"/>
          <w:szCs w:val="20"/>
        </w:rPr>
        <w:t>Ivens</w:t>
      </w:r>
      <w:proofErr w:type="spellEnd"/>
      <w:r>
        <w:rPr>
          <w:sz w:val="20"/>
          <w:szCs w:val="20"/>
        </w:rPr>
        <w:t>, Roger, p.10.</w:t>
      </w:r>
    </w:p>
    <w:p w:rsidR="00B70622" w:rsidRPr="008610D5" w:rsidRDefault="00B70622" w:rsidP="00B70622">
      <w:pPr>
        <w:jc w:val="both"/>
      </w:pPr>
      <w:r>
        <w:rPr>
          <w:sz w:val="20"/>
          <w:szCs w:val="20"/>
        </w:rPr>
        <w:t xml:space="preserve">14.  See </w:t>
      </w:r>
      <w:proofErr w:type="spellStart"/>
      <w:r>
        <w:rPr>
          <w:sz w:val="20"/>
          <w:szCs w:val="20"/>
        </w:rPr>
        <w:t>Ivens</w:t>
      </w:r>
      <w:proofErr w:type="spellEnd"/>
      <w:r>
        <w:rPr>
          <w:sz w:val="20"/>
          <w:szCs w:val="20"/>
        </w:rPr>
        <w:t xml:space="preserve">, Roger, p.10. For a contemporary reference to recruitment and the war effort in </w:t>
      </w:r>
      <w:smartTag w:uri="urn:schemas-microsoft-com:office:smarttags" w:element="country-region">
        <w:r>
          <w:rPr>
            <w:sz w:val="20"/>
            <w:szCs w:val="20"/>
          </w:rPr>
          <w:t>Wales</w:t>
        </w:r>
      </w:smartTag>
      <w:r>
        <w:rPr>
          <w:sz w:val="20"/>
          <w:szCs w:val="20"/>
        </w:rPr>
        <w:t>, see Nicholson, Ivor and Lloyd-Williams, Trevor, (</w:t>
      </w:r>
      <w:proofErr w:type="spellStart"/>
      <w:r>
        <w:rPr>
          <w:sz w:val="20"/>
          <w:szCs w:val="20"/>
        </w:rPr>
        <w:t>eds</w:t>
      </w:r>
      <w:proofErr w:type="spellEnd"/>
      <w:r>
        <w:rPr>
          <w:sz w:val="20"/>
          <w:szCs w:val="20"/>
        </w:rPr>
        <w:t xml:space="preserve">) </w:t>
      </w:r>
      <w:smartTag w:uri="urn:schemas-microsoft-com:office:smarttags" w:element="place">
        <w:smartTag w:uri="urn:schemas-microsoft-com:office:smarttags" w:element="country-region">
          <w:r w:rsidRPr="00215218">
            <w:rPr>
              <w:i/>
              <w:sz w:val="20"/>
              <w:szCs w:val="20"/>
            </w:rPr>
            <w:t>Wales</w:t>
          </w:r>
        </w:smartTag>
      </w:smartTag>
      <w:r w:rsidRPr="00215218">
        <w:rPr>
          <w:i/>
          <w:sz w:val="20"/>
          <w:szCs w:val="20"/>
        </w:rPr>
        <w:t>: Its part in the War</w:t>
      </w:r>
      <w:r>
        <w:rPr>
          <w:sz w:val="20"/>
          <w:szCs w:val="20"/>
        </w:rPr>
        <w:t xml:space="preserve">, (London: Hodder and Stoughton, 1919). For more recent work see Phillips, Gervase, ‘Dai Bach y </w:t>
      </w:r>
      <w:proofErr w:type="spellStart"/>
      <w:r>
        <w:rPr>
          <w:sz w:val="20"/>
          <w:szCs w:val="20"/>
        </w:rPr>
        <w:t>Soldiwr</w:t>
      </w:r>
      <w:proofErr w:type="spellEnd"/>
      <w:r>
        <w:rPr>
          <w:sz w:val="20"/>
          <w:szCs w:val="20"/>
        </w:rPr>
        <w:t xml:space="preserve">: Welsh Soldiers in the British Army 1914-1918’, </w:t>
      </w:r>
      <w:proofErr w:type="spellStart"/>
      <w:r w:rsidRPr="008C38EB">
        <w:rPr>
          <w:i/>
          <w:sz w:val="20"/>
          <w:szCs w:val="20"/>
        </w:rPr>
        <w:t>Llafur</w:t>
      </w:r>
      <w:proofErr w:type="spellEnd"/>
      <w:r>
        <w:rPr>
          <w:sz w:val="20"/>
          <w:szCs w:val="20"/>
        </w:rPr>
        <w:t xml:space="preserve">, Vol. 6, No. 2, (1993), pp.94-105. Robin Barlow’s PhD thesis ‘Aspects of the Great War in Carmarthenshire’ (University of Wales, </w:t>
      </w:r>
      <w:proofErr w:type="spellStart"/>
      <w:r>
        <w:rPr>
          <w:sz w:val="20"/>
          <w:szCs w:val="20"/>
        </w:rPr>
        <w:t>Lampeter</w:t>
      </w:r>
      <w:proofErr w:type="spellEnd"/>
      <w:r>
        <w:rPr>
          <w:sz w:val="20"/>
          <w:szCs w:val="20"/>
        </w:rPr>
        <w:t xml:space="preserve">, 2000), devotes a number of chapters to recruitment in Carmarthenshire, or try Douglas, R., ‘Voluntary Recruitment in the First World War and the work of the Parliamentary Recruitment Committee’, </w:t>
      </w:r>
      <w:r w:rsidRPr="00AF0FA7">
        <w:rPr>
          <w:i/>
          <w:sz w:val="20"/>
          <w:szCs w:val="20"/>
        </w:rPr>
        <w:t>Journal of Modern History</w:t>
      </w:r>
      <w:r>
        <w:rPr>
          <w:sz w:val="20"/>
          <w:szCs w:val="20"/>
        </w:rPr>
        <w:t>, Vol. 42, No. 4, (1970), pp.564-85.</w:t>
      </w:r>
    </w:p>
    <w:p w:rsidR="00B70622" w:rsidRDefault="00B70622"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r>
        <w:lastRenderedPageBreak/>
        <w:tab/>
        <w:t>Casualty lists began to appear in local newspapers early on in the conflict, adding to the reluctance of many to accept the ‘King’s shilling’. In August 1915, sixty-nine officers and men from Pembrokeshire were reported as killed or missing in action.</w:t>
      </w:r>
      <w:r w:rsidRPr="00284115">
        <w:rPr>
          <w:vertAlign w:val="superscript"/>
        </w:rPr>
        <w:t xml:space="preserve">15 </w:t>
      </w:r>
      <w:r>
        <w:t xml:space="preserve">Away from the devastating effects on families of losing a loved one, the impact on communities in general is difficult to measure, but increasingly in west Wales anti-war sentiments became more vocal. It can be argued that among Welsh-speaking Nonconformist communities anti-war sentiments were present from the start. One such community in the Preseli hills caused much controversy with the refusal to support activities associated with the war effort. The trustees of </w:t>
      </w:r>
      <w:proofErr w:type="spellStart"/>
      <w:smartTag w:uri="urn:schemas-microsoft-com:office:smarttags" w:element="place">
        <w:smartTag w:uri="urn:schemas-microsoft-com:office:smarttags" w:element="PlaceName">
          <w:r>
            <w:t>Llysyfran</w:t>
          </w:r>
        </w:smartTag>
        <w:proofErr w:type="spellEnd"/>
        <w:r>
          <w:t xml:space="preserve"> </w:t>
        </w:r>
        <w:smartTag w:uri="urn:schemas-microsoft-com:office:smarttags" w:element="PlaceType">
          <w:r>
            <w:t>School</w:t>
          </w:r>
        </w:smartTag>
      </w:smartTag>
      <w:r>
        <w:t xml:space="preserve"> were adamant that their establishment would not be used to host a patriotic concert. This led to a protracted dispute during the spring and summer of 1915 that dominated editorial comment at the time, and remains testimony to the discomfort felt in some quarters towards the war.</w:t>
      </w:r>
      <w:r w:rsidRPr="00644479">
        <w:rPr>
          <w:vertAlign w:val="superscript"/>
        </w:rPr>
        <w:t>16</w:t>
      </w:r>
      <w:r>
        <w:t xml:space="preserve"> </w:t>
      </w:r>
    </w:p>
    <w:p w:rsidR="00B70622" w:rsidRDefault="00B70622" w:rsidP="00B70622">
      <w:pPr>
        <w:spacing w:line="480" w:lineRule="auto"/>
        <w:ind w:left="540" w:firstLine="720"/>
        <w:jc w:val="both"/>
      </w:pPr>
    </w:p>
    <w:p w:rsidR="00B70622" w:rsidRPr="00FC566A" w:rsidRDefault="00B70622" w:rsidP="00B70622">
      <w:pPr>
        <w:spacing w:line="480" w:lineRule="auto"/>
        <w:ind w:firstLine="720"/>
        <w:jc w:val="both"/>
      </w:pPr>
      <w:r>
        <w:t xml:space="preserve">It would be the introduction of conscription that would galvanise anti-war support in </w:t>
      </w:r>
      <w:smartTag w:uri="urn:schemas-microsoft-com:office:smarttags" w:element="country-region">
        <w:smartTag w:uri="urn:schemas-microsoft-com:office:smarttags" w:element="place">
          <w:r>
            <w:t>Wales</w:t>
          </w:r>
        </w:smartTag>
      </w:smartTag>
      <w:r>
        <w:t>, including the west. Brought into force in January 1916, the resulting tribunals testify to the views of many who refused to fight. At Narberth, one local businessman put forward a two-pronged defence of his reluctance to take up arms; firstly, he cited business reasons, but he also invoked his conscientious objections, proclaiming, to the local dignitaries present, that he ‘did not believe in war as it was against the teachings of Jesus Christ’.</w:t>
      </w:r>
      <w:r w:rsidRPr="00525906">
        <w:rPr>
          <w:vertAlign w:val="superscript"/>
        </w:rPr>
        <w:t xml:space="preserve">17 </w:t>
      </w:r>
      <w:r>
        <w:t xml:space="preserve">His appeal was refused. </w:t>
      </w:r>
      <w:r>
        <w:rPr>
          <w:sz w:val="20"/>
          <w:szCs w:val="20"/>
        </w:rPr>
        <w:t>_________________________</w:t>
      </w:r>
    </w:p>
    <w:p w:rsidR="00B70622" w:rsidRDefault="00B70622" w:rsidP="00B70622">
      <w:pPr>
        <w:jc w:val="both"/>
      </w:pPr>
      <w:r>
        <w:rPr>
          <w:sz w:val="20"/>
          <w:szCs w:val="20"/>
        </w:rPr>
        <w:t xml:space="preserve">15.  </w:t>
      </w:r>
      <w:smartTag w:uri="urn:schemas-microsoft-com:office:smarttags" w:element="place">
        <w:smartTag w:uri="urn:schemas-microsoft-com:office:smarttags" w:element="PlaceName">
          <w:r>
            <w:rPr>
              <w:sz w:val="20"/>
              <w:szCs w:val="20"/>
            </w:rPr>
            <w:t>See</w:t>
          </w:r>
        </w:smartTag>
        <w:r>
          <w:rPr>
            <w:sz w:val="20"/>
            <w:szCs w:val="20"/>
          </w:rPr>
          <w:t xml:space="preserve"> </w:t>
        </w:r>
        <w:smartTag w:uri="urn:schemas-microsoft-com:office:smarttags" w:element="PlaceName">
          <w:r w:rsidRPr="00284115">
            <w:rPr>
              <w:i/>
              <w:sz w:val="20"/>
              <w:szCs w:val="20"/>
            </w:rPr>
            <w:t>Pembrokeshire</w:t>
          </w:r>
        </w:smartTag>
        <w:r w:rsidRPr="00284115">
          <w:rPr>
            <w:i/>
            <w:sz w:val="20"/>
            <w:szCs w:val="20"/>
          </w:rPr>
          <w:t xml:space="preserve"> </w:t>
        </w:r>
        <w:smartTag w:uri="urn:schemas-microsoft-com:office:smarttags" w:element="PlaceType">
          <w:r w:rsidRPr="00284115">
            <w:rPr>
              <w:i/>
              <w:sz w:val="20"/>
              <w:szCs w:val="20"/>
            </w:rPr>
            <w:t>County</w:t>
          </w:r>
        </w:smartTag>
      </w:smartTag>
      <w:r w:rsidRPr="00284115">
        <w:rPr>
          <w:i/>
          <w:sz w:val="20"/>
          <w:szCs w:val="20"/>
        </w:rPr>
        <w:t xml:space="preserve"> Guardian</w:t>
      </w:r>
      <w:r>
        <w:rPr>
          <w:sz w:val="20"/>
          <w:szCs w:val="20"/>
        </w:rPr>
        <w:t>, 20 August 1915.</w:t>
      </w:r>
    </w:p>
    <w:p w:rsidR="00B70622" w:rsidRDefault="00B70622" w:rsidP="00B70622">
      <w:pPr>
        <w:jc w:val="both"/>
      </w:pPr>
      <w:r>
        <w:rPr>
          <w:sz w:val="20"/>
          <w:szCs w:val="20"/>
        </w:rPr>
        <w:t xml:space="preserve">16.  </w:t>
      </w:r>
      <w:smartTag w:uri="urn:schemas-microsoft-com:office:smarttags" w:element="place">
        <w:smartTag w:uri="urn:schemas-microsoft-com:office:smarttags" w:element="PlaceName">
          <w:r>
            <w:rPr>
              <w:sz w:val="20"/>
              <w:szCs w:val="20"/>
            </w:rPr>
            <w:t>See</w:t>
          </w:r>
        </w:smartTag>
        <w:r>
          <w:rPr>
            <w:sz w:val="20"/>
            <w:szCs w:val="20"/>
          </w:rPr>
          <w:t xml:space="preserve"> </w:t>
        </w:r>
        <w:smartTag w:uri="urn:schemas-microsoft-com:office:smarttags" w:element="PlaceName">
          <w:r w:rsidRPr="00644479">
            <w:rPr>
              <w:i/>
              <w:sz w:val="20"/>
              <w:szCs w:val="20"/>
            </w:rPr>
            <w:t>Pembrokeshire</w:t>
          </w:r>
        </w:smartTag>
        <w:r w:rsidRPr="00644479">
          <w:rPr>
            <w:i/>
            <w:sz w:val="20"/>
            <w:szCs w:val="20"/>
          </w:rPr>
          <w:t xml:space="preserve"> </w:t>
        </w:r>
        <w:smartTag w:uri="urn:schemas-microsoft-com:office:smarttags" w:element="PlaceType">
          <w:r w:rsidRPr="00644479">
            <w:rPr>
              <w:i/>
              <w:sz w:val="20"/>
              <w:szCs w:val="20"/>
            </w:rPr>
            <w:t>County</w:t>
          </w:r>
        </w:smartTag>
      </w:smartTag>
      <w:r w:rsidRPr="00644479">
        <w:rPr>
          <w:i/>
          <w:sz w:val="20"/>
          <w:szCs w:val="20"/>
        </w:rPr>
        <w:t xml:space="preserve"> Guardian</w:t>
      </w:r>
      <w:r>
        <w:rPr>
          <w:sz w:val="20"/>
          <w:szCs w:val="20"/>
        </w:rPr>
        <w:t>, 2 April 1915.</w:t>
      </w:r>
    </w:p>
    <w:p w:rsidR="00B70622" w:rsidRDefault="00B70622" w:rsidP="00B70622">
      <w:pPr>
        <w:jc w:val="both"/>
      </w:pPr>
      <w:r w:rsidRPr="00292C23">
        <w:rPr>
          <w:sz w:val="20"/>
          <w:szCs w:val="20"/>
        </w:rPr>
        <w:t>17</w:t>
      </w:r>
      <w:r>
        <w:rPr>
          <w:i/>
          <w:sz w:val="20"/>
          <w:szCs w:val="20"/>
        </w:rPr>
        <w:t xml:space="preserve">.  </w:t>
      </w:r>
      <w:r w:rsidRPr="00525906">
        <w:rPr>
          <w:i/>
          <w:sz w:val="20"/>
          <w:szCs w:val="20"/>
        </w:rPr>
        <w:t>Pembrokeshire County Guardian</w:t>
      </w:r>
      <w:r>
        <w:rPr>
          <w:sz w:val="20"/>
          <w:szCs w:val="20"/>
        </w:rPr>
        <w:t>, 7 July 1916.</w:t>
      </w:r>
    </w:p>
    <w:p w:rsidR="00B70622" w:rsidRDefault="00B70622"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r>
        <w:lastRenderedPageBreak/>
        <w:t>Conscription policy drew the wrath of many Liberal politicians and liberal-leaning intellectuals in west Wales, who, up to January 1916, had generally supported the war effort. Foremost among them was W. Llewellyn Williams M.P. (1867-1922), who represented the Carmarthen Boroughs from 1906 to 1918. Until conscription a firm ally of David Lloyd George, his stance against the policy led to his vilification throughout the local press. The views of the latter were summed up by one editorial from May 1915; it read, ‘compulsory service is coming and coming soon…one of the principal objects for which the coalition was formed is to deal with the selfish and unpatriotic slacker…no more business as usual; we have only one business now and that is war’.</w:t>
      </w:r>
      <w:r w:rsidRPr="00304185">
        <w:rPr>
          <w:vertAlign w:val="superscript"/>
        </w:rPr>
        <w:t xml:space="preserve">18 </w:t>
      </w:r>
      <w:r>
        <w:t xml:space="preserve">The other Carmarthenshire members, John Hinds and the Reverend J. </w:t>
      </w:r>
      <w:proofErr w:type="spellStart"/>
      <w:r>
        <w:t>Towyn</w:t>
      </w:r>
      <w:proofErr w:type="spellEnd"/>
      <w:r>
        <w:t xml:space="preserve"> Jones, supported conscription, but Llewellyn Williams would not give way, and his stance ended his longstanding friendship with Lloyd George.</w:t>
      </w:r>
    </w:p>
    <w:p w:rsidR="00B70622" w:rsidRDefault="00B70622" w:rsidP="00B70622">
      <w:pPr>
        <w:spacing w:line="480" w:lineRule="auto"/>
        <w:ind w:left="540" w:firstLine="720"/>
        <w:jc w:val="both"/>
      </w:pPr>
    </w:p>
    <w:p w:rsidR="00346714" w:rsidRDefault="00B70622" w:rsidP="00B70622">
      <w:pPr>
        <w:spacing w:line="480" w:lineRule="auto"/>
        <w:ind w:firstLine="720"/>
        <w:jc w:val="both"/>
      </w:pPr>
      <w:r>
        <w:t xml:space="preserve">By 1917, opposition in west </w:t>
      </w:r>
      <w:smartTag w:uri="urn:schemas-microsoft-com:office:smarttags" w:element="country-region">
        <w:smartTag w:uri="urn:schemas-microsoft-com:office:smarttags" w:element="place">
          <w:r>
            <w:t>Wales</w:t>
          </w:r>
        </w:smartTag>
      </w:smartTag>
      <w:r>
        <w:t xml:space="preserve"> to the war was growing in intensity. Among intellectuals the most vocal opposition came from those behind </w:t>
      </w:r>
      <w:r w:rsidRPr="00FC02AD">
        <w:rPr>
          <w:i/>
        </w:rPr>
        <w:t xml:space="preserve">Y </w:t>
      </w:r>
      <w:proofErr w:type="spellStart"/>
      <w:r w:rsidRPr="00FC02AD">
        <w:rPr>
          <w:i/>
        </w:rPr>
        <w:t>Wawr</w:t>
      </w:r>
      <w:proofErr w:type="spellEnd"/>
      <w:r>
        <w:t xml:space="preserve"> (The Dawn) journal, which originated at the University College Aberystwyth, and included among its ranks the young nationalist William Ambrose </w:t>
      </w:r>
      <w:proofErr w:type="spellStart"/>
      <w:r>
        <w:t>Bebb</w:t>
      </w:r>
      <w:proofErr w:type="spellEnd"/>
      <w:r>
        <w:t xml:space="preserve">, (1894-1955), author and founding member of Plaid </w:t>
      </w:r>
      <w:proofErr w:type="spellStart"/>
      <w:r>
        <w:t>Cymru</w:t>
      </w:r>
      <w:proofErr w:type="spellEnd"/>
      <w:r>
        <w:t xml:space="preserve">. The publication caused the authorities a major headache with its anti-war rhetoric, so much so that it was forced to close down in 1917. Elsewhere, in March 1916, the coastal resort of </w:t>
      </w:r>
      <w:proofErr w:type="spellStart"/>
      <w:r>
        <w:t>Barmouth</w:t>
      </w:r>
      <w:proofErr w:type="spellEnd"/>
      <w:r>
        <w:t xml:space="preserve"> hosted a conference of Welsh Christian pacifists, and witnessed the creation of the periodical </w:t>
      </w:r>
      <w:r w:rsidRPr="00D22A0D">
        <w:rPr>
          <w:i/>
        </w:rPr>
        <w:t xml:space="preserve">Y </w:t>
      </w:r>
      <w:proofErr w:type="spellStart"/>
      <w:r w:rsidRPr="00D22A0D">
        <w:rPr>
          <w:i/>
        </w:rPr>
        <w:t>Deyrnas</w:t>
      </w:r>
      <w:proofErr w:type="spellEnd"/>
      <w:r>
        <w:t xml:space="preserve"> (The Realm), which chose as its target infringements of civil liberties brought on by </w:t>
      </w:r>
    </w:p>
    <w:p w:rsidR="00B70622" w:rsidRDefault="00B70622" w:rsidP="00B70622">
      <w:pPr>
        <w:spacing w:line="480" w:lineRule="auto"/>
        <w:ind w:firstLine="720"/>
        <w:jc w:val="both"/>
      </w:pPr>
      <w:r>
        <w:t>_________________________</w:t>
      </w:r>
    </w:p>
    <w:p w:rsidR="00B70622" w:rsidRDefault="00B70622" w:rsidP="00B70622">
      <w:pPr>
        <w:jc w:val="both"/>
      </w:pPr>
      <w:r w:rsidRPr="001F6AF8">
        <w:rPr>
          <w:sz w:val="20"/>
          <w:szCs w:val="20"/>
        </w:rPr>
        <w:t>18.</w:t>
      </w:r>
      <w:r>
        <w:rPr>
          <w:i/>
          <w:sz w:val="20"/>
          <w:szCs w:val="20"/>
        </w:rPr>
        <w:t xml:space="preserve">  Carmarthen Journal, </w:t>
      </w:r>
      <w:r>
        <w:rPr>
          <w:sz w:val="20"/>
          <w:szCs w:val="20"/>
        </w:rPr>
        <w:t xml:space="preserve">28 May 1915, quoted in Jones, J. Graham, ‘W. Llewellyn Williams and the First World War (1867-1922)’, </w:t>
      </w:r>
      <w:r w:rsidRPr="00E70953">
        <w:rPr>
          <w:i/>
          <w:sz w:val="20"/>
          <w:szCs w:val="20"/>
        </w:rPr>
        <w:t>The Carmarthen Antiquarian</w:t>
      </w:r>
      <w:r>
        <w:rPr>
          <w:sz w:val="20"/>
          <w:szCs w:val="20"/>
        </w:rPr>
        <w:t>, Vol. XLII, (2006), p.88.</w:t>
      </w:r>
    </w:p>
    <w:p w:rsidR="00346714" w:rsidRDefault="00B70622" w:rsidP="00B70622">
      <w:pPr>
        <w:spacing w:line="480" w:lineRule="auto"/>
        <w:jc w:val="both"/>
      </w:pPr>
      <w:proofErr w:type="gramStart"/>
      <w:r>
        <w:t>the</w:t>
      </w:r>
      <w:proofErr w:type="gramEnd"/>
      <w:r>
        <w:t xml:space="preserve"> Defence of the Realm Act (Dora), press censorship, conscription, and the treatment of </w:t>
      </w:r>
    </w:p>
    <w:p w:rsidR="00B70622" w:rsidRDefault="00B70622" w:rsidP="00B70622">
      <w:pPr>
        <w:spacing w:line="480" w:lineRule="auto"/>
        <w:jc w:val="both"/>
        <w:rPr>
          <w:vertAlign w:val="superscript"/>
        </w:rPr>
      </w:pPr>
      <w:proofErr w:type="gramStart"/>
      <w:r>
        <w:lastRenderedPageBreak/>
        <w:t>conscientious</w:t>
      </w:r>
      <w:proofErr w:type="gramEnd"/>
      <w:r>
        <w:t xml:space="preserve"> objectors. The consensus of opinion in west </w:t>
      </w:r>
      <w:smartTag w:uri="urn:schemas-microsoft-com:office:smarttags" w:element="country-region">
        <w:smartTag w:uri="urn:schemas-microsoft-com:office:smarttags" w:element="place">
          <w:r>
            <w:t>Wales</w:t>
          </w:r>
        </w:smartTag>
      </w:smartTag>
      <w:r>
        <w:t xml:space="preserve"> in favour of the war, evident in August 1914, was beginning to unravel by this time, certainly amongst politicians and intellectuals. However, for the most part the ordinary public remained supportive of the war, or at least kept their opinions to themselves.</w:t>
      </w:r>
      <w:r w:rsidRPr="00F51C62">
        <w:rPr>
          <w:vertAlign w:val="superscript"/>
        </w:rPr>
        <w:t>19</w:t>
      </w:r>
    </w:p>
    <w:p w:rsidR="00B70622" w:rsidRDefault="00B70622" w:rsidP="00B70622">
      <w:pPr>
        <w:spacing w:line="480" w:lineRule="auto"/>
        <w:jc w:val="both"/>
        <w:rPr>
          <w:vertAlign w:val="superscript"/>
        </w:rPr>
      </w:pPr>
    </w:p>
    <w:p w:rsidR="00346714" w:rsidRDefault="00B70622" w:rsidP="00B70622">
      <w:pPr>
        <w:spacing w:line="480" w:lineRule="auto"/>
        <w:jc w:val="both"/>
      </w:pPr>
      <w:r>
        <w:rPr>
          <w:vertAlign w:val="superscript"/>
        </w:rPr>
        <w:tab/>
      </w:r>
      <w:r>
        <w:t xml:space="preserve">In recent years the opinion put forward by historians of </w:t>
      </w:r>
      <w:smartTag w:uri="urn:schemas-microsoft-com:office:smarttags" w:element="country-region">
        <w:smartTag w:uri="urn:schemas-microsoft-com:office:smarttags" w:element="place">
          <w:r>
            <w:t>Wales</w:t>
          </w:r>
        </w:smartTag>
      </w:smartTag>
      <w:r>
        <w:t>, most notably Kenneth Morgan, of a nation and its people generally supportive of the war effort, has been challenged with some conviction by Robin Barlow. Concentrating on recruitment levels in Carmarthenshire, he believes that the Welsh lagged behind both the English and Scots when it came to the percentage of men that enlisted, and that those historians that support the opposite do so ‘on the basis of an erroneous interpretation of the statistics’.</w:t>
      </w:r>
      <w:r w:rsidRPr="00595C55">
        <w:rPr>
          <w:vertAlign w:val="superscript"/>
        </w:rPr>
        <w:t xml:space="preserve">20 </w:t>
      </w:r>
      <w:r>
        <w:t>Barlow believes ‘the radical, Nonconformist and anti-militarist traditions of Carmarthenshire, ensured that support for the war was neither universal nor wholehearted’.</w:t>
      </w:r>
      <w:r w:rsidRPr="00595C55">
        <w:rPr>
          <w:vertAlign w:val="superscript"/>
        </w:rPr>
        <w:t>21</w:t>
      </w:r>
      <w:r>
        <w:t xml:space="preserve"> It must be highlighted that in the post-war era in Wales, the period covered by this study, Kenneth Morgan does recognise a change</w:t>
      </w:r>
    </w:p>
    <w:p w:rsidR="00B70622" w:rsidRPr="00204A32" w:rsidRDefault="00B70622" w:rsidP="00B70622">
      <w:pPr>
        <w:spacing w:line="480" w:lineRule="auto"/>
        <w:jc w:val="both"/>
      </w:pPr>
      <w:r>
        <w:t xml:space="preserve"> </w:t>
      </w:r>
      <w:r>
        <w:rPr>
          <w:sz w:val="20"/>
          <w:szCs w:val="20"/>
        </w:rPr>
        <w:t>_________________________</w:t>
      </w:r>
    </w:p>
    <w:p w:rsidR="00B70622" w:rsidRDefault="00B70622" w:rsidP="00B70622">
      <w:pPr>
        <w:jc w:val="both"/>
        <w:rPr>
          <w:sz w:val="20"/>
          <w:szCs w:val="20"/>
        </w:rPr>
      </w:pPr>
      <w:r w:rsidRPr="00F51C62">
        <w:rPr>
          <w:sz w:val="20"/>
          <w:szCs w:val="20"/>
        </w:rPr>
        <w:t xml:space="preserve">19.  </w:t>
      </w:r>
      <w:r>
        <w:rPr>
          <w:sz w:val="20"/>
          <w:szCs w:val="20"/>
        </w:rPr>
        <w:t xml:space="preserve">For studies on opposition to the war in Wales see </w:t>
      </w:r>
      <w:proofErr w:type="spellStart"/>
      <w:r>
        <w:rPr>
          <w:sz w:val="20"/>
          <w:szCs w:val="20"/>
        </w:rPr>
        <w:t>Eurig</w:t>
      </w:r>
      <w:proofErr w:type="spellEnd"/>
      <w:r>
        <w:rPr>
          <w:sz w:val="20"/>
          <w:szCs w:val="20"/>
        </w:rPr>
        <w:t xml:space="preserve">, </w:t>
      </w:r>
      <w:proofErr w:type="spellStart"/>
      <w:r>
        <w:rPr>
          <w:sz w:val="20"/>
          <w:szCs w:val="20"/>
        </w:rPr>
        <w:t>Aled</w:t>
      </w:r>
      <w:proofErr w:type="spellEnd"/>
      <w:r>
        <w:rPr>
          <w:sz w:val="20"/>
          <w:szCs w:val="20"/>
        </w:rPr>
        <w:t>, ‘</w:t>
      </w:r>
      <w:proofErr w:type="spellStart"/>
      <w:r>
        <w:rPr>
          <w:sz w:val="20"/>
          <w:szCs w:val="20"/>
        </w:rPr>
        <w:t>Agewddau</w:t>
      </w:r>
      <w:proofErr w:type="spellEnd"/>
      <w:r>
        <w:rPr>
          <w:sz w:val="20"/>
          <w:szCs w:val="20"/>
        </w:rPr>
        <w:t xml:space="preserve"> </w:t>
      </w:r>
      <w:proofErr w:type="spellStart"/>
      <w:r>
        <w:rPr>
          <w:sz w:val="20"/>
          <w:szCs w:val="20"/>
        </w:rPr>
        <w:t>ar</w:t>
      </w:r>
      <w:proofErr w:type="spellEnd"/>
      <w:r>
        <w:rPr>
          <w:sz w:val="20"/>
          <w:szCs w:val="20"/>
        </w:rPr>
        <w:t xml:space="preserve"> y </w:t>
      </w:r>
      <w:proofErr w:type="spellStart"/>
      <w:r>
        <w:rPr>
          <w:sz w:val="20"/>
          <w:szCs w:val="20"/>
        </w:rPr>
        <w:t>Gwrthwynebaid</w:t>
      </w:r>
      <w:proofErr w:type="spellEnd"/>
      <w:r>
        <w:rPr>
          <w:sz w:val="20"/>
          <w:szCs w:val="20"/>
        </w:rPr>
        <w:t xml:space="preserve"> </w:t>
      </w:r>
      <w:proofErr w:type="spellStart"/>
      <w:r>
        <w:rPr>
          <w:sz w:val="20"/>
          <w:szCs w:val="20"/>
        </w:rPr>
        <w:t>i’r</w:t>
      </w:r>
      <w:proofErr w:type="spellEnd"/>
      <w:r>
        <w:rPr>
          <w:sz w:val="20"/>
          <w:szCs w:val="20"/>
        </w:rPr>
        <w:t xml:space="preserve"> </w:t>
      </w:r>
      <w:proofErr w:type="spellStart"/>
      <w:r>
        <w:rPr>
          <w:sz w:val="20"/>
          <w:szCs w:val="20"/>
        </w:rPr>
        <w:t>Rhyfel</w:t>
      </w:r>
      <w:proofErr w:type="spellEnd"/>
      <w:r>
        <w:rPr>
          <w:sz w:val="20"/>
          <w:szCs w:val="20"/>
        </w:rPr>
        <w:t xml:space="preserve"> </w:t>
      </w:r>
      <w:proofErr w:type="spellStart"/>
      <w:r>
        <w:rPr>
          <w:sz w:val="20"/>
          <w:szCs w:val="20"/>
        </w:rPr>
        <w:t>Byd</w:t>
      </w:r>
      <w:proofErr w:type="spellEnd"/>
      <w:r>
        <w:rPr>
          <w:sz w:val="20"/>
          <w:szCs w:val="20"/>
        </w:rPr>
        <w:t xml:space="preserve"> </w:t>
      </w:r>
      <w:proofErr w:type="spellStart"/>
      <w:r>
        <w:rPr>
          <w:sz w:val="20"/>
          <w:szCs w:val="20"/>
        </w:rPr>
        <w:t>Cyntaf</w:t>
      </w:r>
      <w:proofErr w:type="spellEnd"/>
      <w:r>
        <w:rPr>
          <w:sz w:val="20"/>
          <w:szCs w:val="20"/>
        </w:rPr>
        <w:t xml:space="preserve"> </w:t>
      </w:r>
      <w:proofErr w:type="spellStart"/>
      <w:r>
        <w:rPr>
          <w:sz w:val="20"/>
          <w:szCs w:val="20"/>
        </w:rPr>
        <w:t>yn</w:t>
      </w:r>
      <w:proofErr w:type="spellEnd"/>
      <w:r>
        <w:rPr>
          <w:sz w:val="20"/>
          <w:szCs w:val="20"/>
        </w:rPr>
        <w:t xml:space="preserve"> </w:t>
      </w:r>
      <w:proofErr w:type="spellStart"/>
      <w:r>
        <w:rPr>
          <w:sz w:val="20"/>
          <w:szCs w:val="20"/>
        </w:rPr>
        <w:t>Nghymru</w:t>
      </w:r>
      <w:proofErr w:type="spellEnd"/>
      <w:r>
        <w:rPr>
          <w:sz w:val="20"/>
          <w:szCs w:val="20"/>
        </w:rPr>
        <w:t xml:space="preserve">’, (Aspects to the Opposition to the First World War in Wales), </w:t>
      </w:r>
      <w:proofErr w:type="spellStart"/>
      <w:r w:rsidRPr="00EF6396">
        <w:rPr>
          <w:i/>
          <w:sz w:val="20"/>
          <w:szCs w:val="20"/>
        </w:rPr>
        <w:t>Llafur</w:t>
      </w:r>
      <w:proofErr w:type="spellEnd"/>
      <w:r>
        <w:rPr>
          <w:sz w:val="20"/>
          <w:szCs w:val="20"/>
        </w:rPr>
        <w:t xml:space="preserve">, Vol. 4, No. 4, (1987), pp.58-68,  or Egan, David, ‘The Swansea Conference of the British Council of Soldiers and Workers Delegates, July 1917’, </w:t>
      </w:r>
      <w:proofErr w:type="spellStart"/>
      <w:r w:rsidRPr="00EF6396">
        <w:rPr>
          <w:i/>
          <w:sz w:val="20"/>
          <w:szCs w:val="20"/>
        </w:rPr>
        <w:t>Llafur</w:t>
      </w:r>
      <w:proofErr w:type="spellEnd"/>
      <w:r>
        <w:rPr>
          <w:sz w:val="20"/>
          <w:szCs w:val="20"/>
        </w:rPr>
        <w:t xml:space="preserve"> Vol. 1, No 4, (1975), pp.162-87, or Hopkins, </w:t>
      </w:r>
      <w:proofErr w:type="spellStart"/>
      <w:r>
        <w:rPr>
          <w:sz w:val="20"/>
          <w:szCs w:val="20"/>
        </w:rPr>
        <w:t>Deian</w:t>
      </w:r>
      <w:proofErr w:type="spellEnd"/>
      <w:r>
        <w:rPr>
          <w:sz w:val="20"/>
          <w:szCs w:val="20"/>
        </w:rPr>
        <w:t xml:space="preserve">, ‘Patriots and Pacifists in Wales, 1914-1918’ </w:t>
      </w:r>
      <w:proofErr w:type="spellStart"/>
      <w:r w:rsidRPr="00EF6396">
        <w:rPr>
          <w:i/>
          <w:sz w:val="20"/>
          <w:szCs w:val="20"/>
        </w:rPr>
        <w:t>Llafur</w:t>
      </w:r>
      <w:proofErr w:type="spellEnd"/>
      <w:r>
        <w:rPr>
          <w:sz w:val="20"/>
          <w:szCs w:val="20"/>
        </w:rPr>
        <w:t xml:space="preserve">, Vol. 1, No. 3, (1974), pp.132-46, or two articles by Anthony </w:t>
      </w:r>
      <w:proofErr w:type="spellStart"/>
      <w:r>
        <w:rPr>
          <w:sz w:val="20"/>
          <w:szCs w:val="20"/>
        </w:rPr>
        <w:t>Mor</w:t>
      </w:r>
      <w:proofErr w:type="spellEnd"/>
      <w:r>
        <w:rPr>
          <w:sz w:val="20"/>
          <w:szCs w:val="20"/>
        </w:rPr>
        <w:t>-O’Brien : ‘</w:t>
      </w:r>
      <w:proofErr w:type="spellStart"/>
      <w:r>
        <w:rPr>
          <w:sz w:val="20"/>
          <w:szCs w:val="20"/>
        </w:rPr>
        <w:t>Emrys</w:t>
      </w:r>
      <w:proofErr w:type="spellEnd"/>
      <w:r>
        <w:rPr>
          <w:sz w:val="20"/>
          <w:szCs w:val="20"/>
        </w:rPr>
        <w:t xml:space="preserve"> Hughes:  Anti-War Feeling’, </w:t>
      </w:r>
      <w:r w:rsidRPr="00C2226A">
        <w:rPr>
          <w:i/>
          <w:sz w:val="20"/>
          <w:szCs w:val="20"/>
        </w:rPr>
        <w:t>Welsh History Review</w:t>
      </w:r>
      <w:r>
        <w:rPr>
          <w:sz w:val="20"/>
          <w:szCs w:val="20"/>
        </w:rPr>
        <w:t xml:space="preserve">, Vol. 13, No. 3, (1987), pp.328-52, and ‘’Patriotism on Trial: The Strike of the South Wales Miners’, </w:t>
      </w:r>
      <w:r w:rsidRPr="00C2226A">
        <w:rPr>
          <w:i/>
          <w:sz w:val="20"/>
          <w:szCs w:val="20"/>
        </w:rPr>
        <w:t>Welsh History Review</w:t>
      </w:r>
      <w:r>
        <w:rPr>
          <w:sz w:val="20"/>
          <w:szCs w:val="20"/>
        </w:rPr>
        <w:t xml:space="preserve">, Vol. 12, No. 1, (1986), pp.76-104. Also see Morgan, K.O., ‘Peace Movements in Wales, 1899-1945 ’, </w:t>
      </w:r>
      <w:r w:rsidRPr="00651535">
        <w:rPr>
          <w:i/>
          <w:sz w:val="20"/>
          <w:szCs w:val="20"/>
        </w:rPr>
        <w:t>Welsh History Review</w:t>
      </w:r>
      <w:r>
        <w:rPr>
          <w:sz w:val="20"/>
          <w:szCs w:val="20"/>
        </w:rPr>
        <w:t>, Vol. 10, No. 3, (1981), pp.398-430.</w:t>
      </w:r>
    </w:p>
    <w:p w:rsidR="00B70622" w:rsidRDefault="00B70622" w:rsidP="00B70622">
      <w:pPr>
        <w:jc w:val="both"/>
        <w:rPr>
          <w:sz w:val="20"/>
          <w:szCs w:val="20"/>
        </w:rPr>
      </w:pPr>
      <w:r>
        <w:rPr>
          <w:sz w:val="20"/>
          <w:szCs w:val="20"/>
        </w:rPr>
        <w:t xml:space="preserve">20.  Barlow, Robin, ‘Aspects of the Great War in Carmarthenshire’, (Unpublished PhD : </w:t>
      </w:r>
      <w:smartTag w:uri="urn:schemas-microsoft-com:office:smarttags" w:element="place">
        <w:smartTag w:uri="urn:schemas-microsoft-com:office:smarttags" w:element="PlaceType">
          <w:r>
            <w:rPr>
              <w:sz w:val="20"/>
              <w:szCs w:val="20"/>
            </w:rPr>
            <w:t>University</w:t>
          </w:r>
        </w:smartTag>
        <w:r>
          <w:rPr>
            <w:sz w:val="20"/>
            <w:szCs w:val="20"/>
          </w:rPr>
          <w:t xml:space="preserve"> of </w:t>
        </w:r>
        <w:proofErr w:type="spellStart"/>
        <w:smartTag w:uri="urn:schemas-microsoft-com:office:smarttags" w:element="PlaceName">
          <w:r>
            <w:rPr>
              <w:sz w:val="20"/>
              <w:szCs w:val="20"/>
            </w:rPr>
            <w:t>Lampeter</w:t>
          </w:r>
        </w:smartTag>
      </w:smartTag>
      <w:proofErr w:type="spellEnd"/>
      <w:r>
        <w:rPr>
          <w:sz w:val="20"/>
          <w:szCs w:val="20"/>
        </w:rPr>
        <w:t>, 2000), p.18.</w:t>
      </w:r>
    </w:p>
    <w:p w:rsidR="00B70622" w:rsidRDefault="00B70622" w:rsidP="00B70622">
      <w:pPr>
        <w:jc w:val="both"/>
        <w:rPr>
          <w:sz w:val="20"/>
          <w:szCs w:val="20"/>
        </w:rPr>
      </w:pPr>
      <w:r>
        <w:rPr>
          <w:sz w:val="20"/>
          <w:szCs w:val="20"/>
        </w:rPr>
        <w:t>21.  Barlow, p.82.</w:t>
      </w:r>
    </w:p>
    <w:p w:rsidR="00B70622" w:rsidRDefault="00B70622" w:rsidP="00B70622">
      <w:pPr>
        <w:spacing w:line="480" w:lineRule="auto"/>
        <w:jc w:val="both"/>
        <w:rPr>
          <w:sz w:val="20"/>
          <w:szCs w:val="20"/>
        </w:rPr>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proofErr w:type="gramStart"/>
      <w:r>
        <w:lastRenderedPageBreak/>
        <w:t>of</w:t>
      </w:r>
      <w:proofErr w:type="gramEnd"/>
      <w:r>
        <w:t xml:space="preserve"> mood, away from the rhetoric of patriotism to a ‘period of reflection, soon turning to disillusion, cynicism, and even at times despair’.</w:t>
      </w:r>
      <w:r w:rsidRPr="00595C55">
        <w:rPr>
          <w:vertAlign w:val="superscript"/>
        </w:rPr>
        <w:t>22</w:t>
      </w:r>
      <w:r>
        <w:t xml:space="preserve"> No more so than in the  demeanour of veterans of the conflict, who ‘returned with a more detached and critical attitude towards the society from which they sprung’.</w:t>
      </w:r>
      <w:r w:rsidRPr="00595C55">
        <w:rPr>
          <w:vertAlign w:val="superscript"/>
        </w:rPr>
        <w:t xml:space="preserve">23 </w:t>
      </w:r>
    </w:p>
    <w:p w:rsidR="00B70622" w:rsidRDefault="00B70622" w:rsidP="00B70622">
      <w:pPr>
        <w:spacing w:line="480" w:lineRule="auto"/>
        <w:jc w:val="both"/>
      </w:pPr>
    </w:p>
    <w:p w:rsidR="00B70622" w:rsidRPr="002B59AF" w:rsidRDefault="00B70622" w:rsidP="00B70622">
      <w:pPr>
        <w:spacing w:line="480" w:lineRule="auto"/>
        <w:jc w:val="both"/>
      </w:pPr>
      <w:r>
        <w:tab/>
        <w:t xml:space="preserve">This again raises questions as to how problematic the commemoration process was in west </w:t>
      </w:r>
      <w:smartTag w:uri="urn:schemas-microsoft-com:office:smarttags" w:element="place">
        <w:smartTag w:uri="urn:schemas-microsoft-com:office:smarttags" w:element="country-region">
          <w:r>
            <w:t>Wales</w:t>
          </w:r>
        </w:smartTag>
      </w:smartTag>
      <w:r>
        <w:t xml:space="preserve">. Did anti-war sentiment colour the process or did the people of west Wales generally accept how commemoration was enacted and controlled? This also raises the subject of levels of </w:t>
      </w:r>
      <w:proofErr w:type="spellStart"/>
      <w:r>
        <w:t>Welshness</w:t>
      </w:r>
      <w:proofErr w:type="spellEnd"/>
      <w:r>
        <w:t xml:space="preserve"> at a time of increased national identity. According to Angela Gaffney, ‘loyalty to </w:t>
      </w:r>
      <w:smartTag w:uri="urn:schemas-microsoft-com:office:smarttags" w:element="country-region">
        <w:r>
          <w:t>Britain</w:t>
        </w:r>
      </w:smartTag>
      <w:r>
        <w:t xml:space="preserve"> and to Empire did not preclude loyalty to </w:t>
      </w:r>
      <w:smartTag w:uri="urn:schemas-microsoft-com:office:smarttags" w:element="place">
        <w:smartTag w:uri="urn:schemas-microsoft-com:office:smarttags" w:element="country-region">
          <w:r>
            <w:t>Wales</w:t>
          </w:r>
        </w:smartTag>
      </w:smartTag>
      <w:r>
        <w:t>’,</w:t>
      </w:r>
      <w:r w:rsidRPr="00595C55">
        <w:rPr>
          <w:vertAlign w:val="superscript"/>
        </w:rPr>
        <w:t>24</w:t>
      </w:r>
      <w:r>
        <w:t xml:space="preserve"> suggesting a degree of ambiguity when attempting to define a distinct Welsh identity in the commemoration process. </w:t>
      </w:r>
    </w:p>
    <w:p w:rsidR="00B70622" w:rsidRDefault="00B70622" w:rsidP="00B70622">
      <w:pPr>
        <w:spacing w:line="480" w:lineRule="auto"/>
        <w:ind w:left="540" w:firstLine="720"/>
        <w:jc w:val="both"/>
      </w:pPr>
    </w:p>
    <w:p w:rsidR="00346714" w:rsidRDefault="00B70622" w:rsidP="00B70622">
      <w:pPr>
        <w:spacing w:line="480" w:lineRule="auto"/>
        <w:jc w:val="both"/>
      </w:pPr>
      <w:r>
        <w:tab/>
        <w:t xml:space="preserve">As far as the standard of living was concerned, the demands of total war did mean economic hardship for some, but against this the rural communities of west </w:t>
      </w:r>
      <w:smartTag w:uri="urn:schemas-microsoft-com:office:smarttags" w:element="country-region">
        <w:smartTag w:uri="urn:schemas-microsoft-com:office:smarttags" w:element="place">
          <w:r>
            <w:t>Wales</w:t>
          </w:r>
        </w:smartTag>
      </w:smartTag>
      <w:r>
        <w:t xml:space="preserve"> fared better because of rising prices and demand for foodstuffs, such as milk, livestock and cereals. These factors also meant an increase in land prices and consequently an added motive for landed families to sell off vast areas of their estates, primarily to the occupiers. The process had been gradually taking place pre-war, and sales continued through the war years. However, between 1918-1922 ‘the </w:t>
      </w:r>
    </w:p>
    <w:p w:rsidR="00B70622" w:rsidRPr="003807D3" w:rsidRDefault="00B70622" w:rsidP="00B70622">
      <w:pPr>
        <w:spacing w:line="480" w:lineRule="auto"/>
        <w:jc w:val="both"/>
      </w:pPr>
      <w:r>
        <w:rPr>
          <w:sz w:val="20"/>
          <w:szCs w:val="20"/>
        </w:rPr>
        <w:t>_________________________</w:t>
      </w:r>
    </w:p>
    <w:p w:rsidR="00B70622" w:rsidRDefault="00B70622" w:rsidP="00B70622">
      <w:pPr>
        <w:jc w:val="both"/>
      </w:pPr>
      <w:r>
        <w:rPr>
          <w:sz w:val="20"/>
          <w:szCs w:val="20"/>
        </w:rPr>
        <w:t xml:space="preserve">22.  Morgan, K.O., </w:t>
      </w:r>
      <w:r w:rsidRPr="00F71A97">
        <w:rPr>
          <w:i/>
          <w:sz w:val="20"/>
          <w:szCs w:val="20"/>
        </w:rPr>
        <w:t>Rebirth of a Nation</w:t>
      </w:r>
      <w:r>
        <w:rPr>
          <w:sz w:val="20"/>
          <w:szCs w:val="20"/>
        </w:rPr>
        <w:t xml:space="preserve">, p.180. </w:t>
      </w:r>
    </w:p>
    <w:p w:rsidR="00B70622" w:rsidRPr="003807D3" w:rsidRDefault="00B70622" w:rsidP="00B70622">
      <w:pPr>
        <w:jc w:val="both"/>
      </w:pPr>
      <w:r>
        <w:rPr>
          <w:sz w:val="20"/>
          <w:szCs w:val="20"/>
        </w:rPr>
        <w:t xml:space="preserve">23.  Morgan, K.O., in </w:t>
      </w:r>
      <w:r w:rsidRPr="00F71A97">
        <w:rPr>
          <w:i/>
          <w:sz w:val="20"/>
          <w:szCs w:val="20"/>
        </w:rPr>
        <w:t>Ceredigion</w:t>
      </w:r>
      <w:r>
        <w:rPr>
          <w:sz w:val="20"/>
          <w:szCs w:val="20"/>
        </w:rPr>
        <w:t>, p.332.</w:t>
      </w:r>
    </w:p>
    <w:p w:rsidR="00B70622" w:rsidRPr="003807D3" w:rsidRDefault="00B70622" w:rsidP="00B70622">
      <w:pPr>
        <w:jc w:val="both"/>
        <w:rPr>
          <w:sz w:val="20"/>
          <w:szCs w:val="20"/>
        </w:rPr>
      </w:pPr>
      <w:r>
        <w:rPr>
          <w:sz w:val="20"/>
          <w:szCs w:val="20"/>
        </w:rPr>
        <w:t xml:space="preserve">24.  Gaffney, Angela, </w:t>
      </w:r>
      <w:r w:rsidRPr="0068508F">
        <w:rPr>
          <w:i/>
          <w:sz w:val="20"/>
          <w:szCs w:val="20"/>
        </w:rPr>
        <w:t>Aftermath: Remembering the Great War in Wales</w:t>
      </w:r>
      <w:r>
        <w:rPr>
          <w:sz w:val="20"/>
          <w:szCs w:val="20"/>
        </w:rPr>
        <w:t xml:space="preserve"> (Cardiff: University of Wales Press, 1998), p.169. </w:t>
      </w:r>
    </w:p>
    <w:p w:rsidR="00B70622" w:rsidRDefault="00B70622" w:rsidP="00B70622">
      <w:pPr>
        <w:spacing w:line="480" w:lineRule="auto"/>
        <w:jc w:val="both"/>
      </w:pPr>
    </w:p>
    <w:p w:rsidR="00B70622" w:rsidRDefault="00B70622" w:rsidP="00B70622">
      <w:pPr>
        <w:spacing w:line="480" w:lineRule="auto"/>
        <w:jc w:val="both"/>
      </w:pPr>
    </w:p>
    <w:p w:rsidR="00B70622" w:rsidRPr="003807D3" w:rsidRDefault="00B70622" w:rsidP="00B70622">
      <w:pPr>
        <w:spacing w:line="480" w:lineRule="auto"/>
        <w:jc w:val="both"/>
        <w:rPr>
          <w:sz w:val="20"/>
          <w:szCs w:val="20"/>
        </w:rPr>
      </w:pPr>
      <w:r>
        <w:lastRenderedPageBreak/>
        <w:t>floodgates burst’,</w:t>
      </w:r>
      <w:r>
        <w:rPr>
          <w:vertAlign w:val="superscript"/>
        </w:rPr>
        <w:t>25</w:t>
      </w:r>
      <w:r>
        <w:t xml:space="preserve"> as far as land sales were concerned, and it was the sitting tenant doing the buying. Already under pressure because of death duties, perpetuated by wartime fatalities, ‘the great estates seemed to be undergoing liquidation’.</w:t>
      </w:r>
      <w:r w:rsidRPr="00422FC3">
        <w:rPr>
          <w:vertAlign w:val="superscript"/>
        </w:rPr>
        <w:t>2</w:t>
      </w:r>
      <w:r>
        <w:rPr>
          <w:vertAlign w:val="superscript"/>
        </w:rPr>
        <w:t>6</w:t>
      </w:r>
      <w:r>
        <w:t xml:space="preserve"> The effects of this transformation was as pronounced in west Wales as elsewhere. By the Second World War the percentage of holdings owned by the occupier in Cardiganshire stood at 48%, in Carmarthenshire 42%, and in Pembrokeshire 36%, (in 1909 the equivalent figures were 18.53%, 11.57% and 10.53% respectively).</w:t>
      </w:r>
      <w:r w:rsidRPr="00422FC3">
        <w:rPr>
          <w:vertAlign w:val="superscript"/>
        </w:rPr>
        <w:t>2</w:t>
      </w:r>
      <w:r>
        <w:rPr>
          <w:vertAlign w:val="superscript"/>
        </w:rPr>
        <w:t>7</w:t>
      </w:r>
    </w:p>
    <w:p w:rsidR="00B70622" w:rsidRDefault="00B70622" w:rsidP="00B70622">
      <w:pPr>
        <w:jc w:val="both"/>
      </w:pPr>
    </w:p>
    <w:p w:rsidR="00B70622" w:rsidRPr="0045475C" w:rsidRDefault="00B70622" w:rsidP="00B70622">
      <w:pPr>
        <w:jc w:val="both"/>
      </w:pPr>
    </w:p>
    <w:p w:rsidR="00B70622" w:rsidRDefault="00B70622" w:rsidP="00B70622">
      <w:pPr>
        <w:spacing w:line="480" w:lineRule="auto"/>
        <w:jc w:val="both"/>
        <w:rPr>
          <w:u w:val="single"/>
        </w:rPr>
      </w:pPr>
      <w:r>
        <w:t>3.3</w:t>
      </w:r>
      <w:r w:rsidRPr="00600FD7">
        <w:t xml:space="preserve">   </w:t>
      </w:r>
      <w:r>
        <w:rPr>
          <w:u w:val="single"/>
        </w:rPr>
        <w:t>T</w:t>
      </w:r>
      <w:r w:rsidRPr="002868C9">
        <w:rPr>
          <w:u w:val="single"/>
        </w:rPr>
        <w:t xml:space="preserve">HE HUMAN </w:t>
      </w:r>
      <w:r>
        <w:rPr>
          <w:u w:val="single"/>
        </w:rPr>
        <w:t xml:space="preserve">LOSS TO </w:t>
      </w:r>
      <w:smartTag w:uri="urn:schemas-microsoft-com:office:smarttags" w:element="place">
        <w:r>
          <w:rPr>
            <w:u w:val="single"/>
          </w:rPr>
          <w:t>WEST WALES</w:t>
        </w:r>
      </w:smartTag>
      <w:r>
        <w:rPr>
          <w:u w:val="single"/>
        </w:rPr>
        <w:t xml:space="preserve"> </w:t>
      </w:r>
    </w:p>
    <w:p w:rsidR="00B70622" w:rsidRDefault="00B70622" w:rsidP="00B70622">
      <w:pPr>
        <w:spacing w:line="480" w:lineRule="auto"/>
        <w:ind w:left="540" w:firstLine="720"/>
        <w:jc w:val="both"/>
        <w:rPr>
          <w:u w:val="single"/>
        </w:rPr>
      </w:pPr>
    </w:p>
    <w:p w:rsidR="00B70622" w:rsidRDefault="00B70622" w:rsidP="00B70622">
      <w:pPr>
        <w:spacing w:line="480" w:lineRule="auto"/>
        <w:jc w:val="both"/>
      </w:pPr>
      <w:r>
        <w:tab/>
        <w:t xml:space="preserve">Remembering individuals from west </w:t>
      </w:r>
      <w:smartTag w:uri="urn:schemas-microsoft-com:office:smarttags" w:element="country-region">
        <w:smartTag w:uri="urn:schemas-microsoft-com:office:smarttags" w:element="place">
          <w:r>
            <w:t>Wales</w:t>
          </w:r>
        </w:smartTag>
      </w:smartTag>
      <w:r>
        <w:t xml:space="preserve"> who did not return began well before the end of hostilities in November 1918. Wartime memorial services, such as the one dedicated to Private David Evans of New Moat in Pembrokeshire, took place regularly in towns and villages throughout the area. Serving with the Welsh Guards he died of his wounds in September 1916 during the great </w:t>
      </w:r>
      <w:smartTag w:uri="urn:schemas-microsoft-com:office:smarttags" w:element="place">
        <w:r>
          <w:t>Somme</w:t>
        </w:r>
      </w:smartTag>
      <w:r>
        <w:t xml:space="preserve"> offensive. On October 8th villagers turned out in force at Tabernacle chapel in nearby </w:t>
      </w:r>
      <w:proofErr w:type="spellStart"/>
      <w:r>
        <w:t>Maenclochog</w:t>
      </w:r>
      <w:proofErr w:type="spellEnd"/>
      <w:r>
        <w:t xml:space="preserve"> to pay their respects. Some weeks later it was reported that ‘the villagers of New Moat were grief stricken at the loss of such a true and gallant soldier’.</w:t>
      </w:r>
      <w:r w:rsidRPr="00B56F4F">
        <w:rPr>
          <w:vertAlign w:val="superscript"/>
        </w:rPr>
        <w:t>2</w:t>
      </w:r>
      <w:r>
        <w:rPr>
          <w:vertAlign w:val="superscript"/>
        </w:rPr>
        <w:t xml:space="preserve">8 </w:t>
      </w:r>
      <w:r>
        <w:t>David Evans is remembered on his parents’ headstone at New Moat churchyard. Sadly, the tiny hamlet had to suffer another loss at this time; Private James Price of the 16</w:t>
      </w:r>
      <w:r w:rsidRPr="005F6E71">
        <w:rPr>
          <w:vertAlign w:val="superscript"/>
        </w:rPr>
        <w:t>th</w:t>
      </w:r>
      <w:r>
        <w:t xml:space="preserve"> Welsh died near </w:t>
      </w:r>
      <w:smartTag w:uri="urn:schemas-microsoft-com:office:smarttags" w:element="place">
        <w:r>
          <w:t>Ypres</w:t>
        </w:r>
      </w:smartTag>
      <w:r>
        <w:t xml:space="preserve"> just two days before David Evans. </w:t>
      </w:r>
    </w:p>
    <w:p w:rsidR="00B70622" w:rsidRDefault="00B70622" w:rsidP="00B70622">
      <w:pPr>
        <w:jc w:val="both"/>
        <w:rPr>
          <w:sz w:val="20"/>
          <w:szCs w:val="20"/>
        </w:rPr>
      </w:pPr>
      <w:r>
        <w:rPr>
          <w:sz w:val="20"/>
          <w:szCs w:val="20"/>
        </w:rPr>
        <w:t>_________________________</w:t>
      </w:r>
    </w:p>
    <w:p w:rsidR="00B70622" w:rsidRDefault="00B70622" w:rsidP="00B70622">
      <w:pPr>
        <w:jc w:val="both"/>
        <w:rPr>
          <w:sz w:val="20"/>
          <w:szCs w:val="20"/>
        </w:rPr>
      </w:pPr>
    </w:p>
    <w:p w:rsidR="00B70622" w:rsidRDefault="00B70622" w:rsidP="00B70622">
      <w:pPr>
        <w:jc w:val="both"/>
        <w:rPr>
          <w:sz w:val="20"/>
          <w:szCs w:val="20"/>
        </w:rPr>
      </w:pPr>
      <w:r>
        <w:rPr>
          <w:sz w:val="20"/>
          <w:szCs w:val="20"/>
        </w:rPr>
        <w:t xml:space="preserve">25.  Davies, John, ‘The End of the Great Estates and the Rise of Freehold Farming in Wales’, </w:t>
      </w:r>
      <w:r w:rsidRPr="00422FC3">
        <w:rPr>
          <w:i/>
          <w:sz w:val="20"/>
          <w:szCs w:val="20"/>
        </w:rPr>
        <w:t>Welsh History Review</w:t>
      </w:r>
      <w:r>
        <w:rPr>
          <w:sz w:val="20"/>
          <w:szCs w:val="20"/>
        </w:rPr>
        <w:t>, Vol. 7, No. 2, (1974), p.192.</w:t>
      </w:r>
    </w:p>
    <w:p w:rsidR="00B70622" w:rsidRDefault="00B70622" w:rsidP="00B70622">
      <w:pPr>
        <w:jc w:val="both"/>
      </w:pPr>
      <w:r>
        <w:rPr>
          <w:sz w:val="20"/>
          <w:szCs w:val="20"/>
        </w:rPr>
        <w:t>26.  Davies, p.193.</w:t>
      </w:r>
    </w:p>
    <w:p w:rsidR="00B70622" w:rsidRPr="00204A32" w:rsidRDefault="00B70622" w:rsidP="00B70622">
      <w:pPr>
        <w:jc w:val="both"/>
        <w:rPr>
          <w:sz w:val="20"/>
          <w:szCs w:val="20"/>
        </w:rPr>
      </w:pPr>
      <w:r>
        <w:rPr>
          <w:sz w:val="20"/>
          <w:szCs w:val="20"/>
        </w:rPr>
        <w:t>27.  Davies, p.212.</w:t>
      </w:r>
    </w:p>
    <w:p w:rsidR="00B70622" w:rsidRDefault="00B70622" w:rsidP="00B70622">
      <w:pPr>
        <w:jc w:val="both"/>
      </w:pPr>
      <w:r w:rsidRPr="00F712AB">
        <w:rPr>
          <w:sz w:val="20"/>
          <w:szCs w:val="20"/>
        </w:rPr>
        <w:t>2</w:t>
      </w:r>
      <w:r>
        <w:rPr>
          <w:sz w:val="20"/>
          <w:szCs w:val="20"/>
        </w:rPr>
        <w:t xml:space="preserve">8.  </w:t>
      </w:r>
      <w:smartTag w:uri="urn:schemas-microsoft-com:office:smarttags" w:element="place">
        <w:smartTag w:uri="urn:schemas-microsoft-com:office:smarttags" w:element="PlaceType">
          <w:r w:rsidRPr="00B56F4F">
            <w:rPr>
              <w:i/>
              <w:sz w:val="20"/>
              <w:szCs w:val="20"/>
            </w:rPr>
            <w:t>County</w:t>
          </w:r>
        </w:smartTag>
        <w:r w:rsidRPr="00B56F4F">
          <w:rPr>
            <w:i/>
            <w:sz w:val="20"/>
            <w:szCs w:val="20"/>
          </w:rPr>
          <w:t xml:space="preserve"> </w:t>
        </w:r>
        <w:smartTag w:uri="urn:schemas-microsoft-com:office:smarttags" w:element="PlaceName">
          <w:r w:rsidRPr="00B56F4F">
            <w:rPr>
              <w:i/>
              <w:sz w:val="20"/>
              <w:szCs w:val="20"/>
            </w:rPr>
            <w:t>Echo</w:t>
          </w:r>
        </w:smartTag>
      </w:smartTag>
      <w:r>
        <w:rPr>
          <w:sz w:val="20"/>
          <w:szCs w:val="20"/>
        </w:rPr>
        <w:t>, 2 November 1916.</w:t>
      </w:r>
    </w:p>
    <w:p w:rsidR="00346714" w:rsidRDefault="00346714" w:rsidP="00B70622">
      <w:pPr>
        <w:spacing w:line="480" w:lineRule="auto"/>
        <w:ind w:firstLine="720"/>
        <w:jc w:val="both"/>
      </w:pPr>
    </w:p>
    <w:p w:rsidR="00B70622" w:rsidRDefault="00B70622" w:rsidP="00B70622">
      <w:pPr>
        <w:spacing w:line="480" w:lineRule="auto"/>
        <w:ind w:firstLine="720"/>
        <w:jc w:val="both"/>
      </w:pPr>
      <w:r>
        <w:lastRenderedPageBreak/>
        <w:t xml:space="preserve">Countless other small communities were experiencing the same level of suffering during 1914-1918, with perhaps the loss of two local ‘boys’, sometimes more. Unfortunately for the researcher, the area around </w:t>
      </w:r>
      <w:proofErr w:type="spellStart"/>
      <w:r>
        <w:t>Maenclochog</w:t>
      </w:r>
      <w:proofErr w:type="spellEnd"/>
      <w:r>
        <w:t xml:space="preserve"> and New Moat, in the western part of the Preseli hills, does not boast a communal war memorial that lists all from the area that perished, so the true extent of the suffering, displayed</w:t>
      </w:r>
      <w:r w:rsidRPr="0045475C">
        <w:t xml:space="preserve"> </w:t>
      </w:r>
      <w:r>
        <w:t xml:space="preserve">through the listing of names, is not present. However, more thorough research, particularly of memorial tablets in church and chapel (family headstones in churchyards and chapel burial grounds are a particularly rich source of information regarding the war dead), can unearth the true cost in lives of the Great War, in any given community. Between the </w:t>
      </w:r>
      <w:smartTag w:uri="urn:schemas-microsoft-com:office:smarttags" w:element="place">
        <w:smartTag w:uri="urn:schemas-microsoft-com:office:smarttags" w:element="PlaceType">
          <w:r>
            <w:t>village</w:t>
          </w:r>
        </w:smartTag>
        <w:r>
          <w:t xml:space="preserve"> of </w:t>
        </w:r>
        <w:proofErr w:type="spellStart"/>
        <w:smartTag w:uri="urn:schemas-microsoft-com:office:smarttags" w:element="PlaceName">
          <w:r>
            <w:t>Maenclochog</w:t>
          </w:r>
        </w:smartTag>
      </w:smartTag>
      <w:proofErr w:type="spellEnd"/>
      <w:r>
        <w:t xml:space="preserve"> and the surrounding hamlets of New Moat, </w:t>
      </w:r>
      <w:proofErr w:type="spellStart"/>
      <w:r>
        <w:t>Llysyfran</w:t>
      </w:r>
      <w:proofErr w:type="spellEnd"/>
      <w:r>
        <w:t xml:space="preserve">, Henry’s Moat, Rosebush, </w:t>
      </w:r>
      <w:proofErr w:type="spellStart"/>
      <w:r>
        <w:t>Llandilo</w:t>
      </w:r>
      <w:proofErr w:type="spellEnd"/>
      <w:r>
        <w:t xml:space="preserve">, </w:t>
      </w:r>
      <w:proofErr w:type="spellStart"/>
      <w:r>
        <w:t>Llangolman</w:t>
      </w:r>
      <w:proofErr w:type="spellEnd"/>
      <w:r>
        <w:t xml:space="preserve">, </w:t>
      </w:r>
      <w:proofErr w:type="spellStart"/>
      <w:r>
        <w:t>Llanycefn</w:t>
      </w:r>
      <w:proofErr w:type="spellEnd"/>
      <w:r>
        <w:t xml:space="preserve"> and </w:t>
      </w:r>
      <w:proofErr w:type="spellStart"/>
      <w:r>
        <w:t>Rhydwilym</w:t>
      </w:r>
      <w:proofErr w:type="spellEnd"/>
      <w:r>
        <w:t xml:space="preserve">, at least twenty-five men did not return, out of a population at the time of around fifteen hundred. For such a close-knit community the effects were devastating. A full list of the fallen from this sparsely populated area, together with family links, date of death, and place of burial or commemoration, is contained in Appendix 1. </w:t>
      </w:r>
    </w:p>
    <w:p w:rsidR="00B70622" w:rsidRDefault="00B70622" w:rsidP="00B70622">
      <w:pPr>
        <w:spacing w:line="480" w:lineRule="auto"/>
        <w:ind w:firstLine="720"/>
        <w:jc w:val="both"/>
      </w:pPr>
    </w:p>
    <w:p w:rsidR="00B70622" w:rsidRDefault="00B70622" w:rsidP="00B70622">
      <w:pPr>
        <w:spacing w:line="480" w:lineRule="auto"/>
        <w:ind w:firstLine="720"/>
        <w:jc w:val="both"/>
      </w:pPr>
      <w:r>
        <w:t xml:space="preserve">Most communities in west </w:t>
      </w:r>
      <w:smartTag w:uri="urn:schemas-microsoft-com:office:smarttags" w:element="country-region">
        <w:smartTag w:uri="urn:schemas-microsoft-com:office:smarttags" w:element="place">
          <w:r>
            <w:t>Wales</w:t>
          </w:r>
        </w:smartTag>
      </w:smartTag>
      <w:r>
        <w:t xml:space="preserve"> did choose to list their dead on a communal memorial, and, allowing for the repeating of names or communal overlap (that is the same name appearing on two or more memorials), the extent of the suffering is more apparent. A random selection of these memorials in communities ranging from small hamlets to the larger towns highlights the numbers involved. Memorials in hamlets or small villages such as </w:t>
      </w:r>
      <w:proofErr w:type="spellStart"/>
      <w:r>
        <w:t>Puncheston</w:t>
      </w:r>
      <w:proofErr w:type="spellEnd"/>
      <w:r>
        <w:t xml:space="preserve"> near </w:t>
      </w:r>
      <w:proofErr w:type="spellStart"/>
      <w:r>
        <w:t>Fishguard</w:t>
      </w:r>
      <w:proofErr w:type="spellEnd"/>
      <w:r>
        <w:t xml:space="preserve">, </w:t>
      </w:r>
      <w:proofErr w:type="spellStart"/>
      <w:r>
        <w:t>Marros</w:t>
      </w:r>
      <w:proofErr w:type="spellEnd"/>
      <w:r>
        <w:t xml:space="preserve"> near </w:t>
      </w:r>
      <w:smartTag w:uri="urn:schemas-microsoft-com:office:smarttags" w:element="place">
        <w:r>
          <w:t>Carmarthen</w:t>
        </w:r>
      </w:smartTag>
      <w:r>
        <w:t xml:space="preserve">, or </w:t>
      </w:r>
      <w:proofErr w:type="spellStart"/>
      <w:r>
        <w:t>Cenarth</w:t>
      </w:r>
      <w:proofErr w:type="spellEnd"/>
      <w:r>
        <w:t xml:space="preserve"> near Newcastle Emlyn, commemorate three, two and four fatalities respectively. Larger villages of a few hundred inhabitants such as </w:t>
      </w:r>
      <w:proofErr w:type="spellStart"/>
      <w:r>
        <w:t>Clynderwen</w:t>
      </w:r>
      <w:proofErr w:type="spellEnd"/>
      <w:r>
        <w:t xml:space="preserve"> near Narberth, </w:t>
      </w:r>
      <w:proofErr w:type="spellStart"/>
      <w:r>
        <w:t>Pontrhydfendigaid</w:t>
      </w:r>
      <w:proofErr w:type="spellEnd"/>
      <w:r>
        <w:t xml:space="preserve"> near Aberystwyth, or </w:t>
      </w:r>
      <w:proofErr w:type="spellStart"/>
      <w:r>
        <w:t>Llansadwrn</w:t>
      </w:r>
      <w:proofErr w:type="spellEnd"/>
      <w:r>
        <w:t xml:space="preserve"> near Llandovery, erected memorials holding ten, twelve, and eleven names respectively. A word of caution - some communal projects chose to include the fallen of </w:t>
      </w:r>
      <w:r>
        <w:lastRenderedPageBreak/>
        <w:t xml:space="preserve">multiple parishes on just one memorial erected in the largest or most central village. An example is </w:t>
      </w:r>
      <w:proofErr w:type="spellStart"/>
      <w:r>
        <w:t>Manorbier</w:t>
      </w:r>
      <w:proofErr w:type="spellEnd"/>
      <w:r>
        <w:t xml:space="preserve"> near Tenby, where the memorial holds twice the names that appear on memorials in the similar sized villages mentioned above, but also includes the fallen of </w:t>
      </w:r>
      <w:proofErr w:type="spellStart"/>
      <w:r>
        <w:t>Manorbier</w:t>
      </w:r>
      <w:proofErr w:type="spellEnd"/>
      <w:r>
        <w:t xml:space="preserve"> Newton, </w:t>
      </w:r>
      <w:proofErr w:type="spellStart"/>
      <w:r>
        <w:t>Jameston</w:t>
      </w:r>
      <w:proofErr w:type="spellEnd"/>
      <w:r>
        <w:t xml:space="preserve"> and </w:t>
      </w:r>
      <w:proofErr w:type="spellStart"/>
      <w:r>
        <w:t>Lydstep</w:t>
      </w:r>
      <w:proofErr w:type="spellEnd"/>
      <w:r>
        <w:t xml:space="preserve">. It is a timely reminder that, as well as village, borough or county, communal war memorials could represent a parish, multiple parishes, or even districts. All types are studied in this work.  </w:t>
      </w:r>
    </w:p>
    <w:p w:rsidR="00B70622" w:rsidRDefault="00B70622" w:rsidP="00B70622">
      <w:pPr>
        <w:spacing w:line="480" w:lineRule="auto"/>
        <w:ind w:left="540" w:firstLine="720"/>
        <w:jc w:val="both"/>
      </w:pPr>
    </w:p>
    <w:p w:rsidR="00B70622" w:rsidRDefault="00B70622" w:rsidP="00B70622">
      <w:pPr>
        <w:spacing w:line="480" w:lineRule="auto"/>
        <w:ind w:firstLine="720"/>
        <w:jc w:val="both"/>
      </w:pPr>
      <w:r>
        <w:t xml:space="preserve">The numbers commemorated on town memorials in west Wales range from </w:t>
      </w:r>
      <w:proofErr w:type="spellStart"/>
      <w:r>
        <w:t>Lampeter</w:t>
      </w:r>
      <w:proofErr w:type="spellEnd"/>
      <w:r>
        <w:t xml:space="preserve"> and </w:t>
      </w:r>
      <w:proofErr w:type="spellStart"/>
      <w:r>
        <w:t>Fishguard</w:t>
      </w:r>
      <w:proofErr w:type="spellEnd"/>
      <w:r>
        <w:t xml:space="preserve">, where memorials hold the names of forty-one and sixty-two fatalities respectively, to Pembroke and Aberystwyth, holding eighty-five and one hundred and ten respectively, to the largest town in the three counties, Llanelli, where the memorial commemorates six hundred and fifty-one servicemen. Again it is important to identify the geographical sweep involved in each memorial project. Moving the focus to the county dead and hence to the overall figure for the area, the Pembrokeshire memorial at </w:t>
      </w:r>
      <w:proofErr w:type="spellStart"/>
      <w:r>
        <w:t>Haverfordwest</w:t>
      </w:r>
      <w:proofErr w:type="spellEnd"/>
      <w:r>
        <w:t xml:space="preserve"> lists twelve hundred names, while the Carmarthenshire memorial commemorates nineteen hundred and thirteen fatalities. As Cardiganshire does not boast a county-based memorial, the estimate of around one </w:t>
      </w:r>
    </w:p>
    <w:p w:rsidR="00B70622" w:rsidRDefault="00B70622" w:rsidP="00B70622">
      <w:pPr>
        <w:spacing w:line="480" w:lineRule="auto"/>
        <w:ind w:firstLine="720"/>
        <w:jc w:val="both"/>
      </w:pPr>
    </w:p>
    <w:p w:rsidR="00B70622" w:rsidRDefault="00B70622" w:rsidP="00B70622">
      <w:pPr>
        <w:spacing w:line="480" w:lineRule="auto"/>
        <w:ind w:firstLine="720"/>
        <w:jc w:val="both"/>
      </w:pPr>
    </w:p>
    <w:p w:rsidR="00B70622" w:rsidRDefault="00B70622" w:rsidP="00B70622">
      <w:pPr>
        <w:spacing w:line="480" w:lineRule="auto"/>
        <w:jc w:val="both"/>
      </w:pPr>
      <w:r>
        <w:t>thousand fatalities is based upon the information on the war memorials throughout the county.</w:t>
      </w:r>
      <w:r w:rsidRPr="00004A9D">
        <w:rPr>
          <w:vertAlign w:val="superscript"/>
        </w:rPr>
        <w:t>29</w:t>
      </w:r>
      <w:r>
        <w:t xml:space="preserve">  </w:t>
      </w:r>
    </w:p>
    <w:p w:rsidR="00B70622" w:rsidRDefault="00B70622" w:rsidP="00B70622">
      <w:pPr>
        <w:jc w:val="both"/>
        <w:rPr>
          <w:sz w:val="20"/>
          <w:szCs w:val="20"/>
        </w:rPr>
      </w:pPr>
    </w:p>
    <w:p w:rsidR="00B70622" w:rsidRDefault="00B70622" w:rsidP="00B70622">
      <w:pPr>
        <w:spacing w:line="480" w:lineRule="auto"/>
        <w:jc w:val="both"/>
        <w:rPr>
          <w:vertAlign w:val="superscript"/>
        </w:rPr>
      </w:pPr>
      <w:r>
        <w:tab/>
        <w:t>An analysis of county casualties, against the 1921 Census Report, can compare local losses with the national figure of 1.6, as the percentage of the population in Britain and Ireland who perished in the Great War.</w:t>
      </w:r>
      <w:r w:rsidRPr="005B29CE">
        <w:rPr>
          <w:vertAlign w:val="superscript"/>
        </w:rPr>
        <w:t>30</w:t>
      </w:r>
      <w:r>
        <w:t xml:space="preserve"> Carmarthenshire, with a population of 175,073 in 1921,</w:t>
      </w:r>
      <w:r w:rsidRPr="0012562F">
        <w:rPr>
          <w:vertAlign w:val="superscript"/>
        </w:rPr>
        <w:t>31</w:t>
      </w:r>
      <w:r>
        <w:t xml:space="preserve"> records a loss of 1.1% based on the original total, and of 1.5% on the updated figure </w:t>
      </w:r>
      <w:r>
        <w:lastRenderedPageBreak/>
        <w:t xml:space="preserve">(see note 29). Pembrokeshire, with a population of 91,978, records a loss of 1.3%. Cardiganshire, with a population of 60,881, records a loss of 1.6%, on the figure of one thousand deaths, reflecting the nationally figure. </w:t>
      </w:r>
    </w:p>
    <w:p w:rsidR="00B70622" w:rsidRPr="005B29CE" w:rsidRDefault="00B70622" w:rsidP="00B70622">
      <w:pPr>
        <w:jc w:val="both"/>
      </w:pPr>
    </w:p>
    <w:p w:rsidR="00B70622" w:rsidRPr="004E67B3" w:rsidRDefault="00B70622" w:rsidP="00B70622">
      <w:pPr>
        <w:spacing w:line="480" w:lineRule="auto"/>
        <w:jc w:val="both"/>
      </w:pPr>
      <w:r w:rsidRPr="008A01F6">
        <w:t>3</w:t>
      </w:r>
      <w:r>
        <w:rPr>
          <w:sz w:val="20"/>
          <w:szCs w:val="20"/>
        </w:rPr>
        <w:t>.</w:t>
      </w:r>
      <w:r>
        <w:t>4</w:t>
      </w:r>
      <w:r w:rsidRPr="004E67B3">
        <w:t xml:space="preserve">   </w:t>
      </w:r>
      <w:r w:rsidRPr="00DD40E4">
        <w:rPr>
          <w:u w:val="single"/>
        </w:rPr>
        <w:t xml:space="preserve">ASSESSING ASPECTS OF THE WAR AND </w:t>
      </w:r>
      <w:smartTag w:uri="urn:schemas-microsoft-com:office:smarttags" w:element="place">
        <w:r w:rsidRPr="00DD40E4">
          <w:rPr>
            <w:u w:val="single"/>
          </w:rPr>
          <w:t>WEST WALES</w:t>
        </w:r>
      </w:smartTag>
    </w:p>
    <w:p w:rsidR="00B70622" w:rsidRDefault="00B70622" w:rsidP="00B70622">
      <w:pPr>
        <w:spacing w:line="480" w:lineRule="auto"/>
        <w:ind w:firstLine="720"/>
        <w:jc w:val="center"/>
        <w:rPr>
          <w:u w:val="single"/>
        </w:rPr>
      </w:pPr>
    </w:p>
    <w:p w:rsidR="00B70622" w:rsidRPr="00B655C1" w:rsidRDefault="00B70622" w:rsidP="00B70622">
      <w:pPr>
        <w:spacing w:line="480" w:lineRule="auto"/>
        <w:jc w:val="both"/>
      </w:pPr>
      <w:r>
        <w:tab/>
        <w:t xml:space="preserve">Factors such as the extent of anti-war feelings, industrial unrest, increasing national awareness, and the importance of the Welsh language will come into play during the following study into the commemoration process throughout the diverse communities of west </w:t>
      </w:r>
      <w:smartTag w:uri="urn:schemas-microsoft-com:office:smarttags" w:element="country-region">
        <w:smartTag w:uri="urn:schemas-microsoft-com:office:smarttags" w:element="place">
          <w:r>
            <w:t>Wales</w:t>
          </w:r>
        </w:smartTag>
      </w:smartTag>
      <w:r>
        <w:t xml:space="preserve">. Did discontent about the war, (perhaps directed by the Nonconformist establishment), ever present in Carmarthenshire according to Robin Barlow, while permeating the post-war mood according to Kenneth Morgan, impact </w:t>
      </w:r>
      <w:r>
        <w:rPr>
          <w:sz w:val="20"/>
          <w:szCs w:val="20"/>
        </w:rPr>
        <w:t>_________________________</w:t>
      </w:r>
    </w:p>
    <w:p w:rsidR="00B70622" w:rsidRDefault="00B70622" w:rsidP="00B70622">
      <w:pPr>
        <w:jc w:val="both"/>
        <w:rPr>
          <w:sz w:val="20"/>
          <w:szCs w:val="20"/>
        </w:rPr>
      </w:pPr>
      <w:r w:rsidRPr="00D111AB">
        <w:rPr>
          <w:sz w:val="20"/>
          <w:szCs w:val="20"/>
        </w:rPr>
        <w:t>29.</w:t>
      </w:r>
      <w:r>
        <w:rPr>
          <w:sz w:val="20"/>
          <w:szCs w:val="20"/>
        </w:rPr>
        <w:t xml:space="preserve"> </w:t>
      </w:r>
      <w:r w:rsidRPr="00D111AB">
        <w:rPr>
          <w:sz w:val="20"/>
          <w:szCs w:val="20"/>
        </w:rPr>
        <w:t xml:space="preserve">The Carmarthenshire figure is taken from the website, </w:t>
      </w:r>
      <w:r w:rsidRPr="00D111AB">
        <w:rPr>
          <w:sz w:val="20"/>
          <w:szCs w:val="20"/>
          <w:u w:val="single"/>
        </w:rPr>
        <w:t xml:space="preserve">Carmarthen </w:t>
      </w:r>
      <w:smartTag w:uri="urn:schemas-microsoft-com:office:smarttags" w:element="place">
        <w:smartTag w:uri="urn:schemas-microsoft-com:office:smarttags" w:element="PlaceType">
          <w:r w:rsidRPr="00D111AB">
            <w:rPr>
              <w:sz w:val="20"/>
              <w:szCs w:val="20"/>
              <w:u w:val="single"/>
            </w:rPr>
            <w:t>County</w:t>
          </w:r>
        </w:smartTag>
        <w:r w:rsidRPr="00D111AB">
          <w:rPr>
            <w:sz w:val="20"/>
            <w:szCs w:val="20"/>
            <w:u w:val="single"/>
          </w:rPr>
          <w:t xml:space="preserve"> </w:t>
        </w:r>
        <w:smartTag w:uri="urn:schemas-microsoft-com:office:smarttags" w:element="PlaceName">
          <w:r w:rsidRPr="00D111AB">
            <w:rPr>
              <w:sz w:val="20"/>
              <w:szCs w:val="20"/>
              <w:u w:val="single"/>
            </w:rPr>
            <w:t>War</w:t>
          </w:r>
        </w:smartTag>
      </w:smartTag>
      <w:r w:rsidRPr="00D111AB">
        <w:rPr>
          <w:sz w:val="20"/>
          <w:szCs w:val="20"/>
          <w:u w:val="single"/>
        </w:rPr>
        <w:t xml:space="preserve"> Memorial</w:t>
      </w:r>
      <w:r w:rsidRPr="00D111AB">
        <w:rPr>
          <w:sz w:val="20"/>
          <w:szCs w:val="20"/>
        </w:rPr>
        <w:t>.&lt;http://</w:t>
      </w:r>
      <w:hyperlink r:id="rId6" w:history="1">
        <w:r w:rsidRPr="00D111AB">
          <w:rPr>
            <w:rStyle w:val="Hyperlink"/>
            <w:sz w:val="20"/>
            <w:szCs w:val="20"/>
          </w:rPr>
          <w:t>www.laugharnewarmemorial.co.uk</w:t>
        </w:r>
      </w:hyperlink>
      <w:r w:rsidRPr="00D111AB">
        <w:rPr>
          <w:sz w:val="20"/>
          <w:szCs w:val="20"/>
        </w:rPr>
        <w:t>/&gt;</w:t>
      </w:r>
      <w:r>
        <w:rPr>
          <w:sz w:val="20"/>
          <w:szCs w:val="20"/>
        </w:rPr>
        <w:t xml:space="preserve">, and dates from the 1920s. The site also quotes an updated figure of 2700 that relies upon more recent research, but does warn of possible discrepancies due to the duplication of names on two or more memorials. Likewise the estimate for Cardiganshire is also subject to similar possible discrepancies, as well as uncertainty over where exactly to include the dead from some communities that border Carmarthenshire. </w:t>
      </w:r>
    </w:p>
    <w:p w:rsidR="00B70622" w:rsidRPr="003E666C" w:rsidRDefault="00B70622" w:rsidP="00B70622">
      <w:pPr>
        <w:jc w:val="both"/>
      </w:pPr>
      <w:r w:rsidRPr="00B655C1">
        <w:rPr>
          <w:sz w:val="18"/>
          <w:szCs w:val="18"/>
        </w:rPr>
        <w:t>30.</w:t>
      </w:r>
      <w:r>
        <w:t xml:space="preserve"> </w:t>
      </w:r>
      <w:r w:rsidRPr="0012562F">
        <w:rPr>
          <w:sz w:val="20"/>
          <w:szCs w:val="20"/>
        </w:rPr>
        <w:t xml:space="preserve">See Winter, Jay, </w:t>
      </w:r>
      <w:r w:rsidRPr="0012562F">
        <w:rPr>
          <w:i/>
          <w:sz w:val="20"/>
          <w:szCs w:val="20"/>
        </w:rPr>
        <w:t>The Great War and the British People</w:t>
      </w:r>
      <w:r w:rsidRPr="0012562F">
        <w:rPr>
          <w:sz w:val="20"/>
          <w:szCs w:val="20"/>
        </w:rPr>
        <w:t xml:space="preserve"> (London: Macmillan, 1986), p.75, quoted in </w:t>
      </w:r>
      <w:smartTag w:uri="urn:schemas-microsoft-com:office:smarttags" w:element="place">
        <w:smartTag w:uri="urn:schemas-microsoft-com:office:smarttags" w:element="City">
          <w:r w:rsidRPr="0012562F">
            <w:rPr>
              <w:sz w:val="20"/>
              <w:szCs w:val="20"/>
            </w:rPr>
            <w:t>Ferguson</w:t>
          </w:r>
        </w:smartTag>
      </w:smartTag>
      <w:r w:rsidRPr="0012562F">
        <w:rPr>
          <w:sz w:val="20"/>
          <w:szCs w:val="20"/>
        </w:rPr>
        <w:t xml:space="preserve">, Niall, </w:t>
      </w:r>
      <w:r w:rsidRPr="0012562F">
        <w:rPr>
          <w:i/>
          <w:sz w:val="20"/>
          <w:szCs w:val="20"/>
        </w:rPr>
        <w:t>The Pity of War</w:t>
      </w:r>
      <w:r w:rsidRPr="0012562F">
        <w:rPr>
          <w:sz w:val="20"/>
          <w:szCs w:val="20"/>
        </w:rPr>
        <w:t xml:space="preserve"> (London: Penguin, 1999</w:t>
      </w:r>
      <w:r>
        <w:t xml:space="preserve">), </w:t>
      </w:r>
      <w:r w:rsidRPr="0012562F">
        <w:rPr>
          <w:sz w:val="20"/>
          <w:szCs w:val="20"/>
        </w:rPr>
        <w:t>p.299.</w:t>
      </w:r>
    </w:p>
    <w:p w:rsidR="00B70622" w:rsidRDefault="00B70622" w:rsidP="00B70622">
      <w:pPr>
        <w:jc w:val="both"/>
        <w:rPr>
          <w:sz w:val="20"/>
          <w:szCs w:val="20"/>
        </w:rPr>
      </w:pPr>
      <w:r>
        <w:rPr>
          <w:sz w:val="20"/>
          <w:szCs w:val="20"/>
        </w:rPr>
        <w:t xml:space="preserve">31. </w:t>
      </w:r>
      <w:r w:rsidRPr="00CF0E69">
        <w:rPr>
          <w:sz w:val="20"/>
          <w:szCs w:val="20"/>
        </w:rPr>
        <w:t>The</w:t>
      </w:r>
      <w:r>
        <w:rPr>
          <w:sz w:val="20"/>
          <w:szCs w:val="20"/>
        </w:rPr>
        <w:t xml:space="preserve"> </w:t>
      </w:r>
      <w:r w:rsidRPr="00CF0E69">
        <w:rPr>
          <w:sz w:val="20"/>
          <w:szCs w:val="20"/>
        </w:rPr>
        <w:t xml:space="preserve">1921 census population figures, for all three counties, </w:t>
      </w:r>
      <w:r>
        <w:rPr>
          <w:sz w:val="20"/>
          <w:szCs w:val="20"/>
        </w:rPr>
        <w:t>are</w:t>
      </w:r>
      <w:r w:rsidRPr="00CF0E69">
        <w:rPr>
          <w:sz w:val="20"/>
          <w:szCs w:val="20"/>
        </w:rPr>
        <w:t xml:space="preserve"> taken from the website </w:t>
      </w:r>
      <w:hyperlink r:id="rId7" w:history="1">
        <w:r w:rsidRPr="00F016E1">
          <w:rPr>
            <w:rStyle w:val="Hyperlink"/>
            <w:sz w:val="20"/>
            <w:szCs w:val="20"/>
          </w:rPr>
          <w:t>www.visionofbritain.org.uk/census</w:t>
        </w:r>
      </w:hyperlink>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346714" w:rsidRDefault="00346714" w:rsidP="00B70622">
      <w:pPr>
        <w:spacing w:line="480" w:lineRule="auto"/>
        <w:jc w:val="both"/>
      </w:pPr>
    </w:p>
    <w:p w:rsidR="00B70622" w:rsidRDefault="00B70622" w:rsidP="00B70622">
      <w:pPr>
        <w:spacing w:line="480" w:lineRule="auto"/>
        <w:jc w:val="both"/>
      </w:pPr>
      <w:proofErr w:type="gramStart"/>
      <w:r>
        <w:lastRenderedPageBreak/>
        <w:t>upon</w:t>
      </w:r>
      <w:proofErr w:type="gramEnd"/>
      <w:r>
        <w:t xml:space="preserve"> the commemoration process? Alternatively, did those controlling events locally ensure an unproblematic process, free of discontent and disorder? How did the industrial unrest in the anthracite coalfields impact upon commemoration? What of the views and influence of Morgan’s detached and critical soldiers (see note 23 above), or the bereaved families? For Barlow, ‘one striking feature of the debate over war memorials in Carmarthenshire is the lack of any significant input from ex-servicemen’.</w:t>
      </w:r>
      <w:r>
        <w:rPr>
          <w:vertAlign w:val="superscript"/>
        </w:rPr>
        <w:t>32</w:t>
      </w:r>
      <w:r w:rsidRPr="002074BA">
        <w:rPr>
          <w:vertAlign w:val="superscript"/>
        </w:rPr>
        <w:t xml:space="preserve"> </w:t>
      </w:r>
      <w:r>
        <w:t xml:space="preserve"> </w:t>
      </w:r>
    </w:p>
    <w:p w:rsidR="00B70622" w:rsidRDefault="00B70622" w:rsidP="00B70622">
      <w:pPr>
        <w:spacing w:line="480" w:lineRule="auto"/>
        <w:ind w:firstLine="720"/>
        <w:jc w:val="both"/>
      </w:pPr>
    </w:p>
    <w:p w:rsidR="00B70622" w:rsidRDefault="00B70622" w:rsidP="00B70622">
      <w:pPr>
        <w:spacing w:line="480" w:lineRule="auto"/>
        <w:ind w:firstLine="720"/>
        <w:jc w:val="both"/>
      </w:pPr>
      <w:r>
        <w:t xml:space="preserve">The subject of increasing national awareness raises questions over the use of the Welsh language and the extent of, what can be termed, </w:t>
      </w:r>
      <w:proofErr w:type="spellStart"/>
      <w:r>
        <w:t>Welshness</w:t>
      </w:r>
      <w:proofErr w:type="spellEnd"/>
      <w:r>
        <w:t xml:space="preserve">, evident in the commemoration process, as opposed to the omnipresence of the rhetoric of patriotism towards King, country and Empire, namely Britishness. This is particularly relevant regarding the language and ritual used on inscriptions and in unveiling addresses. Did there exist a clear-cut dichotomy between the way the Welsh core communities of rural Cardiganshire approached the commemoration process, as opposed to a more anglicised coastal community, such as </w:t>
      </w:r>
      <w:proofErr w:type="spellStart"/>
      <w:r>
        <w:t>Aberaeron</w:t>
      </w:r>
      <w:proofErr w:type="spellEnd"/>
      <w:r>
        <w:t>, or differences between the actions of those in the Welsh-speaking communities of north Pembrokeshire and those in the anglicised south? Or were there ‘ambiguities inherent in any definition of Welsh national identity’?</w:t>
      </w:r>
      <w:r w:rsidRPr="007C1B8D">
        <w:rPr>
          <w:vertAlign w:val="superscript"/>
        </w:rPr>
        <w:t>3</w:t>
      </w:r>
      <w:r>
        <w:rPr>
          <w:vertAlign w:val="superscript"/>
        </w:rPr>
        <w:t>3</w:t>
      </w:r>
    </w:p>
    <w:p w:rsidR="00B70622" w:rsidRDefault="00B70622" w:rsidP="00B70622">
      <w:pPr>
        <w:jc w:val="both"/>
        <w:rPr>
          <w:sz w:val="20"/>
          <w:szCs w:val="20"/>
        </w:rPr>
      </w:pPr>
    </w:p>
    <w:p w:rsidR="00B70622" w:rsidRDefault="00B70622" w:rsidP="00B70622">
      <w:pPr>
        <w:jc w:val="both"/>
        <w:rPr>
          <w:sz w:val="20"/>
          <w:szCs w:val="20"/>
        </w:rPr>
      </w:pPr>
    </w:p>
    <w:p w:rsidR="00B70622" w:rsidRDefault="00B70622" w:rsidP="00B70622">
      <w:pPr>
        <w:jc w:val="both"/>
        <w:rPr>
          <w:sz w:val="20"/>
          <w:szCs w:val="20"/>
        </w:rPr>
      </w:pPr>
    </w:p>
    <w:p w:rsidR="00B70622" w:rsidRDefault="00B70622" w:rsidP="00B70622">
      <w:pPr>
        <w:jc w:val="both"/>
        <w:rPr>
          <w:sz w:val="20"/>
          <w:szCs w:val="20"/>
        </w:rPr>
      </w:pPr>
      <w:r>
        <w:rPr>
          <w:sz w:val="20"/>
          <w:szCs w:val="20"/>
        </w:rPr>
        <w:t>_________________________</w:t>
      </w:r>
    </w:p>
    <w:p w:rsidR="00B70622" w:rsidRDefault="00B70622" w:rsidP="00B70622">
      <w:pPr>
        <w:jc w:val="both"/>
        <w:rPr>
          <w:sz w:val="20"/>
          <w:szCs w:val="20"/>
        </w:rPr>
      </w:pPr>
    </w:p>
    <w:p w:rsidR="00B70622" w:rsidRDefault="00B70622" w:rsidP="00B70622">
      <w:pPr>
        <w:jc w:val="both"/>
        <w:rPr>
          <w:sz w:val="20"/>
          <w:szCs w:val="20"/>
        </w:rPr>
      </w:pPr>
      <w:r>
        <w:rPr>
          <w:sz w:val="20"/>
          <w:szCs w:val="20"/>
        </w:rPr>
        <w:t xml:space="preserve">32.  </w:t>
      </w:r>
      <w:r w:rsidRPr="002074BA">
        <w:rPr>
          <w:sz w:val="20"/>
          <w:szCs w:val="20"/>
        </w:rPr>
        <w:t>Barlow, p.304</w:t>
      </w:r>
    </w:p>
    <w:p w:rsidR="00B70622" w:rsidRDefault="00B70622" w:rsidP="00B70622">
      <w:pPr>
        <w:numPr>
          <w:ilvl w:val="0"/>
          <w:numId w:val="1"/>
        </w:numPr>
        <w:jc w:val="both"/>
      </w:pPr>
      <w:r w:rsidRPr="000E7A99">
        <w:rPr>
          <w:sz w:val="20"/>
          <w:szCs w:val="20"/>
        </w:rPr>
        <w:t>Gaffney,  p.171</w:t>
      </w:r>
      <w:r>
        <w:t>.</w:t>
      </w:r>
    </w:p>
    <w:p w:rsidR="00B70622" w:rsidRDefault="00B70622" w:rsidP="00B70622">
      <w:pPr>
        <w:jc w:val="both"/>
      </w:pPr>
    </w:p>
    <w:p w:rsidR="00B70622" w:rsidRDefault="00B70622" w:rsidP="00B70622">
      <w:pPr>
        <w:jc w:val="both"/>
      </w:pPr>
    </w:p>
    <w:p w:rsidR="00C905B2" w:rsidRDefault="00C905B2"/>
    <w:sectPr w:rsidR="00C905B2" w:rsidSect="00C90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6438C"/>
    <w:multiLevelType w:val="hybridMultilevel"/>
    <w:tmpl w:val="E5A8E3FE"/>
    <w:lvl w:ilvl="0" w:tplc="0409000F">
      <w:start w:val="33"/>
      <w:numFmt w:val="decimal"/>
      <w:lvlText w:val="%1."/>
      <w:lvlJc w:val="left"/>
      <w:pPr>
        <w:tabs>
          <w:tab w:val="num" w:pos="360"/>
        </w:tabs>
        <w:ind w:left="360" w:hanging="360"/>
      </w:pPr>
      <w:rPr>
        <w:rFonts w:hint="default"/>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622"/>
    <w:rsid w:val="002400A6"/>
    <w:rsid w:val="00346714"/>
    <w:rsid w:val="005D1D8C"/>
    <w:rsid w:val="00742DA0"/>
    <w:rsid w:val="007A32F5"/>
    <w:rsid w:val="008411D2"/>
    <w:rsid w:val="00B70622"/>
    <w:rsid w:val="00C2210C"/>
    <w:rsid w:val="00C905B2"/>
    <w:rsid w:val="00FA1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6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706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6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706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visionofbritain.org.uk/cens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ugharnewarmemorial.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4459</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dcterms:created xsi:type="dcterms:W3CDTF">2020-03-23T12:42:00Z</dcterms:created>
  <dcterms:modified xsi:type="dcterms:W3CDTF">2020-03-23T12:42:00Z</dcterms:modified>
</cp:coreProperties>
</file>