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21440541"/>
        <w:docPartObj>
          <w:docPartGallery w:val="AutoText"/>
        </w:docPartObj>
      </w:sdtPr>
      <w:sdtContent>
        <w:p>
          <w:r>
            <w:rPr>
              <w:lang w:val="en-GB" w:eastAsia="en-GB"/>
            </w:rPr>
            <mc:AlternateContent>
              <mc:Choice Requires="wps">
                <w:drawing>
                  <wp:anchor distT="0" distB="0" distL="114300" distR="114300" simplePos="0" relativeHeight="251662336" behindDoc="1" locked="0" layoutInCell="1" allowOverlap="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2"/>
                                  <w:tblW w:w="5000" w:type="pct"/>
                                  <w:tblDescription w:val="Cover page layout"/>
                                  <w:tblInd w:w="0" w:type="dxa"/>
                                  <w:tblLayout w:type="autofit"/>
                                  <w:tblCellMar>
                                    <w:top w:w="0" w:type="dxa"/>
                                    <w:left w:w="0" w:type="dxa"/>
                                    <w:bottom w:w="0" w:type="dxa"/>
                                    <w:right w:w="0" w:type="dxa"/>
                                  </w:tblCellMar>
                                </w:tblPr>
                                <w:tblGrid>
                                  <w:gridCol w:w="10790"/>
                                </w:tblGrid>
                                <w:tr>
                                  <w:trPr>
                                    <w:trHeight w:val="9360" w:hRule="exact"/>
                                  </w:trPr>
                                  <w:tc>
                                    <w:tcPr>
                                      <w:tcW w:w="9350" w:type="dxa"/>
                                    </w:tcPr>
                                    <w:p>
                                      <w:r>
                                        <w:rPr>
                                          <w:lang w:val="en-GB" w:eastAsia="en-GB"/>
                                        </w:rPr>
                                        <w:drawing>
                                          <wp:inline distT="0" distB="0" distL="0" distR="0">
                                            <wp:extent cx="6858000" cy="5961380"/>
                                            <wp:effectExtent l="0" t="0" r="0" b="1270"/>
                                            <wp:docPr id="940208494"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40208494" name="Picture 4" descr="Photo displaying partial image of two pie charts on a canvas-textured page"/>
                                                    <pic:cNvPicPr/>
                                                  </pic:nvPicPr>
                                                  <pic:blipFill>
                                                    <a:blip r:embed="rId14" cstate="print">
                                                      <a:extLst>
                                                        <a:ext uri="{28A0092B-C50C-407E-A947-70E740481C1C}">
                                                          <a14:useLocalDpi xmlns:a14="http://schemas.microsoft.com/office/drawing/2010/main" val="0"/>
                                                        </a:ext>
                                                      </a:extLst>
                                                    </a:blip>
                                                    <a:srcRect l="18915" t="2451" r="22299" b="20665"/>
                                                    <a:stretch>
                                                      <a:fillRect/>
                                                    </a:stretch>
                                                  </pic:blipFill>
                                                  <pic:spPr>
                                                    <a:xfrm>
                                                      <a:off x="0" y="0"/>
                                                      <a:ext cx="6858000" cy="5961888"/>
                                                    </a:xfrm>
                                                    <a:prstGeom prst="rect">
                                                      <a:avLst/>
                                                    </a:prstGeom>
                                                    <a:ln>
                                                      <a:noFill/>
                                                    </a:ln>
                                                  </pic:spPr>
                                                </pic:pic>
                                              </a:graphicData>
                                            </a:graphic>
                                          </wp:inline>
                                        </w:drawing>
                                      </w:r>
                                    </w:p>
                                  </w:tc>
                                </w:tr>
                                <w:tr>
                                  <w:trPr>
                                    <w:trHeight w:val="4320" w:hRule="exact"/>
                                  </w:trPr>
                                  <w:tc>
                                    <w:tcPr>
                                      <w:tcW w:w="9350" w:type="dxa"/>
                                      <w:shd w:val="clear" w:color="auto" w:fill="335B74" w:themeFill="text2"/>
                                      <w:vAlign w:val="center"/>
                                    </w:tcPr>
                                    <w:p>
                                      <w:pPr>
                                        <w:pStyle w:val="37"/>
                                        <w:spacing w:before="200" w:line="216" w:lineRule="auto"/>
                                        <w:ind w:left="720" w:right="720"/>
                                        <w:rPr>
                                          <w:rFonts w:ascii="Arial" w:hAnsi="Arial" w:cs="Arial"/>
                                          <w:color w:val="FFFFFF" w:themeColor="background1"/>
                                          <w:sz w:val="96"/>
                                          <w:szCs w:val="96"/>
                                          <w14:textFill>
                                            <w14:solidFill>
                                              <w14:schemeClr w14:val="bg1"/>
                                            </w14:solidFill>
                                          </w14:textFill>
                                        </w:rPr>
                                      </w:pPr>
                                      <w:sdt>
                                        <w:sdtPr>
                                          <w:rPr>
                                            <w:rFonts w:ascii="Arial" w:hAnsi="Arial" w:cs="Arial"/>
                                            <w:color w:val="FFFFFF" w:themeColor="background1"/>
                                            <w:sz w:val="48"/>
                                            <w:szCs w:val="96"/>
                                            <w14:textFill>
                                              <w14:solidFill>
                                                <w14:schemeClr w14:val="bg1"/>
                                              </w14:solidFill>
                                            </w14:textFill>
                                          </w:rPr>
                                          <w:alias w:val="Title"/>
                                          <w:id w:val="739824258"/>
                                          <w:placeholder>
                                            <w:docPart w:val="D63AB11511BB4182A3B6B8128FCE2813"/>
                                          </w:placeholder>
                                          <w:text/>
                                        </w:sdtPr>
                                        <w:sdtEndPr>
                                          <w:rPr>
                                            <w:rFonts w:ascii="Arial" w:hAnsi="Arial" w:cs="Arial"/>
                                            <w:color w:val="FFFFFF" w:themeColor="background1"/>
                                            <w:sz w:val="48"/>
                                            <w:szCs w:val="96"/>
                                            <w14:textFill>
                                              <w14:solidFill>
                                                <w14:schemeClr w14:val="bg1"/>
                                              </w14:solidFill>
                                            </w14:textFill>
                                          </w:rPr>
                                        </w:sdtEndPr>
                                        <w:sdtContent>
                                          <w:r>
                                            <w:rPr>
                                              <w:rFonts w:ascii="Arial" w:hAnsi="Arial" w:cs="Arial"/>
                                              <w:color w:val="FFFFFF" w:themeColor="background1"/>
                                              <w:sz w:val="48"/>
                                              <w:szCs w:val="96"/>
                                              <w14:textFill>
                                                <w14:solidFill>
                                                  <w14:schemeClr w14:val="bg1"/>
                                                </w14:solidFill>
                                              </w14:textFill>
                                            </w:rPr>
                                            <w:t>LCBB6002 International Financial Management Assessment 1</w:t>
                                          </w:r>
                                        </w:sdtContent>
                                      </w:sdt>
                                    </w:p>
                                    <w:p>
                                      <w:pPr>
                                        <w:pStyle w:val="37"/>
                                        <w:spacing w:before="240"/>
                                        <w:ind w:left="720" w:right="720"/>
                                        <w:rPr>
                                          <w:color w:val="FFFFFF" w:themeColor="background1"/>
                                          <w:sz w:val="32"/>
                                          <w:szCs w:val="32"/>
                                          <w14:textFill>
                                            <w14:solidFill>
                                              <w14:schemeClr w14:val="bg1"/>
                                            </w14:solidFill>
                                          </w14:textFill>
                                        </w:rPr>
                                      </w:pPr>
                                      <w:sdt>
                                        <w:sdtPr>
                                          <w:rPr>
                                            <w:color w:val="FFFFFF" w:themeColor="background1"/>
                                            <w:sz w:val="32"/>
                                            <w:szCs w:val="32"/>
                                            <w14:textFill>
                                              <w14:solidFill>
                                                <w14:schemeClr w14:val="bg1"/>
                                              </w14:solidFill>
                                            </w14:textFill>
                                          </w:rPr>
                                          <w:alias w:val="Subtitle"/>
                                          <w:id w:val="1143089448"/>
                                          <w:placeholder>
                                            <w:docPart w:val="E0773FA0DF8C4FC788173113885C42B4"/>
                                          </w:placeholder>
                                          <w:text/>
                                        </w:sdtPr>
                                        <w:sdtEndPr>
                                          <w:rPr>
                                            <w:color w:val="FFFFFF" w:themeColor="background1"/>
                                            <w:sz w:val="32"/>
                                            <w:szCs w:val="32"/>
                                            <w14:textFill>
                                              <w14:solidFill>
                                                <w14:schemeClr w14:val="bg1"/>
                                              </w14:solidFill>
                                            </w14:textFill>
                                          </w:rPr>
                                        </w:sdtEndPr>
                                        <w:sdtContent>
                                          <w:r>
                                            <w:rPr>
                                              <w:color w:val="FFFFFF" w:themeColor="background1"/>
                                              <w:sz w:val="32"/>
                                              <w:szCs w:val="32"/>
                                              <w14:textFill>
                                                <w14:solidFill>
                                                  <w14:schemeClr w14:val="bg1"/>
                                                </w14:solidFill>
                                              </w14:textFill>
                                            </w:rPr>
                                            <w:t>REPORT</w:t>
                                          </w:r>
                                        </w:sdtContent>
                                      </w:sdt>
                                    </w:p>
                                  </w:tc>
                                </w:tr>
                              </w:tbl>
                              <w:p/>
                            </w:txbxContent>
                          </wps:txbx>
                          <wps:bodyPr rot="0" spcFirstLastPara="0" vertOverflow="overflow" horzOverflow="overflow" vert="horz" wrap="square" lIns="0" tIns="0" rIns="0" bIns="0" numCol="1" spcCol="0" rtlCol="0" fromWordArt="0" anchor="t" anchorCtr="0" forceAA="0" compatLnSpc="1"/>
                        </wps:wsp>
                      </a:graphicData>
                    </a:graphic>
                  </wp:anchor>
                </w:drawing>
              </mc:Choice>
              <mc:Fallback>
                <w:pict>
                  <v:shape id="_x0000_s1026" o:spid="_x0000_s1026" o:spt="202" alt="Cover page layout" type="#_x0000_t202" style="position:absolute;left:0pt;height:720pt;width:540pt;mso-position-horizontal:center;mso-position-horizontal-relative:page;mso-position-vertical:center;mso-position-vertical-relative:page;z-index:-251654144;mso-width-relative:page;mso-height-relative:page;" filled="f" stroked="f" coordsize="21600,21600" o:allowoverlap="f" o:gfxdata="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W&#10;AAAAZHJzL1BLAQIUABQAAAAIAIdO4kDzqqlS0wAAAAcBAAAPAAAAAAAAAAEAIAAAADgAAABkcnMv&#10;ZG93bnJldi54bWxQSwECFAAUAAAACACHTuJALIKkaCsCAABkBAAADgAAAAAAAAABACAAAAA4AQAA&#10;ZHJzL2Uyb0RvYy54bWxQSwUGAAAAAAYABgBZAQAA1QUAAAAA&#10;">
                    <v:fill on="f" focussize="0,0"/>
                    <v:stroke on="f" weight="0.5pt"/>
                    <v:imagedata o:title=""/>
                    <o:lock v:ext="edit" aspectratio="f"/>
                    <v:textbox inset="0mm,0mm,0mm,0mm">
                      <w:txbxContent>
                        <w:tbl>
                          <w:tblPr>
                            <w:tblStyle w:val="12"/>
                            <w:tblW w:w="5000" w:type="pct"/>
                            <w:tblDescription w:val="Cover page layout"/>
                            <w:tblInd w:w="0" w:type="dxa"/>
                            <w:tblLayout w:type="autofit"/>
                            <w:tblCellMar>
                              <w:top w:w="0" w:type="dxa"/>
                              <w:left w:w="0" w:type="dxa"/>
                              <w:bottom w:w="0" w:type="dxa"/>
                              <w:right w:w="0" w:type="dxa"/>
                            </w:tblCellMar>
                          </w:tblPr>
                          <w:tblGrid>
                            <w:gridCol w:w="10790"/>
                          </w:tblGrid>
                          <w:tr>
                            <w:trPr>
                              <w:trHeight w:val="9360" w:hRule="exact"/>
                            </w:trPr>
                            <w:tc>
                              <w:tcPr>
                                <w:tcW w:w="9350" w:type="dxa"/>
                              </w:tcPr>
                              <w:p>
                                <w:r>
                                  <w:rPr>
                                    <w:lang w:val="en-GB" w:eastAsia="en-GB"/>
                                  </w:rPr>
                                  <w:drawing>
                                    <wp:inline distT="0" distB="0" distL="0" distR="0">
                                      <wp:extent cx="6858000" cy="5961380"/>
                                      <wp:effectExtent l="0" t="0" r="0" b="1270"/>
                                      <wp:docPr id="940208494"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940208494" name="Picture 4" descr="Photo displaying partial image of two pie charts on a canvas-textured page"/>
                                              <pic:cNvPicPr/>
                                            </pic:nvPicPr>
                                            <pic:blipFill>
                                              <a:blip r:embed="rId14" cstate="print">
                                                <a:extLst>
                                                  <a:ext uri="{28A0092B-C50C-407E-A947-70E740481C1C}">
                                                    <a14:useLocalDpi xmlns:a14="http://schemas.microsoft.com/office/drawing/2010/main" val="0"/>
                                                  </a:ext>
                                                </a:extLst>
                                              </a:blip>
                                              <a:srcRect l="18915" t="2451" r="22299" b="20665"/>
                                              <a:stretch>
                                                <a:fillRect/>
                                              </a:stretch>
                                            </pic:blipFill>
                                            <pic:spPr>
                                              <a:xfrm>
                                                <a:off x="0" y="0"/>
                                                <a:ext cx="6858000" cy="5961888"/>
                                              </a:xfrm>
                                              <a:prstGeom prst="rect">
                                                <a:avLst/>
                                              </a:prstGeom>
                                              <a:ln>
                                                <a:noFill/>
                                              </a:ln>
                                            </pic:spPr>
                                          </pic:pic>
                                        </a:graphicData>
                                      </a:graphic>
                                    </wp:inline>
                                  </w:drawing>
                                </w:r>
                              </w:p>
                            </w:tc>
                          </w:tr>
                          <w:tr>
                            <w:trPr>
                              <w:trHeight w:val="4320" w:hRule="exact"/>
                            </w:trPr>
                            <w:tc>
                              <w:tcPr>
                                <w:tcW w:w="9350" w:type="dxa"/>
                                <w:shd w:val="clear" w:color="auto" w:fill="335B74" w:themeFill="text2"/>
                                <w:vAlign w:val="center"/>
                              </w:tcPr>
                              <w:p>
                                <w:pPr>
                                  <w:pStyle w:val="37"/>
                                  <w:spacing w:before="200" w:line="216" w:lineRule="auto"/>
                                  <w:ind w:left="720" w:right="720"/>
                                  <w:rPr>
                                    <w:rFonts w:ascii="Arial" w:hAnsi="Arial" w:cs="Arial"/>
                                    <w:color w:val="FFFFFF" w:themeColor="background1"/>
                                    <w:sz w:val="96"/>
                                    <w:szCs w:val="96"/>
                                    <w14:textFill>
                                      <w14:solidFill>
                                        <w14:schemeClr w14:val="bg1"/>
                                      </w14:solidFill>
                                    </w14:textFill>
                                  </w:rPr>
                                </w:pPr>
                                <w:sdt>
                                  <w:sdtPr>
                                    <w:rPr>
                                      <w:rFonts w:ascii="Arial" w:hAnsi="Arial" w:cs="Arial"/>
                                      <w:color w:val="FFFFFF" w:themeColor="background1"/>
                                      <w:sz w:val="48"/>
                                      <w:szCs w:val="96"/>
                                      <w14:textFill>
                                        <w14:solidFill>
                                          <w14:schemeClr w14:val="bg1"/>
                                        </w14:solidFill>
                                      </w14:textFill>
                                    </w:rPr>
                                    <w:alias w:val="Title"/>
                                    <w:id w:val="739824258"/>
                                    <w:placeholder>
                                      <w:docPart w:val="D63AB11511BB4182A3B6B8128FCE2813"/>
                                    </w:placeholder>
                                    <w:text/>
                                  </w:sdtPr>
                                  <w:sdtEndPr>
                                    <w:rPr>
                                      <w:rFonts w:ascii="Arial" w:hAnsi="Arial" w:cs="Arial"/>
                                      <w:color w:val="FFFFFF" w:themeColor="background1"/>
                                      <w:sz w:val="48"/>
                                      <w:szCs w:val="96"/>
                                      <w14:textFill>
                                        <w14:solidFill>
                                          <w14:schemeClr w14:val="bg1"/>
                                        </w14:solidFill>
                                      </w14:textFill>
                                    </w:rPr>
                                  </w:sdtEndPr>
                                  <w:sdtContent>
                                    <w:r>
                                      <w:rPr>
                                        <w:rFonts w:ascii="Arial" w:hAnsi="Arial" w:cs="Arial"/>
                                        <w:color w:val="FFFFFF" w:themeColor="background1"/>
                                        <w:sz w:val="48"/>
                                        <w:szCs w:val="96"/>
                                        <w14:textFill>
                                          <w14:solidFill>
                                            <w14:schemeClr w14:val="bg1"/>
                                          </w14:solidFill>
                                        </w14:textFill>
                                      </w:rPr>
                                      <w:t>LCBB6002 International Financial Management Assessment 1</w:t>
                                    </w:r>
                                  </w:sdtContent>
                                </w:sdt>
                              </w:p>
                              <w:p>
                                <w:pPr>
                                  <w:pStyle w:val="37"/>
                                  <w:spacing w:before="240"/>
                                  <w:ind w:left="720" w:right="720"/>
                                  <w:rPr>
                                    <w:color w:val="FFFFFF" w:themeColor="background1"/>
                                    <w:sz w:val="32"/>
                                    <w:szCs w:val="32"/>
                                    <w14:textFill>
                                      <w14:solidFill>
                                        <w14:schemeClr w14:val="bg1"/>
                                      </w14:solidFill>
                                    </w14:textFill>
                                  </w:rPr>
                                </w:pPr>
                                <w:sdt>
                                  <w:sdtPr>
                                    <w:rPr>
                                      <w:color w:val="FFFFFF" w:themeColor="background1"/>
                                      <w:sz w:val="32"/>
                                      <w:szCs w:val="32"/>
                                      <w14:textFill>
                                        <w14:solidFill>
                                          <w14:schemeClr w14:val="bg1"/>
                                        </w14:solidFill>
                                      </w14:textFill>
                                    </w:rPr>
                                    <w:alias w:val="Subtitle"/>
                                    <w:id w:val="1143089448"/>
                                    <w:placeholder>
                                      <w:docPart w:val="E0773FA0DF8C4FC788173113885C42B4"/>
                                    </w:placeholder>
                                    <w:text/>
                                  </w:sdtPr>
                                  <w:sdtEndPr>
                                    <w:rPr>
                                      <w:color w:val="FFFFFF" w:themeColor="background1"/>
                                      <w:sz w:val="32"/>
                                      <w:szCs w:val="32"/>
                                      <w14:textFill>
                                        <w14:solidFill>
                                          <w14:schemeClr w14:val="bg1"/>
                                        </w14:solidFill>
                                      </w14:textFill>
                                    </w:rPr>
                                  </w:sdtEndPr>
                                  <w:sdtContent>
                                    <w:r>
                                      <w:rPr>
                                        <w:color w:val="FFFFFF" w:themeColor="background1"/>
                                        <w:sz w:val="32"/>
                                        <w:szCs w:val="32"/>
                                        <w14:textFill>
                                          <w14:solidFill>
                                            <w14:schemeClr w14:val="bg1"/>
                                          </w14:solidFill>
                                        </w14:textFill>
                                      </w:rPr>
                                      <w:t>REPORT</w:t>
                                    </w:r>
                                  </w:sdtContent>
                                </w:sdt>
                              </w:p>
                            </w:tc>
                          </w:tr>
                        </w:tbl>
                        <w:p/>
                      </w:txbxContent>
                    </v:textbox>
                  </v:shape>
                </w:pict>
              </mc:Fallback>
            </mc:AlternateContent>
          </w:r>
        </w:p>
        <w:p>
          <w:r>
            <w:br w:type="page"/>
          </w:r>
        </w:p>
      </w:sdtContent>
    </w:sdt>
    <w:p>
      <w:pPr>
        <w:rPr>
          <w:rFonts w:hint="default" w:ascii="Times New Roman Bold" w:hAnsi="Times New Roman Bold" w:cs="Times New Roman Bold"/>
          <w:b/>
          <w:bCs/>
          <w:sz w:val="44"/>
          <w:szCs w:val="44"/>
          <w:lang w:val="en-GB"/>
        </w:rPr>
      </w:pPr>
      <w:r>
        <w:rPr>
          <w:rFonts w:hint="default" w:ascii="Times New Roman Bold" w:hAnsi="Times New Roman Bold" w:cs="Times New Roman Bold"/>
          <w:b/>
          <w:bCs/>
          <w:sz w:val="44"/>
          <w:szCs w:val="44"/>
          <w:lang w:val="en-GB"/>
        </w:rPr>
        <w:t>Student name :  Stanislav Dragov</w:t>
      </w:r>
    </w:p>
    <w:p>
      <w:pPr>
        <w:rPr>
          <w:rFonts w:hint="default" w:ascii="Times New Roman Bold" w:hAnsi="Times New Roman Bold" w:cs="Times New Roman Bold"/>
          <w:b/>
          <w:bCs/>
          <w:sz w:val="44"/>
          <w:szCs w:val="44"/>
          <w:lang w:val="en-GB"/>
        </w:rPr>
      </w:pPr>
      <w:r>
        <w:rPr>
          <w:rFonts w:hint="default" w:ascii="Times New Roman Bold" w:hAnsi="Times New Roman Bold" w:cs="Times New Roman Bold"/>
          <w:b/>
          <w:bCs/>
          <w:sz w:val="44"/>
          <w:szCs w:val="44"/>
          <w:lang w:val="en-GB"/>
        </w:rPr>
        <w:t>Student ID : 1919084</w:t>
      </w:r>
    </w:p>
    <w:p>
      <w:pPr>
        <w:rPr>
          <w:rFonts w:hint="default" w:ascii="Times New Roman Bold" w:hAnsi="Times New Roman Bold" w:cs="Times New Roman Bold"/>
          <w:b/>
          <w:bCs/>
          <w:sz w:val="44"/>
          <w:szCs w:val="44"/>
          <w:lang w:val="en-GB"/>
        </w:rPr>
      </w:pPr>
      <w:r>
        <w:rPr>
          <w:rFonts w:hint="default" w:ascii="Times New Roman Bold" w:hAnsi="Times New Roman Bold" w:cs="Times New Roman Bold"/>
          <w:b/>
          <w:bCs/>
          <w:sz w:val="44"/>
          <w:szCs w:val="44"/>
          <w:lang w:val="en-GB"/>
        </w:rPr>
        <w:t>Program : Business Management</w:t>
      </w:r>
    </w:p>
    <w:p>
      <w:pP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lang w:val="en-GB"/>
        </w:rPr>
        <w:t>Module :</w:t>
      </w:r>
      <w:r>
        <w:rPr>
          <w:rFonts w:hint="default" w:ascii="Times New Roman Bold" w:hAnsi="Times New Roman Bold" w:cs="Times New Roman Bold"/>
          <w:b/>
          <w:bCs/>
          <w:sz w:val="44"/>
          <w:szCs w:val="44"/>
        </w:rPr>
        <w:t xml:space="preserve"> International Financial Management</w:t>
      </w:r>
      <w:bookmarkStart w:id="13" w:name="_GoBack"/>
      <w:bookmarkEnd w:id="13"/>
    </w:p>
    <w:p>
      <w:pPr>
        <w:rPr>
          <w:rFonts w:hint="default" w:ascii="Times New Roman Bold" w:hAnsi="Times New Roman Bold" w:cs="Times New Roman Bold"/>
          <w:b/>
          <w:bCs/>
          <w:sz w:val="44"/>
          <w:szCs w:val="44"/>
        </w:rPr>
      </w:pPr>
      <w:r>
        <w:rPr>
          <w:rFonts w:hint="default" w:ascii="Times New Roman Bold" w:hAnsi="Times New Roman Bold" w:cs="Times New Roman Bold"/>
          <w:b/>
          <w:bCs/>
          <w:sz w:val="44"/>
          <w:szCs w:val="44"/>
          <w:lang w:val="en-GB"/>
        </w:rPr>
        <w:t>Module code: LCBB</w:t>
      </w:r>
      <w:r>
        <w:rPr>
          <w:rFonts w:hint="default" w:ascii="Times New Roman Bold" w:hAnsi="Times New Roman Bold" w:cs="Times New Roman Bold"/>
          <w:b/>
          <w:bCs/>
          <w:sz w:val="44"/>
          <w:szCs w:val="44"/>
        </w:rPr>
        <w:t>6</w:t>
      </w:r>
      <w:r>
        <w:rPr>
          <w:rFonts w:hint="default" w:ascii="Times New Roman Bold" w:hAnsi="Times New Roman Bold" w:cs="Times New Roman Bold"/>
          <w:b/>
          <w:bCs/>
          <w:sz w:val="44"/>
          <w:szCs w:val="44"/>
          <w:lang w:val="en-GB"/>
        </w:rPr>
        <w:t>00</w:t>
      </w:r>
      <w:r>
        <w:rPr>
          <w:rFonts w:hint="default" w:ascii="Times New Roman Bold" w:hAnsi="Times New Roman Bold" w:cs="Times New Roman Bold"/>
          <w:b/>
          <w:bCs/>
          <w:sz w:val="44"/>
          <w:szCs w:val="44"/>
        </w:rPr>
        <w:t>2</w:t>
      </w:r>
    </w:p>
    <w:p>
      <w:pPr>
        <w:rPr>
          <w:rFonts w:hint="default" w:ascii="Times New Roman Bold" w:hAnsi="Times New Roman Bold" w:cs="Times New Roman Bold"/>
          <w:b/>
          <w:bCs/>
          <w:sz w:val="44"/>
          <w:szCs w:val="44"/>
          <w:lang w:val="en-GB"/>
        </w:rPr>
        <w:sectPr>
          <w:pgSz w:w="12240" w:h="15840"/>
          <w:pgMar w:top="1440" w:right="1440" w:bottom="1440" w:left="1440" w:header="720" w:footer="720" w:gutter="0"/>
          <w:cols w:space="720" w:num="1"/>
          <w:docGrid w:linePitch="360" w:charSpace="0"/>
        </w:sectPr>
      </w:pPr>
    </w:p>
    <w:p>
      <w:pPr>
        <w:sectPr>
          <w:headerReference r:id="rId7" w:type="first"/>
          <w:footerReference r:id="rId10" w:type="first"/>
          <w:headerReference r:id="rId5" w:type="default"/>
          <w:footerReference r:id="rId8" w:type="default"/>
          <w:headerReference r:id="rId6" w:type="even"/>
          <w:footerReference r:id="rId9" w:type="even"/>
          <w:pgSz w:w="11907" w:h="16839"/>
          <w:pgMar w:top="1440" w:right="1440" w:bottom="1440" w:left="1440" w:header="720" w:footer="720" w:gutter="0"/>
          <w:pgNumType w:start="0"/>
          <w:cols w:space="720" w:num="1"/>
          <w:titlePg/>
          <w:docGrid w:linePitch="360" w:charSpace="0"/>
        </w:sectPr>
      </w:pPr>
    </w:p>
    <w:sdt>
      <w:sdtPr>
        <w:rPr>
          <w:rFonts w:asciiTheme="minorHAnsi" w:hAnsiTheme="minorHAnsi" w:eastAsiaTheme="minorEastAsia" w:cstheme="minorBidi"/>
          <w:b w:val="0"/>
          <w:sz w:val="22"/>
          <w:szCs w:val="21"/>
        </w:rPr>
        <w:id w:val="-1925486276"/>
        <w:docPartObj>
          <w:docPartGallery w:val="Table of Contents"/>
          <w:docPartUnique/>
        </w:docPartObj>
      </w:sdtPr>
      <w:sdtEndPr>
        <w:rPr>
          <w:rFonts w:asciiTheme="minorHAnsi" w:hAnsiTheme="minorHAnsi" w:eastAsiaTheme="minorEastAsia" w:cstheme="minorBidi"/>
          <w:b w:val="0"/>
          <w:bCs/>
          <w:sz w:val="22"/>
          <w:szCs w:val="21"/>
        </w:rPr>
      </w:sdtEndPr>
      <w:sdtContent>
        <w:p>
          <w:pPr>
            <w:pStyle w:val="47"/>
          </w:pPr>
          <w:r>
            <w:t>Table of Contents</w:t>
          </w:r>
        </w:p>
        <w:p>
          <w:pPr>
            <w:pStyle w:val="24"/>
            <w:tabs>
              <w:tab w:val="right" w:leader="dot" w:pos="9017"/>
            </w:tabs>
            <w:spacing w:after="0" w:line="360" w:lineRule="auto"/>
            <w:jc w:val="both"/>
            <w:rPr>
              <w:szCs w:val="22"/>
              <w:lang w:val="en-GB" w:eastAsia="en-GB"/>
            </w:rPr>
          </w:pPr>
          <w:r>
            <w:fldChar w:fldCharType="begin"/>
          </w:r>
          <w:r>
            <w:instrText xml:space="preserve"> TOC \o "1-3" \h \z \u </w:instrText>
          </w:r>
          <w:r>
            <w:fldChar w:fldCharType="separate"/>
          </w:r>
          <w:r>
            <w:fldChar w:fldCharType="begin"/>
          </w:r>
          <w:r>
            <w:instrText xml:space="preserve"> HYPERLINK \l "_Toc109815255" </w:instrText>
          </w:r>
          <w:r>
            <w:fldChar w:fldCharType="separate"/>
          </w:r>
          <w:r>
            <w:rPr>
              <w:rStyle w:val="19"/>
            </w:rPr>
            <w:t>Introduction</w:t>
          </w:r>
          <w:r>
            <w:tab/>
          </w:r>
          <w:r>
            <w:fldChar w:fldCharType="begin"/>
          </w:r>
          <w:r>
            <w:instrText xml:space="preserve"> PAGEREF _Toc109815255 \h </w:instrText>
          </w:r>
          <w:r>
            <w:fldChar w:fldCharType="separate"/>
          </w:r>
          <w:r>
            <w:t>1</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"_Toc109815256" </w:instrText>
          </w:r>
          <w:r>
            <w:fldChar w:fldCharType="separate"/>
          </w:r>
          <w:r>
            <w:rPr>
              <w:rStyle w:val="19"/>
            </w:rPr>
            <w:t>StanChart gets global</w:t>
          </w:r>
          <w:r>
            <w:tab/>
          </w:r>
          <w:r>
            <w:fldChar w:fldCharType="begin"/>
          </w:r>
          <w:r>
            <w:instrText xml:space="preserve"> PAGEREF _Toc109815256 \h </w:instrText>
          </w:r>
          <w:r>
            <w:fldChar w:fldCharType="separate"/>
          </w:r>
          <w:r>
            <w:t>1</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"_Toc109815257" </w:instrText>
          </w:r>
          <w:r>
            <w:fldChar w:fldCharType="separate"/>
          </w:r>
          <w:r>
            <w:rPr>
              <w:rStyle w:val="19"/>
            </w:rPr>
            <w:t>Dividend Policy of StanChart</w:t>
          </w:r>
          <w:r>
            <w:tab/>
          </w:r>
          <w:r>
            <w:fldChar w:fldCharType="begin"/>
          </w:r>
          <w:r>
            <w:instrText xml:space="preserve"> PAGEREF _Toc109815257 \h </w:instrText>
          </w:r>
          <w:r>
            <w:fldChar w:fldCharType="separate"/>
          </w:r>
          <w:r>
            <w:t>2</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"_Toc109815258" </w:instrText>
          </w:r>
          <w:r>
            <w:fldChar w:fldCharType="separate"/>
          </w:r>
          <w:r>
            <w:rPr>
              <w:rStyle w:val="19"/>
            </w:rPr>
            <w:t>Efficient Market Hypothesis (EMH) for StanChart</w:t>
          </w:r>
          <w:r>
            <w:tab/>
          </w:r>
          <w:r>
            <w:fldChar w:fldCharType="begin"/>
          </w:r>
          <w:r>
            <w:instrText xml:space="preserve"> PAGEREF _Toc109815258 \h </w:instrText>
          </w:r>
          <w:r>
            <w:fldChar w:fldCharType="separate"/>
          </w:r>
          <w:r>
            <w:t>3</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"_Toc109815259" </w:instrText>
          </w:r>
          <w:r>
            <w:fldChar w:fldCharType="separate"/>
          </w:r>
          <w:r>
            <w:rPr>
              <w:rStyle w:val="19"/>
            </w:rPr>
            <w:t>Capital Budgeting and Project Appraisal Methods for StanChart</w:t>
          </w:r>
          <w:r>
            <w:tab/>
          </w:r>
          <w:r>
            <w:fldChar w:fldCharType="begin"/>
          </w:r>
          <w:r>
            <w:instrText xml:space="preserve"> PAGEREF _Toc109815259 \h </w:instrText>
          </w:r>
          <w:r>
            <w:fldChar w:fldCharType="separate"/>
          </w:r>
          <w:r>
            <w:t>4</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"_Toc109815260" </w:instrText>
          </w:r>
          <w:r>
            <w:fldChar w:fldCharType="separate"/>
          </w:r>
          <w:r>
            <w:rPr>
              <w:rStyle w:val="19"/>
            </w:rPr>
            <w:t>References</w:t>
          </w:r>
          <w:r>
            <w:tab/>
          </w:r>
          <w:r>
            <w:fldChar w:fldCharType="begin"/>
          </w:r>
          <w:r>
            <w:instrText xml:space="preserve"> PAGEREF _Toc109815260 \h </w:instrText>
          </w:r>
          <w:r>
            <w:fldChar w:fldCharType="separate"/>
          </w:r>
          <w:r>
            <w:t>5</w:t>
          </w:r>
          <w:r>
            <w:fldChar w:fldCharType="end"/>
          </w:r>
          <w:r>
            <w:fldChar w:fldCharType="end"/>
          </w:r>
        </w:p>
        <w:p>
          <w:pPr>
            <w:pStyle w:val="24"/>
            <w:tabs>
              <w:tab w:val="right" w:leader="dot" w:pos="9017"/>
            </w:tabs>
            <w:spacing w:after="0" w:line="360" w:lineRule="auto"/>
            <w:jc w:val="both"/>
            <w:rPr>
              <w:szCs w:val="22"/>
              <w:lang w:val="en-GB" w:eastAsia="en-GB"/>
            </w:rPr>
          </w:pPr>
          <w:r>
            <w:fldChar w:fldCharType="begin"/>
          </w:r>
          <w:r>
            <w:instrText xml:space="preserve"> HYPERLINK \l "_Toc109815261" </w:instrText>
          </w:r>
          <w:r>
            <w:fldChar w:fldCharType="separate"/>
          </w:r>
          <w:r>
            <w:rPr>
              <w:rStyle w:val="19"/>
            </w:rPr>
            <w:t>Appendices</w:t>
          </w:r>
          <w:r>
            <w:tab/>
          </w:r>
          <w:r>
            <w:fldChar w:fldCharType="begin"/>
          </w:r>
          <w:r>
            <w:instrText xml:space="preserve"> PAGEREF _Toc109815261 \h </w:instrText>
          </w:r>
          <w:r>
            <w:fldChar w:fldCharType="separate"/>
          </w:r>
          <w:r>
            <w:t>6</w:t>
          </w:r>
          <w:r>
            <w:fldChar w:fldCharType="end"/>
          </w:r>
          <w:r>
            <w:fldChar w:fldCharType="end"/>
          </w:r>
        </w:p>
        <w:p>
          <w:pPr>
            <w:pStyle w:val="25"/>
            <w:tabs>
              <w:tab w:val="right" w:leader="dot" w:pos="9017"/>
            </w:tabs>
            <w:spacing w:after="0" w:line="360" w:lineRule="auto"/>
            <w:jc w:val="both"/>
            <w:rPr>
              <w:szCs w:val="22"/>
              <w:lang w:val="en-GB" w:eastAsia="en-GB"/>
            </w:rPr>
          </w:pPr>
          <w:r>
            <w:fldChar w:fldCharType="begin"/>
          </w:r>
          <w:r>
            <w:instrText xml:space="preserve"> HYPERLINK \l "_Toc109815262" </w:instrText>
          </w:r>
          <w:r>
            <w:fldChar w:fldCharType="separate"/>
          </w:r>
          <w:r>
            <w:rPr>
              <w:rStyle w:val="19"/>
            </w:rPr>
            <w:t>Dividend History</w:t>
          </w:r>
          <w:r>
            <w:tab/>
          </w:r>
          <w:r>
            <w:fldChar w:fldCharType="begin"/>
          </w:r>
          <w:r>
            <w:instrText xml:space="preserve"> PAGEREF _Toc109815262 \h </w:instrText>
          </w:r>
          <w:r>
            <w:fldChar w:fldCharType="separate"/>
          </w:r>
          <w:r>
            <w:t>6</w:t>
          </w:r>
          <w:r>
            <w:fldChar w:fldCharType="end"/>
          </w:r>
          <w:r>
            <w:fldChar w:fldCharType="end"/>
          </w:r>
        </w:p>
        <w:p>
          <w:pPr>
            <w:pStyle w:val="25"/>
            <w:tabs>
              <w:tab w:val="right" w:leader="dot" w:pos="9017"/>
            </w:tabs>
            <w:spacing w:after="0" w:line="360" w:lineRule="auto"/>
            <w:jc w:val="both"/>
            <w:rPr>
              <w:szCs w:val="22"/>
              <w:lang w:val="en-GB" w:eastAsia="en-GB"/>
            </w:rPr>
          </w:pPr>
          <w:r>
            <w:fldChar w:fldCharType="begin"/>
          </w:r>
          <w:r>
            <w:instrText xml:space="preserve"> HYPERLINK \l "_Toc109815263" </w:instrText>
          </w:r>
          <w:r>
            <w:fldChar w:fldCharType="separate"/>
          </w:r>
          <w:r>
            <w:rPr>
              <w:rStyle w:val="19"/>
            </w:rPr>
            <w:t>Share Price Movement in 12 months</w:t>
          </w:r>
          <w:r>
            <w:tab/>
          </w:r>
          <w:r>
            <w:fldChar w:fldCharType="begin"/>
          </w:r>
          <w:r>
            <w:instrText xml:space="preserve"> PAGEREF _Toc109815263 \h </w:instrText>
          </w:r>
          <w:r>
            <w:fldChar w:fldCharType="separate"/>
          </w:r>
          <w:r>
            <w:t>6</w:t>
          </w:r>
          <w:r>
            <w:fldChar w:fldCharType="end"/>
          </w:r>
          <w:r>
            <w:fldChar w:fldCharType="end"/>
          </w:r>
        </w:p>
        <w:p>
          <w:pPr>
            <w:pStyle w:val="25"/>
            <w:tabs>
              <w:tab w:val="right" w:leader="dot" w:pos="9017"/>
            </w:tabs>
            <w:spacing w:after="0" w:line="360" w:lineRule="auto"/>
            <w:jc w:val="both"/>
            <w:rPr>
              <w:szCs w:val="22"/>
              <w:lang w:val="en-GB" w:eastAsia="en-GB"/>
            </w:rPr>
          </w:pPr>
          <w:r>
            <w:fldChar w:fldCharType="begin"/>
          </w:r>
          <w:r>
            <w:instrText xml:space="preserve"> HYPERLINK \l "_Toc109815264" </w:instrText>
          </w:r>
          <w:r>
            <w:fldChar w:fldCharType="separate"/>
          </w:r>
          <w:r>
            <w:rPr>
              <w:rStyle w:val="19"/>
            </w:rPr>
            <w:t>Share Price Movement in 6 months</w:t>
          </w:r>
          <w:r>
            <w:tab/>
          </w:r>
          <w:r>
            <w:fldChar w:fldCharType="begin"/>
          </w:r>
          <w:r>
            <w:instrText xml:space="preserve"> PAGEREF _Toc109815264 \h </w:instrText>
          </w:r>
          <w:r>
            <w:fldChar w:fldCharType="separate"/>
          </w:r>
          <w:r>
            <w:t>7</w:t>
          </w:r>
          <w:r>
            <w:fldChar w:fldCharType="end"/>
          </w:r>
          <w:r>
            <w:fldChar w:fldCharType="end"/>
          </w:r>
        </w:p>
        <w:p>
          <w:pPr>
            <w:spacing w:after="0" w:line="360" w:lineRule="auto"/>
            <w:jc w:val="both"/>
          </w:pPr>
          <w:r>
            <w:rPr>
              <w:b/>
              <w:bCs/>
            </w:rPr>
            <w:fldChar w:fldCharType="end"/>
          </w:r>
        </w:p>
      </w:sdtContent>
    </w:sdt>
    <w:p/>
    <w:p>
      <w:pPr>
        <w:sectPr>
          <w:pgSz w:w="11907" w:h="16839"/>
          <w:pgMar w:top="1440" w:right="1440" w:bottom="1440" w:left="1440" w:header="720" w:footer="720" w:gutter="0"/>
          <w:cols w:space="720" w:num="1"/>
          <w:docGrid w:linePitch="360" w:charSpace="0"/>
        </w:sectPr>
      </w:pPr>
    </w:p>
    <w:p>
      <w:pPr>
        <w:pStyle w:val="2"/>
      </w:pPr>
      <w:bookmarkStart w:id="0" w:name="_Toc109815255"/>
      <w:r>
        <w:t>Introduction</w:t>
      </w:r>
      <w:bookmarkEnd w:id="0"/>
    </w:p>
    <w:p>
      <w:pPr>
        <w:spacing w:after="0" w:line="360" w:lineRule="auto"/>
        <w:jc w:val="both"/>
      </w:pPr>
      <w:r>
        <w:t>The report looks at linking theoretical frameworks and models with practical examples available in the market. To understand the various adaptations of those concepts about financial management, financing of a global business, determining the cost of capital, and ultimate financial structure, the Standard Chartered Bank (StanChart) has been considered the subject of the study.</w:t>
      </w:r>
    </w:p>
    <w:p>
      <w:pPr>
        <w:spacing w:after="0" w:line="360" w:lineRule="auto"/>
        <w:jc w:val="both"/>
      </w:pPr>
      <w:r>
        <w:t>The Standard Chartered Bank, founded in 1969 in London, England, has spanned its business through more than 1,200 branches across around 70 countries in the world, entitling it to be a global company or Multi-National Company (MNC). As a law-abiding company concentrating on generating returns for its investors, the company has a dividend payment policy. StanChart is also registered on the London Stock Exchange, making it feasible for the efficient market hypothesis study. Furthermore, as a part of its banking activities, the bank has to sanction loans for different projects and expansions (scaling up in the digital atmosphere). Hence, the bank also requires various financial analyses to appraise various projects.</w:t>
      </w:r>
    </w:p>
    <w:p>
      <w:pPr>
        <w:spacing w:after="0" w:line="360" w:lineRule="auto"/>
        <w:jc w:val="both"/>
      </w:pPr>
      <w:r>
        <w:t>The chosen company – Standard Chartered Bank, thus meets all the criteria required for the evaluation.</w:t>
      </w:r>
    </w:p>
    <w:p>
      <w:pPr>
        <w:pStyle w:val="2"/>
      </w:pPr>
      <w:bookmarkStart w:id="1" w:name="_Toc109815256"/>
      <w:r>
        <w:t>StanChart gets global</w:t>
      </w:r>
      <w:bookmarkEnd w:id="1"/>
    </w:p>
    <w:p>
      <w:pPr>
        <w:spacing w:after="0" w:line="360" w:lineRule="auto"/>
        <w:jc w:val="both"/>
      </w:pPr>
      <w:r>
        <w:t>The roots of Standard Chartered Bank could be found in India, China, Australia, and South Africa. Since the merger of The Chartered Bank of India, China and Australia, and Standard Bank of British South Africa in 1969, the bank has been playing a pivotal role systematically in the global arena. Despite having its headquarters in London, around 90% of its revenue is generated in Asia and Africa. Particularly, Eastern Asia, South Asia, and the Middle East serve as the backbone for profit making of the bank.</w:t>
      </w:r>
    </w:p>
    <w:p>
      <w:pPr>
        <w:spacing w:after="0" w:line="360" w:lineRule="auto"/>
        <w:jc w:val="both"/>
      </w:pPr>
      <w:r>
        <w:t>Despite having the colonial advantage levied on StanChart, the bank continued its journey as the top global bank in the local countries. As Madura and Fox (2011) define, there are 3 theories, namely the Comparative Advantage theory, Imperfect Markets Theory, and Product Cycle theory, that might describe why StanChart chose to be global.</w:t>
      </w:r>
    </w:p>
    <w:p>
      <w:pPr>
        <w:spacing w:after="0" w:line="360" w:lineRule="auto"/>
        <w:jc w:val="both"/>
      </w:pPr>
      <w:r>
        <w:t>As StanChart is a service-based business, production and labor theories may not be directly involved (Bekaert and Hodrick, 2011). However, comparative advantage theory is about specialization (Atril, 2011). StanChart is the leader in all types of banking services, earning it the title of Universal Bank (The Economist, 2018). From retail to commercial to investment to resource management, StanChart does it all. Albeit, StanChart was born global, the bank had to showcase extreme innovation, i.e., launching credit cards, AI-based banking, Mobile Wallet Etc. to stay competitive. Secondly, the Imperfect Markets theory is also applicable to StanChart. Due to being a service-based business, StanChart could not relocate its resources to foreign countries.</w:t>
      </w:r>
    </w:p>
    <w:p>
      <w:pPr>
        <w:spacing w:after="0" w:line="360" w:lineRule="auto"/>
        <w:jc w:val="both"/>
      </w:pPr>
      <w:r>
        <w:t>Furthermore, the legal requirement also necessitated StanChart to open up its local offices. Product Cycle theory is also relevant to StanChart as it can be seen that StanChart does not offer Retail Banking services in the UK despite having its base there. Due to its nature of business, StanChart makes DFIs establish subsidiaries.</w:t>
      </w:r>
    </w:p>
    <w:p>
      <w:pPr>
        <w:pStyle w:val="2"/>
      </w:pPr>
      <w:bookmarkStart w:id="2" w:name="_Toc109815257"/>
      <w:r>
        <w:t>Dividend Policy of StanChart</w:t>
      </w:r>
      <w:bookmarkEnd w:id="2"/>
    </w:p>
    <w:p>
      <w:pPr>
        <w:spacing w:after="0" w:line="360" w:lineRule="auto"/>
        <w:jc w:val="both"/>
      </w:pPr>
      <w:r>
        <w:t>As Mclaney (2011) identifies, Shareholders are one of the most significant stakeholders in a company. The managers display a fiduciary relationship, and thus the agency issue always comes to the fore.</w:t>
      </w:r>
    </w:p>
    <w:p>
      <w:pPr>
        <w:spacing w:after="0" w:line="360" w:lineRule="auto"/>
        <w:jc w:val="both"/>
      </w:pPr>
      <w:r>
        <w:t xml:space="preserve">In their latest financial statement for 2021, StanChart declared a cash dividend of </w:t>
      </w:r>
      <w:r>
        <w:rPr>
          <w:rFonts w:cstheme="minorHAnsi"/>
        </w:rPr>
        <w:t>£</w:t>
      </w:r>
      <w:r>
        <w:t>6.89/share or $9/share, totaling $277 million. From its dividend history available on its website, it can be learned that StanChart has been regularly declaring dividends as a part of its business operation. However, due to a legal restriction due to covid-19 by the UK government, the bank refrained from declaring any dividend in 2019.</w:t>
      </w:r>
    </w:p>
    <w:p>
      <w:pPr>
        <w:spacing w:after="0" w:line="360" w:lineRule="auto"/>
        <w:jc w:val="both"/>
      </w:pPr>
      <w:r>
        <w:t>Its Shareholder Information section also revealed that the bank declared dividends twice a year, in May and October. Generally, the interim dividend is paid in May and for the full year in October. Once the dates are fixed following the quorum, the investors are informed about the respective dates.</w:t>
      </w:r>
    </w:p>
    <w:p>
      <w:pPr>
        <w:spacing w:after="0" w:line="360" w:lineRule="auto"/>
        <w:jc w:val="both"/>
      </w:pPr>
      <w:r>
        <w:t xml:space="preserve">From the viewpoint of Atril (2011), it can be argued that </w:t>
      </w:r>
      <w:r>
        <w:rPr>
          <w:b/>
        </w:rPr>
        <w:t>StanChart follows an active dividend policy</w:t>
      </w:r>
      <w:r>
        <w:t xml:space="preserve"> compared to other manufacturing industries that are more into the passive dividend policy. However, Edwards (1984), in his argumentative journal, indicates that the investment policy of a company should be free from its dividend policy due to mathematical reasons. We find StanChart having a share buyback incident that effectively affected its dividend payout to its shareholders. The empirical evidence in its financial statements suggests that the investment policies for StanChart remain robust, considering the dividend payout, which is in alteration with the economic theories and frameworks. The argument of Miller and Modigliani (1961) about the irrelevance of dividend policy hinges on the absence of differential personal taxes on income and capital gain. However, as the law varies across the globe, where some countries require mandatory dividend payout, the argument of Miller and Modigliani (1961) falls short and thus remains elusive to StanChart.</w:t>
      </w:r>
    </w:p>
    <w:p>
      <w:pPr>
        <w:spacing w:after="0" w:line="360" w:lineRule="auto"/>
        <w:jc w:val="both"/>
      </w:pPr>
      <w:r>
        <w:t>However, while considering the irrelevance of dividend policy in affecting shareholder's wealth, as Miller and Modigliani (1961) proposed, several objections surface as Edwards (1984) notches the concept of transaction costs involving capital gain and customer preference for dividends due to tax holiday. However, the concept of irrelevance still lingers as investors can easily sell their share given less dividend is declared by the StanChart and as long as the total market value of StanChart remains unchanged. The historical dividend payout is in Appendices.</w:t>
      </w:r>
    </w:p>
    <w:p>
      <w:pPr>
        <w:spacing w:after="0" w:line="360" w:lineRule="auto"/>
        <w:jc w:val="both"/>
      </w:pPr>
      <w:r>
        <w:t>However, in regards to the management of StanChart, dividend payout sends a strong and positive signal to the market and investors about the lender's financial health. From the financial reports of StanChart, it is evident that there is no provision for Dividend Reinvestment Plans at StanChart.</w:t>
      </w:r>
    </w:p>
    <w:p>
      <w:pPr>
        <w:pStyle w:val="2"/>
      </w:pPr>
      <w:bookmarkStart w:id="3" w:name="_Toc109815258"/>
      <w:r>
        <w:t xml:space="preserve">Efficient Market Hypothesis (EMH) </w:t>
      </w:r>
      <w:r>
        <w:rPr>
          <w:rStyle w:val="26"/>
          <w:b w:val="0"/>
        </w:rPr>
        <w:t>for</w:t>
      </w:r>
      <w:r>
        <w:t xml:space="preserve"> StanChart</w:t>
      </w:r>
      <w:bookmarkEnd w:id="3"/>
    </w:p>
    <w:p>
      <w:pPr>
        <w:spacing w:after="0" w:line="360" w:lineRule="auto"/>
        <w:jc w:val="both"/>
      </w:pPr>
      <w:r>
        <w:t>Alexander (1961) articulates that the EMH stipulates about 3 forms of the market- weak, semi-strong and strong. The forms depend on information availability and how stock prices change in response to that information. As Cootner (1964) earmarks, a weak form of the market represents only the historical data that the technical analysis generates now returns. The difference between semi-strong and strong forms is that all information about the firm, including information available to the business insiders, is also available to the public in the strong form.</w:t>
      </w:r>
    </w:p>
    <w:p>
      <w:pPr>
        <w:spacing w:after="0" w:line="360" w:lineRule="auto"/>
        <w:jc w:val="both"/>
      </w:pPr>
      <w:r>
        <w:t xml:space="preserve">Although highly desirable, a strong form of the market represents a utopian concept as not all information about the business is readily available to external stakeholders (Bekaert and Hodrick, 2011). As necessitated by the UK governing law in Banking Act 2009, StanChart has to declare all the sensitive information to its stakeholders through public media or regular publications on the website. </w:t>
      </w:r>
      <w:r>
        <w:rPr>
          <w:b/>
        </w:rPr>
        <w:t xml:space="preserve">So StanChart is exposed in the nearly the strong form of the market as per the hypothesis. </w:t>
      </w:r>
      <w:r>
        <w:t>The share price movement of 12 months and 6 months are also attached in the Appendices.</w:t>
      </w:r>
    </w:p>
    <w:p>
      <w:pPr>
        <w:spacing w:after="0" w:line="360" w:lineRule="auto"/>
        <w:jc w:val="both"/>
      </w:pPr>
      <w:r>
        <w:t>Given that StanChart also plays a pivotal role as a portfolio manager in the investment banking sector, it follows an active strategy contrasting to the passive strategy, which is most common for all. As it is established that StanChart pursues an active strategy, it must apply all the fundamental and technical analyses. In line with the words of Alexander (1961), the theory of EMH is thus applicable for StanChart as the availability of information is reflected in the stock price. Furthermore, to champion the cause of EMH theory, StanChart also publishes Weekly Market View under the Wealth Management Chief Investment Office, where the macro-economic impact in line with the share price is discussed in detail by the Wealth Management Chief Investment Officer. Hence, the EMH theory combining the random walk of the share prices is much more relevant for StanChart.</w:t>
      </w:r>
    </w:p>
    <w:p>
      <w:pPr>
        <w:pStyle w:val="2"/>
      </w:pPr>
      <w:bookmarkStart w:id="4" w:name="_Toc109815259"/>
      <w:r>
        <w:t>Capital Budgeting and Project Appraisal Methods for StanChart</w:t>
      </w:r>
      <w:bookmarkEnd w:id="4"/>
    </w:p>
    <w:p>
      <w:pPr>
        <w:spacing w:after="0" w:line="360" w:lineRule="auto"/>
        <w:jc w:val="both"/>
      </w:pPr>
      <w:r>
        <w:t>Among the various budget and appraisal techniques, the most relevant for banks would be the IRR and the NPV. As Wernz (2020) pointed out, the Payback period is more applicable for small cap investments and lacks the acknowledgment of the time value of money.</w:t>
      </w:r>
    </w:p>
    <w:p>
      <w:pPr>
        <w:spacing w:after="0" w:line="360" w:lineRule="auto"/>
        <w:jc w:val="both"/>
      </w:pPr>
      <w:r>
        <w:t>Given the arduous role of being a bank, StanChart stands no chance of relying on the payback period or accounting rate of return. In simple words, banks have to disregard the non-discounting technique.</w:t>
      </w:r>
    </w:p>
    <w:p>
      <w:pPr>
        <w:spacing w:after="0" w:line="360" w:lineRule="auto"/>
        <w:jc w:val="both"/>
      </w:pPr>
      <w:r>
        <w:t>Wernz (2020) opines that banks have to collect funds from depositors, accumulate funds and then disburse them in the form of loans to generate profit. Banks have to incur many expenses from garnering deposits to lending out, also known as the cost of funds. While lending out or considering investing in a new project, the management needs to contemplate inflation, interest payments, management, and operational expenses. Thus having an IRR higher than the discount rate, i.e., cost of funds, is thus obligatory for the bank (Wernz, 2020).</w:t>
      </w:r>
    </w:p>
    <w:p>
      <w:pPr>
        <w:spacing w:after="0" w:line="360" w:lineRule="auto"/>
        <w:jc w:val="both"/>
      </w:pPr>
      <w:r>
        <w:t xml:space="preserve">As Adalsteinsson (2014) reconciles, for loan sanction, both the NPV and IRR are sufficient to provide intuition about the customer. However, for investment projects, i.e., investing in technologies, likewise any other company, StanChart needs to use all the discounting methods of the evaluation technique (Wernz, 2020). Using NPV and IRR, the bank first denotes if the projects are financially feasible. The Profitability Index is employed to check which alternative generates a higher return on investment. As Atril (2011) observes, the higher the profitability index, the higher the relative return. (2020), however, identifies that the adaptation of project appraisal methods differs based on the economic stability of a particular region. Per se, Poland faced a tumultuous economic and political condition compared to the UK, Germany, and France, having stable economies. Pawlak, Rapacewicz, and Zarzecki (2020) found out that with a high adaptation of NPV and IRR in the large companies in Poland, a penchant for Payback Period Analysis also existed as around 80% of the surveyed companies earmarked using the PP method. Adalsteinsson (2014) opines that the PP method is least likely in stable economies while banks are almost forbidden to use such methods, which is detrimental to the very core practice of the bank. </w:t>
      </w:r>
    </w:p>
    <w:p>
      <w:r>
        <w:br w:type="page"/>
      </w:r>
    </w:p>
    <w:p>
      <w:pPr>
        <w:pStyle w:val="2"/>
      </w:pPr>
      <w:bookmarkStart w:id="5" w:name="_Toc109815260"/>
      <w:r>
        <w:t>References</w:t>
      </w:r>
      <w:bookmarkEnd w:id="5"/>
    </w:p>
    <w:p>
      <w:pPr>
        <w:spacing w:after="0" w:line="360" w:lineRule="auto"/>
        <w:jc w:val="both"/>
      </w:pPr>
      <w:r>
        <w:t>Adalsteinsson, G. (2014). The Liquidity Risk Management Guide: From Policy to Pitfalls. s.l.:Wiley.</w:t>
      </w:r>
    </w:p>
    <w:p>
      <w:pPr>
        <w:spacing w:after="0" w:line="360" w:lineRule="auto"/>
        <w:jc w:val="both"/>
      </w:pPr>
      <w:r>
        <w:t>Alexander, S. S. (1961). Price Movements in Speculative Markets: Trends or Random Walks. Industrial Management Review, Volume 2, pp. 7-26.</w:t>
      </w:r>
    </w:p>
    <w:p>
      <w:pPr>
        <w:spacing w:after="0" w:line="360" w:lineRule="auto"/>
        <w:jc w:val="both"/>
      </w:pPr>
      <w:r>
        <w:t>Atril, P.(2011). Financial Management for Decision Makers. 4th ed. s.l.: Financial Times, Prentice Hall.</w:t>
      </w:r>
    </w:p>
    <w:p>
      <w:pPr>
        <w:spacing w:after="0" w:line="360" w:lineRule="auto"/>
        <w:jc w:val="both"/>
      </w:pPr>
      <w:r>
        <w:t>Bekaert, G. and Hodrick, R. (2011). International Financial Management. 2nd ed. s.l.:Prentice Hall.</w:t>
      </w:r>
    </w:p>
    <w:p>
      <w:pPr>
        <w:spacing w:after="0" w:line="360" w:lineRule="auto"/>
        <w:jc w:val="both"/>
      </w:pPr>
      <w:r>
        <w:t>Edwards, J. (1984). Does Dividend Policy Matter?. Fiscal Studies, 5(1), pp. 1-17.</w:t>
      </w:r>
    </w:p>
    <w:p>
      <w:pPr>
        <w:spacing w:after="0" w:line="360" w:lineRule="auto"/>
        <w:jc w:val="both"/>
      </w:pPr>
      <w:r>
        <w:t>Madura, J. and Fox, R. (2011). International Financial Management, 2nd ed. s.l.:Cengage Learning.</w:t>
      </w:r>
    </w:p>
    <w:p>
      <w:pPr>
        <w:spacing w:after="0" w:line="360" w:lineRule="auto"/>
        <w:jc w:val="both"/>
      </w:pPr>
      <w:r>
        <w:t>Mclaney, E.(2011). Business Finance. 7th ed. s.l.: Financial Times, Prentice Hall.</w:t>
      </w:r>
    </w:p>
    <w:p>
      <w:pPr>
        <w:spacing w:after="0" w:line="360" w:lineRule="auto"/>
        <w:jc w:val="both"/>
      </w:pPr>
      <w:r>
        <w:t>Miller, M. and Modigliani, F.(1961). Dividend policy, growth, and the valuation of shares. Journal of Business, Volume 34, pp. 411-433.</w:t>
      </w:r>
    </w:p>
    <w:p>
      <w:pPr>
        <w:spacing w:after="0" w:line="360" w:lineRule="auto"/>
        <w:jc w:val="both"/>
      </w:pPr>
      <w:r>
        <w:t>Pawlak, M., Rapacewicz, A. and Zarzecki, D.(2020). Investment Appraisal Practice in the Biggest Companies. European Research Studies Journal, 23(2), pp. 137-147.</w:t>
      </w:r>
    </w:p>
    <w:p>
      <w:pPr>
        <w:spacing w:after="0" w:line="360" w:lineRule="auto"/>
        <w:jc w:val="both"/>
      </w:pPr>
      <w:r>
        <w:t>Wernz, J.(2020). Bank Management and Control: Strategy, Pricing, Capital and Risk Management. 2nd ed. s.l.:Springer.</w:t>
      </w:r>
    </w:p>
    <w:p/>
    <w:p>
      <w:pPr>
        <w:pStyle w:val="2"/>
      </w:pPr>
      <w:bookmarkStart w:id="6" w:name="_Toc109815261"/>
      <w:r>
        <w:t>Appendices</w:t>
      </w:r>
      <w:bookmarkEnd w:id="6"/>
    </w:p>
    <w:p>
      <w:pPr>
        <w:pStyle w:val="3"/>
        <w:rPr>
          <w:color w:val="auto"/>
        </w:rPr>
      </w:pPr>
      <w:bookmarkStart w:id="7" w:name="_Dividend_History"/>
      <w:bookmarkEnd w:id="7"/>
      <w:bookmarkStart w:id="8" w:name="_Toc109815262"/>
      <w:r>
        <w:rPr>
          <w:color w:val="auto"/>
        </w:rPr>
        <w:t>Dividend History</w:t>
      </w:r>
      <w:bookmarkEnd w:id="8"/>
    </w:p>
    <w:p>
      <w:r>
        <w:rPr>
          <w:lang w:val="en-GB"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285750</wp:posOffset>
            </wp:positionV>
            <wp:extent cx="5730240" cy="3298825"/>
            <wp:effectExtent l="0" t="0" r="381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0240" cy="3298825"/>
                    </a:xfrm>
                    <a:prstGeom prst="rect">
                      <a:avLst/>
                    </a:prstGeom>
                    <a:ln>
                      <a:noFill/>
                    </a:ln>
                  </pic:spPr>
                </pic:pic>
              </a:graphicData>
            </a:graphic>
          </wp:anchor>
        </w:drawing>
      </w:r>
    </w:p>
    <w:p/>
    <w:p>
      <w:pPr>
        <w:pStyle w:val="3"/>
        <w:rPr>
          <w:color w:val="auto"/>
        </w:rPr>
      </w:pPr>
      <w:bookmarkStart w:id="9" w:name="_Share_Price_Movement"/>
      <w:bookmarkEnd w:id="9"/>
      <w:bookmarkStart w:id="10" w:name="_Toc109815263"/>
      <w:r>
        <w:rPr>
          <w:color w:val="auto"/>
          <w:lang w:val="en-GB"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317500</wp:posOffset>
            </wp:positionV>
            <wp:extent cx="5732145" cy="2482215"/>
            <wp:effectExtent l="0" t="0" r="190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2145" cy="2482215"/>
                    </a:xfrm>
                    <a:prstGeom prst="rect">
                      <a:avLst/>
                    </a:prstGeom>
                  </pic:spPr>
                </pic:pic>
              </a:graphicData>
            </a:graphic>
          </wp:anchor>
        </w:drawing>
      </w:r>
      <w:r>
        <w:rPr>
          <w:color w:val="auto"/>
        </w:rPr>
        <w:t>Share Price Movement in 12 months</w:t>
      </w:r>
      <w:bookmarkEnd w:id="10"/>
    </w:p>
    <w:p/>
    <w:p>
      <w:pPr>
        <w:pStyle w:val="3"/>
        <w:rPr>
          <w:color w:val="auto"/>
        </w:rPr>
      </w:pPr>
      <w:bookmarkStart w:id="11" w:name="_Share_Price_Movement_1"/>
      <w:bookmarkEnd w:id="11"/>
      <w:bookmarkStart w:id="12" w:name="_Toc109815264"/>
      <w:r>
        <w:rPr>
          <w:color w:val="auto"/>
        </w:rPr>
        <w:t>Share Price Movement in 6 months</w:t>
      </w:r>
      <w:bookmarkEnd w:id="12"/>
    </w:p>
    <w:p>
      <w:r>
        <w:rPr>
          <w:lang w:val="en-GB"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285750</wp:posOffset>
            </wp:positionV>
            <wp:extent cx="5732145" cy="2451735"/>
            <wp:effectExtent l="0" t="0" r="1905" b="571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5732145" cy="2451735"/>
                    </a:xfrm>
                    <a:prstGeom prst="rect">
                      <a:avLst/>
                    </a:prstGeom>
                  </pic:spPr>
                </pic:pic>
              </a:graphicData>
            </a:graphic>
          </wp:anchor>
        </w:drawing>
      </w:r>
    </w:p>
    <w:p/>
    <w:p/>
    <w:p/>
    <w:p/>
    <w:p/>
    <w:p/>
    <w:sectPr>
      <w:headerReference r:id="rId11" w:type="default"/>
      <w:footerReference r:id="rId12" w:type="default"/>
      <w:pgSz w:w="11907" w:h="16839"/>
      <w:pgMar w:top="1440" w:right="1440" w:bottom="1440" w:left="1440" w:header="720" w:footer="720"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86"/>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黑体">
    <w:altName w:val="黑体-简"/>
    <w:panose1 w:val="00000000000000000000"/>
    <w:charset w:val="00"/>
    <w:family w:val="auto"/>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 w:name="Times New Roman Bold">
    <w:panose1 w:val="020206030504050203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5"/>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67782060"/>
      <w:docPartObj>
        <w:docPartGallery w:val="AutoText"/>
      </w:docPartObj>
    </w:sdtPr>
    <w:sdtContent>
      <w:p>
        <w:pPr>
          <w:pStyle w:val="15"/>
        </w:pPr>
        <w:r>
          <w:rPr>
            <w:lang w:val="en-GB" w:eastAsia="en-GB"/>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bottomMargin">
                    <wp:align>center</wp:align>
                  </wp:positionV>
                  <wp:extent cx="7541895" cy="190500"/>
                  <wp:effectExtent l="9525" t="9525" r="9525" b="0"/>
                  <wp:wrapNone/>
                  <wp:docPr id="1" name="Group 1"/>
                  <wp:cNvGraphicFramePr/>
                  <a:graphic xmlns:a="http://schemas.openxmlformats.org/drawingml/2006/main">
                    <a:graphicData uri="http://schemas.microsoft.com/office/word/2010/wordprocessingGroup">
                      <wpg:wgp>
                        <wpg:cNvGrpSpPr/>
                        <wpg:grpSpPr>
                          <a:xfrm>
                            <a:off x="0" y="0"/>
                            <a:ext cx="7541895"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wps:spPr>
                          <wps:txbx>
                            <w:txbxContent>
                              <w:p>
                                <w:pPr>
                                  <w:jc w:val="center"/>
                                </w:pPr>
                                <w:r>
                                  <w:fldChar w:fldCharType="begin"/>
                                </w:r>
                                <w:r>
                                  <w:instrText xml:space="preserve"> PAGE    \* MERGEFORMAT </w:instrText>
                                </w:r>
                                <w:r>
                                  <w:fldChar w:fldCharType="separate"/>
                                </w:r>
                                <w:r>
                                  <w:rPr>
                                    <w:color w:val="8C8C8C" w:themeColor="background1" w:themeShade="8C"/>
                                  </w:rPr>
                                  <w:t>7</w:t>
                                </w:r>
                                <w:r>
                                  <w:rPr>
                                    <w:color w:val="8C8C8C" w:themeColor="background1" w:themeShade="8C"/>
                                  </w:rPr>
                                  <w:fldChar w:fldCharType="end"/>
                                </w:r>
                              </w:p>
                            </w:txbxContent>
                          </wps:txbx>
                          <wps:bodyPr rot="0" vert="horz" wrap="square" lIns="0" tIns="0" rIns="0" bIns="0" anchor="t" anchorCtr="0" upright="1"/>
                        </wps:wsp>
                        <wpg:grpSp>
                          <wpg:cNvPr id="3" name="Group 31"/>
                          <wpg:cNvGrpSpPr/>
                          <wpg:grpSpPr>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ln>
                            </wps:spPr>
                            <wps:bodyPr/>
                          </wps:wsp>
                          <wps:wsp>
                            <wps:cNvPr id="64324699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ln>
                            </wps:spPr>
                            <wps:bodyPr/>
                          </wps:wsp>
                        </wpg:grpSp>
                      </wpg:wgp>
                    </a:graphicData>
                  </a:graphic>
                  <wp14:sizeRelH relativeFrom="page">
                    <wp14:pctWidth>100000</wp14:pctWidth>
                  </wp14:sizeRelH>
                  <wp14:sizeRelV relativeFrom="page">
                    <wp14:pctHeight>0</wp14:pctHeight>
                  </wp14:sizeRelV>
                </wp:anchor>
              </w:drawing>
            </mc:Choice>
            <mc:Fallback>
              <w:pict>
                <v:group id="_x0000_s1026" o:spid="_x0000_s1026" o:spt="203" style="position:absolute;left:0pt;margin-left:0.75pt;margin-top:798.8pt;height:15pt;width:593.85pt;mso-position-horizontal-relative:page;mso-position-vertical-relative:page;z-index:251659264;mso-width-relative:page;mso-height-relative:page;mso-width-percent:1000;" coordorigin="0,14970" coordsize="12255,300" o:gfxdata="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">
                  <o:lock v:ext="edit" aspectratio="f"/>
                  <v:shape id="Text Box 25" o:spid="_x0000_s1026" o:spt="202" type="#_x0000_t202" style="position:absolute;left:10803;top:14982;height:288;width:659;" filled="f" stroked="f" coordsize="21600,21600" o:gfxdata="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kaVdCL0AAADaAAAADwAAAAAAAAABACAAAAA4AAAAZHJzL2Rvd25yZXYu&#10;eG1sUEsBAhQAFAAAAAgAh07iQDMvBZ47AAAAOQAAABAAAAAAAAAAAQAgAAAAIgEAAGRycy9zaGFw&#10;ZXhtbC54bWxQSwUGAAAAAAYABgBbAQAAzAMAAAAA&#10;">
                    <v:fill on="f" focussize="0,0"/>
                    <v:stroke on="f"/>
                    <v:imagedata o:title=""/>
                    <o:lock v:ext="edit" aspectratio="f"/>
                    <v:textbox inset="0mm,0mm,0mm,0mm">
                      <w:txbxContent>
                        <w:p>
                          <w:pPr>
                            <w:jc w:val="center"/>
                          </w:pPr>
                          <w:r>
                            <w:fldChar w:fldCharType="begin"/>
                          </w:r>
                          <w:r>
                            <w:instrText xml:space="preserve"> PAGE    \* MERGEFORMAT </w:instrText>
                          </w:r>
                          <w:r>
                            <w:fldChar w:fldCharType="separate"/>
                          </w:r>
                          <w:r>
                            <w:rPr>
                              <w:color w:val="8C8C8C" w:themeColor="background1" w:themeShade="8C"/>
                            </w:rPr>
                            <w:t>7</w:t>
                          </w:r>
                          <w:r>
                            <w:rPr>
                              <w:color w:val="8C8C8C" w:themeColor="background1" w:themeShade="8C"/>
                            </w:rPr>
                            <w:fldChar w:fldCharType="end"/>
                          </w:r>
                        </w:p>
                      </w:txbxContent>
                    </v:textbox>
                  </v:shape>
                  <v:group id="Group 31" o:spid="_x0000_s1026" o:spt="203" style="position:absolute;left:0;top:14970;flip:x;height:230;width:12255;" coordorigin="-8,14978" coordsize="12255,230" o:gfxdata="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">
                    <o:lock v:ext="edit" aspectratio="f"/>
                    <v:shape id="AutoShape 27" o:spid="_x0000_s1026" o:spt="34" type="#_x0000_t34" style="position:absolute;left:-8;top:14978;flip:y;height:230;width:1260;" filled="f" stroked="t" coordsize="21600,21600" o:gfxdata="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Nmw8ba7AAAA2gAAAA8AAAAAAAAAAQAgAAAAOAAAAGRycy9kb3ducmV2Lnht&#10;bFBLAQIUABQAAAAIAIdO4kAzLwWeOwAAADkAAAAQAAAAAAAAAAEAIAAAACABAABkcnMvc2hhcGV4&#10;bWwueG1sUEsFBgAAAAAGAAYAWwEAAMoDAAAAAA==&#10;" adj="10800">
                      <v:fill on="f" focussize="0,0"/>
                      <v:stroke color="#A5A5A5" miterlimit="8" joinstyle="miter"/>
                      <v:imagedata o:title=""/>
                      <o:lock v:ext="edit" aspectratio="f"/>
                    </v:shape>
                    <v:shape id="AutoShape 28" o:spid="_x0000_s1026" o:spt="34" type="#_x0000_t34" style="position:absolute;left:1252;top:14978;height:230;width:10995;rotation:11796480f;" filled="f" stroked="t" coordsize="21600,21600" o:gfxdata="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" adj="20904">
                      <v:fill on="f" focussize="0,0"/>
                      <v:stroke color="#A5A5A5" miterlimit="8" joinstyle="miter"/>
                      <v:imagedata o:title=""/>
                      <o:lock v:ext="edit" aspectratio="f"/>
                    </v:shape>
                  </v:group>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7D9A"/>
    <w:rsid w:val="00017B4B"/>
    <w:rsid w:val="0002531F"/>
    <w:rsid w:val="00043196"/>
    <w:rsid w:val="00077690"/>
    <w:rsid w:val="00090EED"/>
    <w:rsid w:val="000C4A34"/>
    <w:rsid w:val="000C7439"/>
    <w:rsid w:val="000D1C12"/>
    <w:rsid w:val="000E4276"/>
    <w:rsid w:val="000F19EB"/>
    <w:rsid w:val="000F2778"/>
    <w:rsid w:val="00103253"/>
    <w:rsid w:val="00121127"/>
    <w:rsid w:val="00124034"/>
    <w:rsid w:val="00127A98"/>
    <w:rsid w:val="00137407"/>
    <w:rsid w:val="00153EF5"/>
    <w:rsid w:val="001A2DFC"/>
    <w:rsid w:val="001A6EE9"/>
    <w:rsid w:val="001B03E8"/>
    <w:rsid w:val="001B409F"/>
    <w:rsid w:val="001D76B3"/>
    <w:rsid w:val="001D78EE"/>
    <w:rsid w:val="001E1F4D"/>
    <w:rsid w:val="002144E5"/>
    <w:rsid w:val="00292C93"/>
    <w:rsid w:val="002C3A96"/>
    <w:rsid w:val="002C4594"/>
    <w:rsid w:val="0032692D"/>
    <w:rsid w:val="003544A2"/>
    <w:rsid w:val="003D679A"/>
    <w:rsid w:val="00410CAE"/>
    <w:rsid w:val="0041642D"/>
    <w:rsid w:val="00431FB1"/>
    <w:rsid w:val="004558BE"/>
    <w:rsid w:val="00462F61"/>
    <w:rsid w:val="00466415"/>
    <w:rsid w:val="00466943"/>
    <w:rsid w:val="00485825"/>
    <w:rsid w:val="004C0623"/>
    <w:rsid w:val="004D6264"/>
    <w:rsid w:val="004E316A"/>
    <w:rsid w:val="0051704A"/>
    <w:rsid w:val="00534C13"/>
    <w:rsid w:val="00556DA7"/>
    <w:rsid w:val="005679D0"/>
    <w:rsid w:val="0059112D"/>
    <w:rsid w:val="005932A4"/>
    <w:rsid w:val="00595072"/>
    <w:rsid w:val="005A2960"/>
    <w:rsid w:val="005E3248"/>
    <w:rsid w:val="00601B1D"/>
    <w:rsid w:val="00614ED9"/>
    <w:rsid w:val="006571EA"/>
    <w:rsid w:val="00685290"/>
    <w:rsid w:val="006C3F49"/>
    <w:rsid w:val="00726F8E"/>
    <w:rsid w:val="00752B05"/>
    <w:rsid w:val="00766DCE"/>
    <w:rsid w:val="007958F2"/>
    <w:rsid w:val="007C6939"/>
    <w:rsid w:val="007D3741"/>
    <w:rsid w:val="008133F0"/>
    <w:rsid w:val="008154AF"/>
    <w:rsid w:val="00837CBE"/>
    <w:rsid w:val="0085470B"/>
    <w:rsid w:val="00895E7B"/>
    <w:rsid w:val="008F2305"/>
    <w:rsid w:val="0094774A"/>
    <w:rsid w:val="00967D9A"/>
    <w:rsid w:val="009B10F3"/>
    <w:rsid w:val="009C6B87"/>
    <w:rsid w:val="009F0D6A"/>
    <w:rsid w:val="00A44F0A"/>
    <w:rsid w:val="00A950F7"/>
    <w:rsid w:val="00AD72CC"/>
    <w:rsid w:val="00B14A4C"/>
    <w:rsid w:val="00B153DB"/>
    <w:rsid w:val="00B35242"/>
    <w:rsid w:val="00B44B80"/>
    <w:rsid w:val="00B44BDC"/>
    <w:rsid w:val="00B73933"/>
    <w:rsid w:val="00BB263A"/>
    <w:rsid w:val="00BB6469"/>
    <w:rsid w:val="00BC0FAF"/>
    <w:rsid w:val="00BE1F51"/>
    <w:rsid w:val="00C1190F"/>
    <w:rsid w:val="00C60DFC"/>
    <w:rsid w:val="00CC1580"/>
    <w:rsid w:val="00D01B9F"/>
    <w:rsid w:val="00D257CD"/>
    <w:rsid w:val="00D36431"/>
    <w:rsid w:val="00D504EF"/>
    <w:rsid w:val="00D5687E"/>
    <w:rsid w:val="00D572E8"/>
    <w:rsid w:val="00D82695"/>
    <w:rsid w:val="00DE2479"/>
    <w:rsid w:val="00DE5CEF"/>
    <w:rsid w:val="00E828BD"/>
    <w:rsid w:val="00EA05C1"/>
    <w:rsid w:val="00EE293A"/>
    <w:rsid w:val="00F35253"/>
    <w:rsid w:val="00F8085C"/>
    <w:rsid w:val="00FA7EEC"/>
    <w:rsid w:val="00FB5C12"/>
    <w:rsid w:val="00FC2510"/>
    <w:rsid w:val="00FC68B3"/>
    <w:rsid w:val="00FD72AD"/>
    <w:rsid w:val="00FF7608"/>
    <w:rsid w:val="7D7FFA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6" w:lineRule="auto"/>
    </w:pPr>
    <w:rPr>
      <w:rFonts w:asciiTheme="minorHAnsi" w:hAnsiTheme="minorHAnsi" w:eastAsiaTheme="minorEastAsia" w:cstheme="minorBidi"/>
      <w:sz w:val="22"/>
      <w:szCs w:val="21"/>
      <w:lang w:val="en-US" w:eastAsia="en-US" w:bidi="ar-SA"/>
    </w:rPr>
  </w:style>
  <w:style w:type="paragraph" w:styleId="2">
    <w:name w:val="heading 1"/>
    <w:basedOn w:val="1"/>
    <w:next w:val="1"/>
    <w:link w:val="26"/>
    <w:qFormat/>
    <w:uiPriority w:val="9"/>
    <w:pPr>
      <w:keepNext/>
      <w:keepLines/>
      <w:pBdr>
        <w:bottom w:val="single" w:color="2683C6" w:themeColor="accent2" w:sz="4" w:space="2"/>
      </w:pBdr>
      <w:spacing w:after="0" w:line="360" w:lineRule="auto"/>
      <w:jc w:val="both"/>
      <w:outlineLvl w:val="0"/>
    </w:pPr>
    <w:rPr>
      <w:rFonts w:asciiTheme="majorHAnsi" w:hAnsiTheme="majorHAnsi" w:eastAsiaTheme="majorEastAsia" w:cstheme="majorBidi"/>
      <w:b/>
      <w:sz w:val="32"/>
      <w:szCs w:val="40"/>
    </w:rPr>
  </w:style>
  <w:style w:type="paragraph" w:styleId="3">
    <w:name w:val="heading 2"/>
    <w:basedOn w:val="1"/>
    <w:next w:val="1"/>
    <w:link w:val="27"/>
    <w:unhideWhenUsed/>
    <w:qFormat/>
    <w:uiPriority w:val="9"/>
    <w:pPr>
      <w:keepNext/>
      <w:keepLines/>
      <w:spacing w:before="120" w:after="0" w:line="240" w:lineRule="auto"/>
      <w:outlineLvl w:val="1"/>
    </w:pPr>
    <w:rPr>
      <w:rFonts w:asciiTheme="majorHAnsi" w:hAnsiTheme="majorHAnsi" w:eastAsiaTheme="majorEastAsia" w:cstheme="majorBidi"/>
      <w:color w:val="2683C6" w:themeColor="accent2"/>
      <w:sz w:val="28"/>
      <w:szCs w:val="36"/>
      <w14:textFill>
        <w14:solidFill>
          <w14:schemeClr w14:val="accent2"/>
        </w14:solidFill>
      </w14:textFill>
    </w:rPr>
  </w:style>
  <w:style w:type="paragraph" w:styleId="4">
    <w:name w:val="heading 3"/>
    <w:basedOn w:val="1"/>
    <w:next w:val="1"/>
    <w:link w:val="28"/>
    <w:semiHidden/>
    <w:unhideWhenUsed/>
    <w:qFormat/>
    <w:uiPriority w:val="9"/>
    <w:pPr>
      <w:keepNext/>
      <w:keepLines/>
      <w:spacing w:before="80" w:after="0" w:line="240" w:lineRule="auto"/>
      <w:outlineLvl w:val="2"/>
    </w:pPr>
    <w:rPr>
      <w:rFonts w:asciiTheme="majorHAnsi" w:hAnsiTheme="majorHAnsi" w:eastAsiaTheme="majorEastAsia" w:cstheme="majorBidi"/>
      <w:color w:val="1D6295" w:themeColor="accent2" w:themeShade="BF"/>
      <w:sz w:val="32"/>
      <w:szCs w:val="32"/>
    </w:rPr>
  </w:style>
  <w:style w:type="paragraph" w:styleId="5">
    <w:name w:val="heading 4"/>
    <w:basedOn w:val="1"/>
    <w:next w:val="1"/>
    <w:link w:val="29"/>
    <w:semiHidden/>
    <w:unhideWhenUsed/>
    <w:qFormat/>
    <w:uiPriority w:val="9"/>
    <w:pPr>
      <w:keepNext/>
      <w:keepLines/>
      <w:spacing w:before="80" w:after="0" w:line="240" w:lineRule="auto"/>
      <w:outlineLvl w:val="3"/>
    </w:pPr>
    <w:rPr>
      <w:rFonts w:asciiTheme="majorHAnsi" w:hAnsiTheme="majorHAnsi" w:eastAsiaTheme="majorEastAsia" w:cstheme="majorBidi"/>
      <w:i/>
      <w:iCs/>
      <w:color w:val="134163" w:themeColor="accent2" w:themeShade="80"/>
      <w:sz w:val="28"/>
      <w:szCs w:val="28"/>
    </w:rPr>
  </w:style>
  <w:style w:type="paragraph" w:styleId="6">
    <w:name w:val="heading 5"/>
    <w:basedOn w:val="1"/>
    <w:next w:val="1"/>
    <w:link w:val="30"/>
    <w:semiHidden/>
    <w:unhideWhenUsed/>
    <w:qFormat/>
    <w:uiPriority w:val="9"/>
    <w:pPr>
      <w:keepNext/>
      <w:keepLines/>
      <w:spacing w:before="80" w:after="0" w:line="240" w:lineRule="auto"/>
      <w:outlineLvl w:val="4"/>
    </w:pPr>
    <w:rPr>
      <w:rFonts w:asciiTheme="majorHAnsi" w:hAnsiTheme="majorHAnsi" w:eastAsiaTheme="majorEastAsia" w:cstheme="majorBidi"/>
      <w:color w:val="1D6295" w:themeColor="accent2" w:themeShade="BF"/>
      <w:sz w:val="24"/>
      <w:szCs w:val="24"/>
    </w:rPr>
  </w:style>
  <w:style w:type="paragraph" w:styleId="7">
    <w:name w:val="heading 6"/>
    <w:basedOn w:val="1"/>
    <w:next w:val="1"/>
    <w:link w:val="31"/>
    <w:semiHidden/>
    <w:unhideWhenUsed/>
    <w:qFormat/>
    <w:uiPriority w:val="9"/>
    <w:pPr>
      <w:keepNext/>
      <w:keepLines/>
      <w:spacing w:before="80" w:after="0" w:line="240" w:lineRule="auto"/>
      <w:outlineLvl w:val="5"/>
    </w:pPr>
    <w:rPr>
      <w:rFonts w:asciiTheme="majorHAnsi" w:hAnsiTheme="majorHAnsi" w:eastAsiaTheme="majorEastAsia" w:cstheme="majorBidi"/>
      <w:i/>
      <w:iCs/>
      <w:color w:val="134163" w:themeColor="accent2" w:themeShade="80"/>
      <w:sz w:val="24"/>
      <w:szCs w:val="24"/>
    </w:rPr>
  </w:style>
  <w:style w:type="paragraph" w:styleId="8">
    <w:name w:val="heading 7"/>
    <w:basedOn w:val="1"/>
    <w:next w:val="1"/>
    <w:link w:val="32"/>
    <w:semiHidden/>
    <w:unhideWhenUsed/>
    <w:qFormat/>
    <w:uiPriority w:val="9"/>
    <w:pPr>
      <w:keepNext/>
      <w:keepLines/>
      <w:spacing w:before="80" w:after="0" w:line="240" w:lineRule="auto"/>
      <w:outlineLvl w:val="6"/>
    </w:pPr>
    <w:rPr>
      <w:rFonts w:asciiTheme="majorHAnsi" w:hAnsiTheme="majorHAnsi" w:eastAsiaTheme="majorEastAsia" w:cstheme="majorBidi"/>
      <w:b/>
      <w:bCs/>
      <w:color w:val="134163" w:themeColor="accent2" w:themeShade="80"/>
      <w:szCs w:val="22"/>
    </w:rPr>
  </w:style>
  <w:style w:type="paragraph" w:styleId="9">
    <w:name w:val="heading 8"/>
    <w:basedOn w:val="1"/>
    <w:next w:val="1"/>
    <w:link w:val="33"/>
    <w:semiHidden/>
    <w:unhideWhenUsed/>
    <w:qFormat/>
    <w:uiPriority w:val="9"/>
    <w:pPr>
      <w:keepNext/>
      <w:keepLines/>
      <w:spacing w:before="80" w:after="0" w:line="240" w:lineRule="auto"/>
      <w:outlineLvl w:val="7"/>
    </w:pPr>
    <w:rPr>
      <w:rFonts w:asciiTheme="majorHAnsi" w:hAnsiTheme="majorHAnsi" w:eastAsiaTheme="majorEastAsia" w:cstheme="majorBidi"/>
      <w:color w:val="134163" w:themeColor="accent2" w:themeShade="80"/>
      <w:szCs w:val="22"/>
    </w:rPr>
  </w:style>
  <w:style w:type="paragraph" w:styleId="10">
    <w:name w:val="heading 9"/>
    <w:basedOn w:val="1"/>
    <w:next w:val="1"/>
    <w:link w:val="34"/>
    <w:semiHidden/>
    <w:unhideWhenUsed/>
    <w:qFormat/>
    <w:uiPriority w:val="9"/>
    <w:pPr>
      <w:keepNext/>
      <w:keepLines/>
      <w:spacing w:before="80" w:after="0" w:line="240" w:lineRule="auto"/>
      <w:outlineLvl w:val="8"/>
    </w:pPr>
    <w:rPr>
      <w:rFonts w:asciiTheme="majorHAnsi" w:hAnsiTheme="majorHAnsi" w:eastAsiaTheme="majorEastAsia" w:cstheme="majorBidi"/>
      <w:i/>
      <w:iCs/>
      <w:color w:val="134163" w:themeColor="accent2" w:themeShade="80"/>
      <w:szCs w:val="22"/>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unhideWhenUsed/>
    <w:qFormat/>
    <w:uiPriority w:val="35"/>
    <w:pPr>
      <w:spacing w:line="240" w:lineRule="auto"/>
    </w:pPr>
    <w:rPr>
      <w:b/>
      <w:bCs/>
      <w:color w:val="404040" w:themeColor="text1" w:themeTint="BF"/>
      <w:sz w:val="16"/>
      <w:szCs w:val="16"/>
      <w14:textFill>
        <w14:solidFill>
          <w14:schemeClr w14:val="tx1">
            <w14:lumMod w14:val="75000"/>
            <w14:lumOff w14:val="25000"/>
          </w14:schemeClr>
        </w14:solidFill>
      </w14:textFill>
    </w:rPr>
  </w:style>
  <w:style w:type="character" w:styleId="14">
    <w:name w:val="Emphasis"/>
    <w:basedOn w:val="11"/>
    <w:qFormat/>
    <w:uiPriority w:val="20"/>
    <w:rPr>
      <w:i/>
      <w:iCs/>
      <w:color w:val="000000" w:themeColor="text1"/>
      <w14:textFill>
        <w14:solidFill>
          <w14:schemeClr w14:val="tx1"/>
        </w14:solidFill>
      </w14:textFill>
    </w:rPr>
  </w:style>
  <w:style w:type="paragraph" w:styleId="15">
    <w:name w:val="footer"/>
    <w:basedOn w:val="1"/>
    <w:link w:val="49"/>
    <w:unhideWhenUsed/>
    <w:qFormat/>
    <w:uiPriority w:val="99"/>
    <w:pPr>
      <w:tabs>
        <w:tab w:val="center" w:pos="4680"/>
        <w:tab w:val="right" w:pos="9360"/>
      </w:tabs>
      <w:spacing w:after="0" w:line="240" w:lineRule="auto"/>
    </w:pPr>
  </w:style>
  <w:style w:type="character" w:styleId="16">
    <w:name w:val="footnote reference"/>
    <w:basedOn w:val="11"/>
    <w:semiHidden/>
    <w:unhideWhenUsed/>
    <w:qFormat/>
    <w:uiPriority w:val="99"/>
    <w:rPr>
      <w:vertAlign w:val="superscript"/>
    </w:rPr>
  </w:style>
  <w:style w:type="paragraph" w:styleId="17">
    <w:name w:val="footnote text"/>
    <w:basedOn w:val="1"/>
    <w:link w:val="50"/>
    <w:semiHidden/>
    <w:unhideWhenUsed/>
    <w:qFormat/>
    <w:uiPriority w:val="99"/>
    <w:pPr>
      <w:spacing w:after="0" w:line="240" w:lineRule="auto"/>
    </w:pPr>
    <w:rPr>
      <w:sz w:val="20"/>
      <w:szCs w:val="20"/>
    </w:rPr>
  </w:style>
  <w:style w:type="paragraph" w:styleId="18">
    <w:name w:val="header"/>
    <w:basedOn w:val="1"/>
    <w:link w:val="48"/>
    <w:unhideWhenUsed/>
    <w:qFormat/>
    <w:uiPriority w:val="99"/>
    <w:pPr>
      <w:tabs>
        <w:tab w:val="center" w:pos="4680"/>
        <w:tab w:val="right" w:pos="9360"/>
      </w:tabs>
      <w:spacing w:after="0" w:line="240" w:lineRule="auto"/>
    </w:pPr>
  </w:style>
  <w:style w:type="character" w:styleId="19">
    <w:name w:val="Hyperlink"/>
    <w:basedOn w:val="11"/>
    <w:unhideWhenUsed/>
    <w:qFormat/>
    <w:uiPriority w:val="99"/>
    <w:rPr>
      <w:color w:val="2683C6" w:themeColor="hyperlink"/>
      <w:u w:val="single"/>
      <w14:textFill>
        <w14:solidFill>
          <w14:schemeClr w14:val="hlink"/>
        </w14:solidFill>
      </w14:textFill>
    </w:rPr>
  </w:style>
  <w:style w:type="character" w:styleId="20">
    <w:name w:val="Strong"/>
    <w:basedOn w:val="11"/>
    <w:qFormat/>
    <w:uiPriority w:val="22"/>
    <w:rPr>
      <w:b/>
      <w:bCs/>
    </w:rPr>
  </w:style>
  <w:style w:type="paragraph" w:styleId="21">
    <w:name w:val="Subtitle"/>
    <w:basedOn w:val="1"/>
    <w:next w:val="1"/>
    <w:link w:val="36"/>
    <w:qFormat/>
    <w:uiPriority w:val="11"/>
    <w:pPr>
      <w:spacing w:after="240"/>
    </w:pPr>
    <w:rPr>
      <w:caps/>
      <w:color w:val="404040" w:themeColor="text1" w:themeTint="BF"/>
      <w:spacing w:val="20"/>
      <w:sz w:val="28"/>
      <w:szCs w:val="28"/>
      <w14:textFill>
        <w14:solidFill>
          <w14:schemeClr w14:val="tx1">
            <w14:lumMod w14:val="75000"/>
            <w14:lumOff w14:val="25000"/>
          </w14:schemeClr>
        </w14:solidFill>
      </w14:textFill>
    </w:rPr>
  </w:style>
  <w:style w:type="table" w:styleId="22">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3">
    <w:name w:val="Title"/>
    <w:basedOn w:val="1"/>
    <w:next w:val="1"/>
    <w:link w:val="35"/>
    <w:qFormat/>
    <w:uiPriority w:val="10"/>
    <w:pPr>
      <w:spacing w:after="0" w:line="240" w:lineRule="auto"/>
      <w:contextualSpacing/>
    </w:pPr>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paragraph" w:styleId="24">
    <w:name w:val="toc 1"/>
    <w:basedOn w:val="1"/>
    <w:next w:val="1"/>
    <w:unhideWhenUsed/>
    <w:qFormat/>
    <w:uiPriority w:val="39"/>
    <w:pPr>
      <w:spacing w:after="100"/>
    </w:pPr>
  </w:style>
  <w:style w:type="paragraph" w:styleId="25">
    <w:name w:val="toc 2"/>
    <w:basedOn w:val="1"/>
    <w:next w:val="1"/>
    <w:unhideWhenUsed/>
    <w:qFormat/>
    <w:uiPriority w:val="39"/>
    <w:pPr>
      <w:spacing w:after="100"/>
      <w:ind w:left="220"/>
    </w:pPr>
  </w:style>
  <w:style w:type="character" w:customStyle="1" w:styleId="26">
    <w:name w:val="Heading 1 Char"/>
    <w:basedOn w:val="11"/>
    <w:link w:val="2"/>
    <w:qFormat/>
    <w:uiPriority w:val="9"/>
    <w:rPr>
      <w:rFonts w:asciiTheme="majorHAnsi" w:hAnsiTheme="majorHAnsi" w:eastAsiaTheme="majorEastAsia" w:cstheme="majorBidi"/>
      <w:b/>
      <w:sz w:val="32"/>
      <w:szCs w:val="40"/>
    </w:rPr>
  </w:style>
  <w:style w:type="character" w:customStyle="1" w:styleId="27">
    <w:name w:val="Heading 2 Char"/>
    <w:basedOn w:val="11"/>
    <w:link w:val="3"/>
    <w:qFormat/>
    <w:uiPriority w:val="9"/>
    <w:rPr>
      <w:rFonts w:asciiTheme="majorHAnsi" w:hAnsiTheme="majorHAnsi" w:eastAsiaTheme="majorEastAsia" w:cstheme="majorBidi"/>
      <w:color w:val="2683C6" w:themeColor="accent2"/>
      <w:sz w:val="28"/>
      <w:szCs w:val="36"/>
      <w14:textFill>
        <w14:solidFill>
          <w14:schemeClr w14:val="accent2"/>
        </w14:solidFill>
      </w14:textFill>
    </w:rPr>
  </w:style>
  <w:style w:type="character" w:customStyle="1" w:styleId="28">
    <w:name w:val="Heading 3 Char"/>
    <w:basedOn w:val="11"/>
    <w:link w:val="4"/>
    <w:semiHidden/>
    <w:qFormat/>
    <w:uiPriority w:val="9"/>
    <w:rPr>
      <w:rFonts w:asciiTheme="majorHAnsi" w:hAnsiTheme="majorHAnsi" w:eastAsiaTheme="majorEastAsia" w:cstheme="majorBidi"/>
      <w:color w:val="1D6295" w:themeColor="accent2" w:themeShade="BF"/>
      <w:sz w:val="32"/>
      <w:szCs w:val="32"/>
    </w:rPr>
  </w:style>
  <w:style w:type="character" w:customStyle="1" w:styleId="29">
    <w:name w:val="Heading 4 Char"/>
    <w:basedOn w:val="11"/>
    <w:link w:val="5"/>
    <w:semiHidden/>
    <w:qFormat/>
    <w:uiPriority w:val="9"/>
    <w:rPr>
      <w:rFonts w:asciiTheme="majorHAnsi" w:hAnsiTheme="majorHAnsi" w:eastAsiaTheme="majorEastAsia" w:cstheme="majorBidi"/>
      <w:i/>
      <w:iCs/>
      <w:color w:val="134163" w:themeColor="accent2" w:themeShade="80"/>
      <w:sz w:val="28"/>
      <w:szCs w:val="28"/>
    </w:rPr>
  </w:style>
  <w:style w:type="character" w:customStyle="1" w:styleId="30">
    <w:name w:val="Heading 5 Char"/>
    <w:basedOn w:val="11"/>
    <w:link w:val="6"/>
    <w:semiHidden/>
    <w:qFormat/>
    <w:uiPriority w:val="9"/>
    <w:rPr>
      <w:rFonts w:asciiTheme="majorHAnsi" w:hAnsiTheme="majorHAnsi" w:eastAsiaTheme="majorEastAsia" w:cstheme="majorBidi"/>
      <w:color w:val="1D6295" w:themeColor="accent2" w:themeShade="BF"/>
      <w:sz w:val="24"/>
      <w:szCs w:val="24"/>
    </w:rPr>
  </w:style>
  <w:style w:type="character" w:customStyle="1" w:styleId="31">
    <w:name w:val="Heading 6 Char"/>
    <w:basedOn w:val="11"/>
    <w:link w:val="7"/>
    <w:semiHidden/>
    <w:qFormat/>
    <w:uiPriority w:val="9"/>
    <w:rPr>
      <w:rFonts w:asciiTheme="majorHAnsi" w:hAnsiTheme="majorHAnsi" w:eastAsiaTheme="majorEastAsia" w:cstheme="majorBidi"/>
      <w:i/>
      <w:iCs/>
      <w:color w:val="134163" w:themeColor="accent2" w:themeShade="80"/>
      <w:sz w:val="24"/>
      <w:szCs w:val="24"/>
    </w:rPr>
  </w:style>
  <w:style w:type="character" w:customStyle="1" w:styleId="32">
    <w:name w:val="Heading 7 Char"/>
    <w:basedOn w:val="11"/>
    <w:link w:val="8"/>
    <w:semiHidden/>
    <w:qFormat/>
    <w:uiPriority w:val="9"/>
    <w:rPr>
      <w:rFonts w:asciiTheme="majorHAnsi" w:hAnsiTheme="majorHAnsi" w:eastAsiaTheme="majorEastAsia" w:cstheme="majorBidi"/>
      <w:b/>
      <w:bCs/>
      <w:color w:val="134163" w:themeColor="accent2" w:themeShade="80"/>
      <w:sz w:val="22"/>
      <w:szCs w:val="22"/>
    </w:rPr>
  </w:style>
  <w:style w:type="character" w:customStyle="1" w:styleId="33">
    <w:name w:val="Heading 8 Char"/>
    <w:basedOn w:val="11"/>
    <w:link w:val="9"/>
    <w:semiHidden/>
    <w:qFormat/>
    <w:uiPriority w:val="9"/>
    <w:rPr>
      <w:rFonts w:asciiTheme="majorHAnsi" w:hAnsiTheme="majorHAnsi" w:eastAsiaTheme="majorEastAsia" w:cstheme="majorBidi"/>
      <w:color w:val="134163" w:themeColor="accent2" w:themeShade="80"/>
      <w:sz w:val="22"/>
      <w:szCs w:val="22"/>
    </w:rPr>
  </w:style>
  <w:style w:type="character" w:customStyle="1" w:styleId="34">
    <w:name w:val="Heading 9 Char"/>
    <w:basedOn w:val="11"/>
    <w:link w:val="10"/>
    <w:semiHidden/>
    <w:qFormat/>
    <w:uiPriority w:val="9"/>
    <w:rPr>
      <w:rFonts w:asciiTheme="majorHAnsi" w:hAnsiTheme="majorHAnsi" w:eastAsiaTheme="majorEastAsia" w:cstheme="majorBidi"/>
      <w:i/>
      <w:iCs/>
      <w:color w:val="134163" w:themeColor="accent2" w:themeShade="80"/>
      <w:sz w:val="22"/>
      <w:szCs w:val="22"/>
    </w:rPr>
  </w:style>
  <w:style w:type="character" w:customStyle="1" w:styleId="35">
    <w:name w:val="Title Char"/>
    <w:basedOn w:val="11"/>
    <w:link w:val="23"/>
    <w:qFormat/>
    <w:uiPriority w:val="10"/>
    <w:rPr>
      <w:rFonts w:asciiTheme="majorHAnsi" w:hAnsiTheme="majorHAnsi" w:eastAsiaTheme="majorEastAsia" w:cstheme="majorBidi"/>
      <w:color w:val="262626" w:themeColor="text1" w:themeTint="D9"/>
      <w:sz w:val="96"/>
      <w:szCs w:val="96"/>
      <w14:textFill>
        <w14:solidFill>
          <w14:schemeClr w14:val="tx1">
            <w14:lumMod w14:val="85000"/>
            <w14:lumOff w14:val="15000"/>
          </w14:schemeClr>
        </w14:solidFill>
      </w14:textFill>
    </w:rPr>
  </w:style>
  <w:style w:type="character" w:customStyle="1" w:styleId="36">
    <w:name w:val="Subtitle Char"/>
    <w:basedOn w:val="11"/>
    <w:link w:val="21"/>
    <w:qFormat/>
    <w:uiPriority w:val="11"/>
    <w:rPr>
      <w:caps/>
      <w:color w:val="404040" w:themeColor="text1" w:themeTint="BF"/>
      <w:spacing w:val="20"/>
      <w:sz w:val="28"/>
      <w:szCs w:val="28"/>
      <w14:textFill>
        <w14:solidFill>
          <w14:schemeClr w14:val="tx1">
            <w14:lumMod w14:val="75000"/>
            <w14:lumOff w14:val="25000"/>
          </w14:schemeClr>
        </w14:solidFill>
      </w14:textFill>
    </w:rPr>
  </w:style>
  <w:style w:type="paragraph" w:styleId="37">
    <w:name w:val="No Spacing"/>
    <w:qFormat/>
    <w:uiPriority w:val="1"/>
    <w:pPr>
      <w:spacing w:after="0" w:line="240" w:lineRule="auto"/>
    </w:pPr>
    <w:rPr>
      <w:rFonts w:asciiTheme="minorHAnsi" w:hAnsiTheme="minorHAnsi" w:eastAsiaTheme="minorEastAsia" w:cstheme="minorBidi"/>
      <w:sz w:val="21"/>
      <w:szCs w:val="21"/>
      <w:lang w:val="en-US" w:eastAsia="en-US" w:bidi="ar-SA"/>
    </w:rPr>
  </w:style>
  <w:style w:type="paragraph" w:styleId="38">
    <w:name w:val="Quote"/>
    <w:basedOn w:val="1"/>
    <w:next w:val="1"/>
    <w:link w:val="39"/>
    <w:qFormat/>
    <w:uiPriority w:val="29"/>
    <w:pPr>
      <w:spacing w:before="160"/>
      <w:ind w:left="720" w:right="720"/>
      <w:jc w:val="center"/>
    </w:pPr>
    <w:rPr>
      <w:rFonts w:asciiTheme="majorHAnsi" w:hAnsiTheme="majorHAnsi" w:eastAsiaTheme="majorEastAsia" w:cstheme="majorBidi"/>
      <w:color w:val="000000" w:themeColor="text1"/>
      <w:sz w:val="24"/>
      <w:szCs w:val="24"/>
      <w14:textFill>
        <w14:solidFill>
          <w14:schemeClr w14:val="tx1"/>
        </w14:solidFill>
      </w14:textFill>
    </w:rPr>
  </w:style>
  <w:style w:type="character" w:customStyle="1" w:styleId="39">
    <w:name w:val="Quote Char"/>
    <w:basedOn w:val="11"/>
    <w:link w:val="38"/>
    <w:qFormat/>
    <w:uiPriority w:val="29"/>
    <w:rPr>
      <w:rFonts w:asciiTheme="majorHAnsi" w:hAnsiTheme="majorHAnsi" w:eastAsiaTheme="majorEastAsia" w:cstheme="majorBidi"/>
      <w:color w:val="000000" w:themeColor="text1"/>
      <w:sz w:val="24"/>
      <w:szCs w:val="24"/>
      <w14:textFill>
        <w14:solidFill>
          <w14:schemeClr w14:val="tx1"/>
        </w14:solidFill>
      </w14:textFill>
    </w:rPr>
  </w:style>
  <w:style w:type="paragraph" w:styleId="40">
    <w:name w:val="Intense Quote"/>
    <w:basedOn w:val="1"/>
    <w:next w:val="1"/>
    <w:link w:val="41"/>
    <w:qFormat/>
    <w:uiPriority w:val="30"/>
    <w:pPr>
      <w:pBdr>
        <w:top w:val="single" w:color="2683C6" w:themeColor="accent2" w:sz="24" w:space="4"/>
      </w:pBdr>
      <w:spacing w:before="240" w:after="240" w:line="240" w:lineRule="auto"/>
      <w:ind w:left="936" w:right="936"/>
      <w:jc w:val="center"/>
    </w:pPr>
    <w:rPr>
      <w:rFonts w:asciiTheme="majorHAnsi" w:hAnsiTheme="majorHAnsi" w:eastAsiaTheme="majorEastAsia" w:cstheme="majorBidi"/>
      <w:sz w:val="24"/>
      <w:szCs w:val="24"/>
    </w:rPr>
  </w:style>
  <w:style w:type="character" w:customStyle="1" w:styleId="41">
    <w:name w:val="Intense Quote Char"/>
    <w:basedOn w:val="11"/>
    <w:link w:val="40"/>
    <w:qFormat/>
    <w:uiPriority w:val="30"/>
    <w:rPr>
      <w:rFonts w:asciiTheme="majorHAnsi" w:hAnsiTheme="majorHAnsi" w:eastAsiaTheme="majorEastAsia" w:cstheme="majorBidi"/>
      <w:sz w:val="24"/>
      <w:szCs w:val="24"/>
    </w:rPr>
  </w:style>
  <w:style w:type="character" w:customStyle="1" w:styleId="42">
    <w:name w:val="Subtle Emphasis"/>
    <w:basedOn w:val="11"/>
    <w:qFormat/>
    <w:uiPriority w:val="19"/>
    <w:rPr>
      <w:i/>
      <w:iCs/>
      <w:color w:val="595959" w:themeColor="text1" w:themeTint="A6"/>
      <w14:textFill>
        <w14:solidFill>
          <w14:schemeClr w14:val="tx1">
            <w14:lumMod w14:val="65000"/>
            <w14:lumOff w14:val="35000"/>
          </w14:schemeClr>
        </w14:solidFill>
      </w14:textFill>
    </w:rPr>
  </w:style>
  <w:style w:type="character" w:customStyle="1" w:styleId="43">
    <w:name w:val="Intense Emphasis"/>
    <w:basedOn w:val="11"/>
    <w:qFormat/>
    <w:uiPriority w:val="21"/>
    <w:rPr>
      <w:b/>
      <w:bCs/>
      <w:i/>
      <w:iCs/>
      <w:color w:val="2683C6" w:themeColor="accent2"/>
      <w14:textFill>
        <w14:solidFill>
          <w14:schemeClr w14:val="accent2"/>
        </w14:solidFill>
      </w14:textFill>
    </w:rPr>
  </w:style>
  <w:style w:type="character" w:customStyle="1" w:styleId="44">
    <w:name w:val="Subtle Reference"/>
    <w:basedOn w:val="11"/>
    <w:qFormat/>
    <w:uiPriority w:val="31"/>
    <w:rPr>
      <w:smallCaps/>
      <w:color w:val="404040" w:themeColor="text1" w:themeTint="BF"/>
      <w:spacing w:val="0"/>
      <w:u w:val="single" w:color="7F7F7F"/>
      <w14:textFill>
        <w14:solidFill>
          <w14:schemeClr w14:val="tx1">
            <w14:lumMod w14:val="75000"/>
            <w14:lumOff w14:val="25000"/>
          </w14:schemeClr>
        </w14:solidFill>
      </w14:textFill>
    </w:rPr>
  </w:style>
  <w:style w:type="character" w:customStyle="1" w:styleId="45">
    <w:name w:val="Intense Reference"/>
    <w:basedOn w:val="11"/>
    <w:qFormat/>
    <w:uiPriority w:val="32"/>
    <w:rPr>
      <w:b/>
      <w:bCs/>
      <w:smallCaps/>
      <w:color w:val="auto"/>
      <w:spacing w:val="0"/>
      <w:u w:val="single"/>
    </w:rPr>
  </w:style>
  <w:style w:type="character" w:customStyle="1" w:styleId="46">
    <w:name w:val="Book Title"/>
    <w:basedOn w:val="11"/>
    <w:qFormat/>
    <w:uiPriority w:val="33"/>
    <w:rPr>
      <w:b/>
      <w:bCs/>
      <w:smallCaps/>
      <w:spacing w:val="0"/>
    </w:rPr>
  </w:style>
  <w:style w:type="paragraph" w:customStyle="1" w:styleId="47">
    <w:name w:val="TOC Heading"/>
    <w:basedOn w:val="2"/>
    <w:next w:val="1"/>
    <w:unhideWhenUsed/>
    <w:qFormat/>
    <w:uiPriority w:val="39"/>
    <w:pPr>
      <w:outlineLvl w:val="9"/>
    </w:pPr>
  </w:style>
  <w:style w:type="character" w:customStyle="1" w:styleId="48">
    <w:name w:val="Header Char"/>
    <w:basedOn w:val="11"/>
    <w:link w:val="18"/>
    <w:qFormat/>
    <w:uiPriority w:val="99"/>
  </w:style>
  <w:style w:type="character" w:customStyle="1" w:styleId="49">
    <w:name w:val="Footer Char"/>
    <w:basedOn w:val="11"/>
    <w:link w:val="15"/>
    <w:qFormat/>
    <w:uiPriority w:val="99"/>
  </w:style>
  <w:style w:type="character" w:customStyle="1" w:styleId="50">
    <w:name w:val="Footnote Text Char"/>
    <w:basedOn w:val="11"/>
    <w:link w:val="17"/>
    <w:semiHidden/>
    <w:qFormat/>
    <w:uiPriority w:val="99"/>
    <w:rPr>
      <w:sz w:val="20"/>
      <w:szCs w:val="20"/>
    </w:rPr>
  </w:style>
  <w:style w:type="paragraph" w:customStyle="1" w:styleId="51">
    <w:name w:val="Bibliography"/>
    <w:basedOn w:val="1"/>
    <w:next w:val="1"/>
    <w:unhideWhenUsed/>
    <w:qFormat/>
    <w:uiPriority w:val="37"/>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glossaryDocument" Target="glossary/document.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openxmlformats.org/officeDocument/2006/relationships/image" Target="media/image4.png"/><Relationship Id="rId16" Type="http://schemas.openxmlformats.org/officeDocument/2006/relationships/image" Target="media/image3.png"/><Relationship Id="rId15" Type="http://schemas.openxmlformats.org/officeDocument/2006/relationships/image" Target="media/image2.png"/><Relationship Id="rId14" Type="http://schemas.openxmlformats.org/officeDocument/2006/relationships/image" Target="media/image1.jpeg"/><Relationship Id="rId13" Type="http://schemas.openxmlformats.org/officeDocument/2006/relationships/theme" Target="theme/theme1.xml"/><Relationship Id="rId12" Type="http://schemas.openxmlformats.org/officeDocument/2006/relationships/footer" Target="footer4.xml"/><Relationship Id="rId11" Type="http://schemas.openxmlformats.org/officeDocument/2006/relationships/header" Target="header4.xml"/><Relationship Id="rId10" Type="http://schemas.openxmlformats.org/officeDocument/2006/relationships/footer" Target="footer3.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63AB11511BB4182A3B6B8128FCE2813"/>
        <w:style w:val=""/>
        <w:category>
          <w:name w:val="General"/>
          <w:gallery w:val="placeholder"/>
        </w:category>
        <w:types>
          <w:type w:val="bbPlcHdr"/>
        </w:types>
        <w:behaviors>
          <w:behavior w:val="content"/>
        </w:behaviors>
        <w:description w:val=""/>
        <w:guid w:val="{6756488F-72A4-4185-BF8A-561EFA4E30A6}"/>
      </w:docPartPr>
      <w:docPartBody>
        <w:p>
          <w:pPr>
            <w:pStyle w:val="4"/>
          </w:pPr>
          <w:r>
            <w:rPr>
              <w:rFonts w:asciiTheme="majorHAnsi" w:hAnsiTheme="majorHAnsi"/>
              <w:color w:val="FFFFFF" w:themeColor="background1"/>
              <w:sz w:val="96"/>
              <w:szCs w:val="96"/>
              <w14:textFill>
                <w14:solidFill>
                  <w14:schemeClr w14:val="bg1"/>
                </w14:solidFill>
              </w14:textFill>
            </w:rPr>
            <w:t>[Document title]</w:t>
          </w:r>
        </w:p>
      </w:docPartBody>
    </w:docPart>
    <w:docPart>
      <w:docPartPr>
        <w:name w:val="E0773FA0DF8C4FC788173113885C42B4"/>
        <w:style w:val=""/>
        <w:category>
          <w:name w:val="General"/>
          <w:gallery w:val="placeholder"/>
        </w:category>
        <w:types>
          <w:type w:val="bbPlcHdr"/>
        </w:types>
        <w:behaviors>
          <w:behavior w:val="content"/>
        </w:behaviors>
        <w:description w:val=""/>
        <w:guid w:val="{60ED1869-B32D-462D-B957-B3B7B4C6F4CD}"/>
      </w:docPartPr>
      <w:docPartBody>
        <w:p>
          <w:pPr>
            <w:pStyle w:val="5"/>
          </w:pPr>
          <w:r>
            <w:rPr>
              <w:color w:val="FFFFFF" w:themeColor="background1"/>
              <w:sz w:val="32"/>
              <w:szCs w:val="32"/>
              <w14:textFill>
                <w14:solidFill>
                  <w14:schemeClr w14:val="bg1"/>
                </w14:solidFill>
              </w14:textFill>
            </w:rPr>
            <w:t>[Document subtitle]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86"/>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7608"/>
    <w:rsid w:val="00703A00"/>
    <w:rsid w:val="0071259C"/>
    <w:rsid w:val="00CB7048"/>
    <w:rsid w:val="00FF76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D63AB11511BB4182A3B6B8128FCE2813"/>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E0773FA0DF8C4FC788173113885C42B4"/>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6">
    <w:name w:val="BF705F7AF8414529986487EBCC1313CB"/>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7">
    <w:name w:val="0E99FCC9DF2A40509D8A6E37CF2D87C7"/>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8">
    <w:name w:val="DCA5F376DA8344168E68D65C0DFA8A94"/>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2683C6"/>
      </a:hlink>
      <a:folHlink>
        <a:srgbClr val="C7ED94"/>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1901</Words>
  <Characters>10838</Characters>
  <Lines>90</Lines>
  <Paragraphs>25</Paragraphs>
  <TotalTime>2</TotalTime>
  <ScaleCrop>false</ScaleCrop>
  <LinksUpToDate>false</LinksUpToDate>
  <CharactersWithSpaces>12714</CharactersWithSpaces>
  <Application>WPS Office_4.2.0.7541_F1E327BC-269C-435d-A152-05C5408002CA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2022-07-27T08:01:00Z</dcterms:created>
  <dcterms:modified xsi:type="dcterms:W3CDTF">2022-07-29T16:48:43Z</dcterms:modified>
  <dc:subject>REPORT</dc:subject>
  <dc:title>LCBB6002 International Financial Management Assessment 1</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1033-4.2.0.7541</vt:lpwstr>
  </property>
</Properties>
</file>