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142D2A" w14:textId="1E47DC95" w:rsidR="00FA6F15" w:rsidRPr="001017B7" w:rsidRDefault="00AF6D54" w:rsidP="00FA6F15">
      <w:pPr>
        <w:rPr>
          <w:b/>
          <w:bCs/>
          <w:sz w:val="40"/>
          <w:szCs w:val="40"/>
        </w:rPr>
      </w:pPr>
      <w:r w:rsidRPr="001017B7">
        <w:rPr>
          <w:b/>
          <w:bCs/>
          <w:sz w:val="40"/>
          <w:szCs w:val="40"/>
        </w:rPr>
        <w:t>Accor five years income statement</w:t>
      </w:r>
    </w:p>
    <w:p w14:paraId="7C7B2737" w14:textId="77777777" w:rsidR="00FA6F15" w:rsidRDefault="00FA6F15" w:rsidP="00FA6F15"/>
    <w:p w14:paraId="6372DCC3" w14:textId="0A15AC2E" w:rsidR="00FA6F15" w:rsidRDefault="00FA6F15" w:rsidP="00FA6F15">
      <w:r>
        <w:t>Metric</w:t>
      </w:r>
      <w:r>
        <w:tab/>
        <w:t>2020</w:t>
      </w:r>
      <w:r>
        <w:tab/>
        <w:t>2021</w:t>
      </w:r>
      <w:r>
        <w:tab/>
        <w:t>2022</w:t>
      </w:r>
      <w:r>
        <w:tab/>
        <w:t>2023</w:t>
      </w:r>
      <w:r>
        <w:tab/>
        <w:t>2024</w:t>
      </w:r>
    </w:p>
    <w:p w14:paraId="488C0F50" w14:textId="77777777" w:rsidR="00FA6F15" w:rsidRDefault="00FA6F15" w:rsidP="00FA6F15">
      <w:r>
        <w:t>Total Revenue</w:t>
      </w:r>
      <w:r>
        <w:tab/>
        <w:t>1,621</w:t>
      </w:r>
      <w:r>
        <w:tab/>
        <w:t>2,204</w:t>
      </w:r>
      <w:r>
        <w:tab/>
        <w:t>4,224</w:t>
      </w:r>
      <w:r>
        <w:tab/>
        <w:t>5,056</w:t>
      </w:r>
      <w:r>
        <w:tab/>
        <w:t>5,606</w:t>
      </w:r>
    </w:p>
    <w:p w14:paraId="40344E2C" w14:textId="77777777" w:rsidR="00FA6F15" w:rsidRDefault="00FA6F15" w:rsidP="00FA6F15">
      <w:r>
        <w:t>Cost of Sales / Direct Costs</w:t>
      </w:r>
      <w:r>
        <w:tab/>
        <w:t>1,245</w:t>
      </w:r>
      <w:r>
        <w:tab/>
        <w:t>1,478</w:t>
      </w:r>
      <w:r>
        <w:tab/>
        <w:t>2,742</w:t>
      </w:r>
      <w:r>
        <w:tab/>
        <w:t>3,321</w:t>
      </w:r>
      <w:r>
        <w:tab/>
        <w:t>3,710</w:t>
      </w:r>
    </w:p>
    <w:p w14:paraId="31A7CD38" w14:textId="77777777" w:rsidR="00FA6F15" w:rsidRDefault="00FA6F15" w:rsidP="00FA6F15">
      <w:r>
        <w:t>Gross Profit</w:t>
      </w:r>
      <w:r>
        <w:tab/>
        <w:t>376</w:t>
      </w:r>
      <w:r>
        <w:tab/>
        <w:t>726</w:t>
      </w:r>
      <w:r>
        <w:tab/>
        <w:t>1,482</w:t>
      </w:r>
      <w:r>
        <w:tab/>
        <w:t>1,735</w:t>
      </w:r>
      <w:r>
        <w:tab/>
        <w:t>1,896</w:t>
      </w:r>
    </w:p>
    <w:p w14:paraId="0D78B204" w14:textId="77777777" w:rsidR="00FA6F15" w:rsidRDefault="00FA6F15" w:rsidP="00FA6F15">
      <w:r>
        <w:t>Gross Profit Margin (%)</w:t>
      </w:r>
      <w:r>
        <w:tab/>
        <w:t>23.2%</w:t>
      </w:r>
      <w:r>
        <w:tab/>
        <w:t>32.9%</w:t>
      </w:r>
      <w:r>
        <w:tab/>
        <w:t>35.1%</w:t>
      </w:r>
      <w:r>
        <w:tab/>
        <w:t>34.3%</w:t>
      </w:r>
      <w:r>
        <w:tab/>
        <w:t>33.8%</w:t>
      </w:r>
    </w:p>
    <w:p w14:paraId="6A5200AB" w14:textId="77777777" w:rsidR="00FA6F15" w:rsidRDefault="00FA6F15" w:rsidP="00FA6F15">
      <w:r>
        <w:t>SG&amp;A Expenses</w:t>
      </w:r>
      <w:r>
        <w:tab/>
        <w:t>767</w:t>
      </w:r>
      <w:r>
        <w:tab/>
        <w:t>704</w:t>
      </w:r>
      <w:r>
        <w:tab/>
        <w:t>807</w:t>
      </w:r>
      <w:r>
        <w:tab/>
        <w:t>732</w:t>
      </w:r>
      <w:r>
        <w:tab/>
        <w:t>776</w:t>
      </w:r>
    </w:p>
    <w:p w14:paraId="66F08952" w14:textId="77777777" w:rsidR="00FA6F15" w:rsidRDefault="00FA6F15" w:rsidP="00FA6F15">
      <w:r>
        <w:t>EBITDA</w:t>
      </w:r>
      <w:r>
        <w:tab/>
        <w:t>-391</w:t>
      </w:r>
      <w:r>
        <w:tab/>
        <w:t>22</w:t>
      </w:r>
      <w:r>
        <w:tab/>
        <w:t>675</w:t>
      </w:r>
      <w:r>
        <w:tab/>
        <w:t>1,003</w:t>
      </w:r>
      <w:r>
        <w:tab/>
        <w:t>1,120</w:t>
      </w:r>
    </w:p>
    <w:p w14:paraId="34D0E987" w14:textId="77777777" w:rsidR="00FA6F15" w:rsidRDefault="00FA6F15" w:rsidP="00FA6F15">
      <w:r>
        <w:t>EBITDA Margin (%)</w:t>
      </w:r>
      <w:r>
        <w:tab/>
        <w:t>-24.1%</w:t>
      </w:r>
      <w:r>
        <w:tab/>
        <w:t>1.0%</w:t>
      </w:r>
      <w:r>
        <w:tab/>
        <w:t>16.0%</w:t>
      </w:r>
      <w:r>
        <w:tab/>
        <w:t>19.8%</w:t>
      </w:r>
      <w:r>
        <w:tab/>
        <w:t>20.0%</w:t>
      </w:r>
    </w:p>
    <w:p w14:paraId="4D9BB89C" w14:textId="77777777" w:rsidR="00FA6F15" w:rsidRDefault="00FA6F15" w:rsidP="00FA6F15">
      <w:r>
        <w:t>Depreciation &amp; Amortization</w:t>
      </w:r>
      <w:r>
        <w:tab/>
        <w:t>274</w:t>
      </w:r>
      <w:r>
        <w:tab/>
        <w:t>250</w:t>
      </w:r>
      <w:r>
        <w:tab/>
        <w:t>228</w:t>
      </w:r>
      <w:r>
        <w:tab/>
        <w:t>280</w:t>
      </w:r>
      <w:r>
        <w:tab/>
        <w:t>334</w:t>
      </w:r>
    </w:p>
    <w:p w14:paraId="6A0606F8" w14:textId="77777777" w:rsidR="00FA6F15" w:rsidRDefault="00FA6F15" w:rsidP="00FA6F15">
      <w:r>
        <w:t>Operating Income (EBIT)</w:t>
      </w:r>
      <w:r>
        <w:tab/>
        <w:t>-665</w:t>
      </w:r>
      <w:r>
        <w:tab/>
        <w:t>-228</w:t>
      </w:r>
      <w:r>
        <w:tab/>
        <w:t>447</w:t>
      </w:r>
      <w:r>
        <w:tab/>
        <w:t>723</w:t>
      </w:r>
      <w:r>
        <w:tab/>
        <w:t>786</w:t>
      </w:r>
    </w:p>
    <w:p w14:paraId="0446512F" w14:textId="77777777" w:rsidR="00FA6F15" w:rsidRDefault="00FA6F15" w:rsidP="00FA6F15">
      <w:r>
        <w:t>Operating Margin (%)</w:t>
      </w:r>
      <w:r>
        <w:tab/>
        <w:t>-41.0%</w:t>
      </w:r>
      <w:r>
        <w:tab/>
        <w:t>-10.3%</w:t>
      </w:r>
      <w:r>
        <w:tab/>
        <w:t>10.6%</w:t>
      </w:r>
      <w:r>
        <w:tab/>
        <w:t>14.3%</w:t>
      </w:r>
      <w:r>
        <w:tab/>
        <w:t>14.0%</w:t>
      </w:r>
    </w:p>
    <w:p w14:paraId="18A51992" w14:textId="77777777" w:rsidR="00FA6F15" w:rsidRDefault="00FA6F15" w:rsidP="00FA6F15">
      <w:r>
        <w:t>Net Financial Result</w:t>
      </w:r>
      <w:r>
        <w:tab/>
        <w:t>-245</w:t>
      </w:r>
      <w:r>
        <w:tab/>
        <w:t>-207</w:t>
      </w:r>
      <w:r>
        <w:tab/>
        <w:t>-148</w:t>
      </w:r>
      <w:r>
        <w:tab/>
        <w:t>-100</w:t>
      </w:r>
      <w:r>
        <w:tab/>
        <w:t>-124</w:t>
      </w:r>
    </w:p>
    <w:p w14:paraId="10D2B0F0" w14:textId="77777777" w:rsidR="00FA6F15" w:rsidRDefault="00FA6F15" w:rsidP="00FA6F15">
      <w:r>
        <w:t>Income Tax Expense</w:t>
      </w:r>
      <w:r>
        <w:tab/>
        <w:t>112</w:t>
      </w:r>
      <w:r>
        <w:tab/>
        <w:t>-10</w:t>
      </w:r>
      <w:r>
        <w:tab/>
        <w:t>-82</w:t>
      </w:r>
      <w:r>
        <w:tab/>
        <w:t>-39</w:t>
      </w:r>
      <w:r>
        <w:tab/>
        <w:t>-193</w:t>
      </w:r>
    </w:p>
    <w:p w14:paraId="7DDA91D1" w14:textId="77777777" w:rsidR="00FA6F15" w:rsidRDefault="00FA6F15" w:rsidP="00FA6F15">
      <w:r>
        <w:t>Net Income (Group Share)</w:t>
      </w:r>
      <w:r>
        <w:tab/>
        <w:t>-1,988</w:t>
      </w:r>
      <w:r>
        <w:tab/>
        <w:t>85</w:t>
      </w:r>
      <w:r>
        <w:tab/>
        <w:t>317</w:t>
      </w:r>
      <w:r>
        <w:tab/>
        <w:t>633</w:t>
      </w:r>
      <w:r>
        <w:tab/>
        <w:t>610</w:t>
      </w:r>
    </w:p>
    <w:p w14:paraId="45190CB1" w14:textId="77777777" w:rsidR="00FA6F15" w:rsidRDefault="00FA6F15" w:rsidP="00FA6F15">
      <w:r>
        <w:t>Net Profit Margin (%)</w:t>
      </w:r>
      <w:r>
        <w:tab/>
        <w:t>-122.6%</w:t>
      </w:r>
      <w:r>
        <w:tab/>
        <w:t>3.9%</w:t>
      </w:r>
      <w:r>
        <w:tab/>
        <w:t>7.5%</w:t>
      </w:r>
      <w:r>
        <w:tab/>
        <w:t>12.5%</w:t>
      </w:r>
      <w:r>
        <w:tab/>
        <w:t>10.9%</w:t>
      </w:r>
    </w:p>
    <w:p w14:paraId="6D08AF40" w14:textId="77777777" w:rsidR="00FA6F15" w:rsidRDefault="00FA6F15">
      <w:proofErr w:type="spellStart"/>
      <w:r>
        <w:t>YoY</w:t>
      </w:r>
      <w:proofErr w:type="spellEnd"/>
      <w:r>
        <w:t xml:space="preserve"> Revenue Growth (%)</w:t>
      </w:r>
      <w:r>
        <w:tab/>
        <w:t>-60.0%</w:t>
      </w:r>
      <w:r>
        <w:tab/>
        <w:t>+35.9%</w:t>
      </w:r>
      <w:r>
        <w:tab/>
        <w:t>+91.6%</w:t>
      </w:r>
      <w:r>
        <w:tab/>
        <w:t>+19.7%</w:t>
      </w:r>
      <w:r>
        <w:tab/>
        <w:t>+10.9%</w:t>
      </w:r>
    </w:p>
    <w:sectPr w:rsidR="00FA6F1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F15"/>
    <w:rsid w:val="000A4466"/>
    <w:rsid w:val="001017B7"/>
    <w:rsid w:val="00377428"/>
    <w:rsid w:val="00802F68"/>
    <w:rsid w:val="0095380C"/>
    <w:rsid w:val="00AF6D54"/>
    <w:rsid w:val="00FA6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CA789B"/>
  <w15:chartTrackingRefBased/>
  <w15:docId w15:val="{919BA303-6480-3849-8674-84AF34038C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6F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F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F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F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F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F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F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F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F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F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F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F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F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F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F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F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F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F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F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F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F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F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F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F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F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F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F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F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F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114</Words>
  <Characters>652</Characters>
  <Application>Microsoft Office Word</Application>
  <DocSecurity>0</DocSecurity>
  <Lines>5</Lines>
  <Paragraphs>1</Paragraphs>
  <ScaleCrop>false</ScaleCrop>
  <Company/>
  <LinksUpToDate>false</LinksUpToDate>
  <CharactersWithSpaces>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Smit Sadhu</dc:creator>
  <cp:keywords/>
  <dc:description/>
  <cp:lastModifiedBy>Smit Sadhu</cp:lastModifiedBy>
  <cp:revision>2</cp:revision>
  <dcterms:created xsi:type="dcterms:W3CDTF">2026-07-08T01:51:00Z</dcterms:created>
  <dcterms:modified xsi:type="dcterms:W3CDTF">2026-07-08T01:51:00Z</dcterms:modified>
</cp:coreProperties>
</file>