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D74AE" w14:textId="3F9EC466" w:rsidR="00D141E6" w:rsidRPr="00D141E6" w:rsidRDefault="00D141E6">
      <w:pPr>
        <w:rPr>
          <w:rFonts w:ascii="Cambria" w:hAnsi="Cambria"/>
        </w:rPr>
      </w:pPr>
      <w:r w:rsidRPr="00D141E6">
        <w:rPr>
          <w:rFonts w:ascii="Cambria" w:hAnsi="Cambria"/>
        </w:rPr>
        <w:t xml:space="preserve">Critically evaluate the factors that affect the formation of identity in early childhood and adolescence. </w:t>
      </w:r>
    </w:p>
    <w:p w14:paraId="2F13026D" w14:textId="38351CBC" w:rsidR="00D141E6" w:rsidRPr="00D141E6" w:rsidRDefault="00D141E6" w:rsidP="00D141E6">
      <w:pPr>
        <w:rPr>
          <w:rFonts w:ascii="Cambria" w:eastAsia="Times New Roman" w:hAnsi="Cambria" w:cs="Arial"/>
          <w:color w:val="222222"/>
          <w:sz w:val="20"/>
          <w:szCs w:val="20"/>
          <w:shd w:val="clear" w:color="auto" w:fill="FFFFFF"/>
          <w:lang w:eastAsia="en-GB"/>
        </w:rPr>
      </w:pPr>
    </w:p>
    <w:p w14:paraId="47F3B9C6" w14:textId="7E7DD4B9"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Identity is a legal concept within the UN </w:t>
      </w:r>
      <w:r>
        <w:rPr>
          <w:rFonts w:ascii="Cambria" w:eastAsia="Times New Roman" w:hAnsi="Cambria" w:cs="Arial"/>
          <w:i/>
          <w:iCs/>
          <w:color w:val="222222"/>
          <w:sz w:val="20"/>
          <w:szCs w:val="20"/>
          <w:shd w:val="clear" w:color="auto" w:fill="FFFFFF"/>
          <w:lang w:eastAsia="en-GB"/>
        </w:rPr>
        <w:t>Convention on the Rights of the Child.</w:t>
      </w:r>
      <w:r>
        <w:rPr>
          <w:rFonts w:ascii="Cambria" w:eastAsia="Times New Roman" w:hAnsi="Cambria" w:cs="Arial"/>
          <w:color w:val="222222"/>
          <w:sz w:val="20"/>
          <w:szCs w:val="20"/>
          <w:shd w:val="clear" w:color="auto" w:fill="FFFFFF"/>
          <w:lang w:eastAsia="en-GB"/>
        </w:rPr>
        <w:t xml:space="preserve"> Identity is every child’s entitlement from birth and will have the right to name, acquire a nationality and the right to know and be cared for by their parents (United Nations, 1989, Article 7.1). The most visible evidence therefore, of each and every child’s identity is a birth certificate. However, regardless of the formation of legal identity immediately, a child’s personal, cultural and social identity changes. </w:t>
      </w:r>
    </w:p>
    <w:p w14:paraId="3E10EF96" w14:textId="77777777"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Sets and Burke (2000) explain their concepts of identity in a Social Identity Theory and Identity Theory. According to them,</w:t>
      </w:r>
    </w:p>
    <w:p w14:paraId="3C56B205" w14:textId="2AFFF29E" w:rsidR="00D141E6" w:rsidRDefault="00D141E6" w:rsidP="00D141E6">
      <w:pPr>
        <w:ind w:left="720"/>
        <w:rPr>
          <w:rFonts w:ascii="Cambria" w:eastAsia="Times New Roman" w:hAnsi="Cambria" w:cs="Arial"/>
          <w:i/>
          <w:iCs/>
          <w:color w:val="222222"/>
          <w:sz w:val="20"/>
          <w:szCs w:val="20"/>
          <w:shd w:val="clear" w:color="auto" w:fill="FFFFFF"/>
          <w:lang w:eastAsia="en-GB"/>
        </w:rPr>
      </w:pPr>
      <w:r>
        <w:rPr>
          <w:rFonts w:ascii="Cambria" w:eastAsia="Times New Roman" w:hAnsi="Cambria" w:cs="Arial"/>
          <w:i/>
          <w:iCs/>
          <w:color w:val="222222"/>
          <w:sz w:val="20"/>
          <w:szCs w:val="20"/>
          <w:shd w:val="clear" w:color="auto" w:fill="FFFFFF"/>
          <w:lang w:eastAsia="en-GB"/>
        </w:rPr>
        <w:t xml:space="preserve"> “... the self is reflective in that it can take itself as an object and can categorize, classify, or name itself in particular ways in relation to other social categories or classifications.” (Sets and Burke, 2000. Pg. 224)</w:t>
      </w:r>
    </w:p>
    <w:p w14:paraId="1C5162DA" w14:textId="55DE877D"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In Social Identity Theory this process is called self-categorization, and in Identity Theory it is called identification. Through both processes, an identity is formed.</w:t>
      </w:r>
    </w:p>
    <w:p w14:paraId="2D527B46" w14:textId="77777777"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Hogg and Abrams (1988) understand a person’s social identity as their knowledge of belonging to a social category or group. Such groups are defined to be individuals with a common social-identification or are members of the same social category. Using a social comparison process, individuals who are similar to the self are categorized with the self and labelled the in-group; whereas individuals who differ from the self are categorized as the out-group. </w:t>
      </w:r>
    </w:p>
    <w:p w14:paraId="5500B348" w14:textId="590FE995"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The self-categorization and social comparison process produce different consequences. The consequences of the self-categorisation process </w:t>
      </w:r>
      <w:r w:rsidR="00D60464">
        <w:rPr>
          <w:rFonts w:ascii="Cambria" w:eastAsia="Times New Roman" w:hAnsi="Cambria" w:cs="Arial"/>
          <w:color w:val="222222"/>
          <w:sz w:val="20"/>
          <w:szCs w:val="20"/>
          <w:shd w:val="clear" w:color="auto" w:fill="FFFFFF"/>
          <w:lang w:eastAsia="en-GB"/>
        </w:rPr>
        <w:t>are</w:t>
      </w:r>
      <w:r>
        <w:rPr>
          <w:rFonts w:ascii="Cambria" w:eastAsia="Times New Roman" w:hAnsi="Cambria" w:cs="Arial"/>
          <w:color w:val="222222"/>
          <w:sz w:val="20"/>
          <w:szCs w:val="20"/>
          <w:shd w:val="clear" w:color="auto" w:fill="FFFFFF"/>
          <w:lang w:eastAsia="en-GB"/>
        </w:rPr>
        <w:t xml:space="preserve"> a heightened understanding of the similarities between the self and other in-group members, which then leads to a heightened understanding of the differences between the self and the outer group members. </w:t>
      </w:r>
      <w:r>
        <w:rPr>
          <w:rFonts w:ascii="Cambria" w:eastAsia="Times New Roman" w:hAnsi="Cambria" w:cs="Arial"/>
          <w:i/>
          <w:iCs/>
          <w:color w:val="222222"/>
          <w:sz w:val="20"/>
          <w:szCs w:val="20"/>
          <w:shd w:val="clear" w:color="auto" w:fill="FFFFFF"/>
          <w:lang w:eastAsia="en-GB"/>
        </w:rPr>
        <w:t>“This accentuation occurs for all the attitudes, beliefs and values, affective reactions, behavioural norms, styles of speech, and other properties that are believed to be correlated with the relevant intergroup categorisation.” (Sets and Burke, 2000. Pg. 225).</w:t>
      </w:r>
      <w:r>
        <w:rPr>
          <w:rFonts w:ascii="Cambria" w:eastAsia="Times New Roman" w:hAnsi="Cambria" w:cs="Arial"/>
          <w:color w:val="222222"/>
          <w:sz w:val="20"/>
          <w:szCs w:val="20"/>
          <w:shd w:val="clear" w:color="auto" w:fill="FFFFFF"/>
          <w:lang w:eastAsia="en-GB"/>
        </w:rPr>
        <w:t xml:space="preserve"> Interestingly the consequence of the social comparison process is the selective use of the accentuation effect caused by the self-categorisation process. By using this effect selectively on the properties discussed earlier, will result in self enhancing outcomes for the self. For example, by evaluating the dimensions of the in</w:t>
      </w:r>
      <w:r w:rsidR="00105830">
        <w:rPr>
          <w:rFonts w:ascii="Cambria" w:eastAsia="Times New Roman" w:hAnsi="Cambria" w:cs="Arial"/>
          <w:color w:val="222222"/>
          <w:sz w:val="20"/>
          <w:szCs w:val="20"/>
          <w:shd w:val="clear" w:color="auto" w:fill="FFFFFF"/>
          <w:lang w:eastAsia="en-GB"/>
        </w:rPr>
        <w:t>-</w:t>
      </w:r>
      <w:r>
        <w:rPr>
          <w:rFonts w:ascii="Cambria" w:eastAsia="Times New Roman" w:hAnsi="Cambria" w:cs="Arial"/>
          <w:color w:val="222222"/>
          <w:sz w:val="20"/>
          <w:szCs w:val="20"/>
          <w:shd w:val="clear" w:color="auto" w:fill="FFFFFF"/>
          <w:lang w:eastAsia="en-GB"/>
        </w:rPr>
        <w:t>group and the out</w:t>
      </w:r>
      <w:r w:rsidR="00105830">
        <w:rPr>
          <w:rFonts w:ascii="Cambria" w:eastAsia="Times New Roman" w:hAnsi="Cambria" w:cs="Arial"/>
          <w:color w:val="222222"/>
          <w:sz w:val="20"/>
          <w:szCs w:val="20"/>
          <w:shd w:val="clear" w:color="auto" w:fill="FFFFFF"/>
          <w:lang w:eastAsia="en-GB"/>
        </w:rPr>
        <w:t>-</w:t>
      </w:r>
      <w:r>
        <w:rPr>
          <w:rFonts w:ascii="Cambria" w:eastAsia="Times New Roman" w:hAnsi="Cambria" w:cs="Arial"/>
          <w:color w:val="222222"/>
          <w:sz w:val="20"/>
          <w:szCs w:val="20"/>
          <w:shd w:val="clear" w:color="auto" w:fill="FFFFFF"/>
          <w:lang w:eastAsia="en-GB"/>
        </w:rPr>
        <w:t xml:space="preserve">group which conclusively lead the in-group to be judged with a positive view and the out-group to be judged with a negative view, will specifically enhance an individual’s self-esteem. </w:t>
      </w:r>
    </w:p>
    <w:p w14:paraId="40E0FB18" w14:textId="117487E2"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Hogg and Abrams (1988) make it clear that structured society is made up of social categories in which individuals place themselves, only in relation to other contrasting categories do they exist. This is a structural factor of identity, a factor that cannot be controlled – the agency factor, a behaviour as a reaction to the structure, is the social categories which the individual derives their identity and sense of self from.</w:t>
      </w:r>
    </w:p>
    <w:p w14:paraId="3E8DB574" w14:textId="22145A5F" w:rsidR="007E1A82" w:rsidRDefault="007E1A82"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Identity Theory, however, is</w:t>
      </w:r>
      <w:r w:rsidR="004B4BF0">
        <w:rPr>
          <w:rFonts w:ascii="Cambria" w:eastAsia="Times New Roman" w:hAnsi="Cambria" w:cs="Arial"/>
          <w:color w:val="222222"/>
          <w:sz w:val="20"/>
          <w:szCs w:val="20"/>
          <w:shd w:val="clear" w:color="auto" w:fill="FFFFFF"/>
          <w:lang w:eastAsia="en-GB"/>
        </w:rPr>
        <w:t xml:space="preserve"> the categorization of the self as a role</w:t>
      </w:r>
      <w:r w:rsidR="002B7A7E">
        <w:rPr>
          <w:rFonts w:ascii="Cambria" w:eastAsia="Times New Roman" w:hAnsi="Cambria" w:cs="Arial"/>
          <w:color w:val="222222"/>
          <w:sz w:val="20"/>
          <w:szCs w:val="20"/>
          <w:shd w:val="clear" w:color="auto" w:fill="FFFFFF"/>
          <w:lang w:eastAsia="en-GB"/>
        </w:rPr>
        <w:t xml:space="preserve"> – the incorporation of the meaning and expectations of the role</w:t>
      </w:r>
      <w:r w:rsidR="00D32B6D">
        <w:rPr>
          <w:rFonts w:ascii="Cambria" w:eastAsia="Times New Roman" w:hAnsi="Cambria" w:cs="Arial"/>
          <w:color w:val="222222"/>
          <w:sz w:val="20"/>
          <w:szCs w:val="20"/>
          <w:shd w:val="clear" w:color="auto" w:fill="FFFFFF"/>
          <w:lang w:eastAsia="en-GB"/>
        </w:rPr>
        <w:t xml:space="preserve"> as well as performance (Burke and Tully </w:t>
      </w:r>
      <w:r w:rsidR="009763AF">
        <w:rPr>
          <w:rFonts w:ascii="Cambria" w:eastAsia="Times New Roman" w:hAnsi="Cambria" w:cs="Arial"/>
          <w:color w:val="222222"/>
          <w:sz w:val="20"/>
          <w:szCs w:val="20"/>
          <w:shd w:val="clear" w:color="auto" w:fill="FFFFFF"/>
          <w:lang w:eastAsia="en-GB"/>
        </w:rPr>
        <w:t xml:space="preserve">1977). </w:t>
      </w:r>
      <w:r w:rsidR="00424B90">
        <w:rPr>
          <w:rFonts w:ascii="Cambria" w:eastAsia="Times New Roman" w:hAnsi="Cambria" w:cs="Arial"/>
          <w:color w:val="222222"/>
          <w:sz w:val="20"/>
          <w:szCs w:val="20"/>
          <w:shd w:val="clear" w:color="auto" w:fill="FFFFFF"/>
          <w:lang w:eastAsia="en-GB"/>
        </w:rPr>
        <w:t xml:space="preserve">The meanings and expectations of said </w:t>
      </w:r>
      <w:r w:rsidR="001E657E">
        <w:rPr>
          <w:rFonts w:ascii="Cambria" w:eastAsia="Times New Roman" w:hAnsi="Cambria" w:cs="Arial"/>
          <w:color w:val="222222"/>
          <w:sz w:val="20"/>
          <w:szCs w:val="20"/>
          <w:shd w:val="clear" w:color="auto" w:fill="FFFFFF"/>
          <w:lang w:eastAsia="en-GB"/>
        </w:rPr>
        <w:t xml:space="preserve">‘role’ guide an individual’s behaviour. </w:t>
      </w:r>
      <w:r w:rsidR="00255F2E">
        <w:rPr>
          <w:rFonts w:ascii="Cambria" w:eastAsia="Times New Roman" w:hAnsi="Cambria" w:cs="Arial"/>
          <w:color w:val="222222"/>
          <w:sz w:val="20"/>
          <w:szCs w:val="20"/>
          <w:shd w:val="clear" w:color="auto" w:fill="FFFFFF"/>
          <w:lang w:eastAsia="en-GB"/>
        </w:rPr>
        <w:t xml:space="preserve">The activity </w:t>
      </w:r>
      <w:r w:rsidR="00E45B98">
        <w:rPr>
          <w:rFonts w:ascii="Cambria" w:eastAsia="Times New Roman" w:hAnsi="Cambria" w:cs="Arial"/>
          <w:color w:val="222222"/>
          <w:sz w:val="20"/>
          <w:szCs w:val="20"/>
          <w:shd w:val="clear" w:color="auto" w:fill="FFFFFF"/>
          <w:lang w:eastAsia="en-GB"/>
        </w:rPr>
        <w:t xml:space="preserve">within a role, is governed by the self’s identity, which has been influenced by the </w:t>
      </w:r>
      <w:r w:rsidR="00005FD8">
        <w:rPr>
          <w:rFonts w:ascii="Cambria" w:eastAsia="Times New Roman" w:hAnsi="Cambria" w:cs="Arial"/>
          <w:color w:val="222222"/>
          <w:sz w:val="20"/>
          <w:szCs w:val="20"/>
          <w:shd w:val="clear" w:color="auto" w:fill="FFFFFF"/>
          <w:lang w:eastAsia="en-GB"/>
        </w:rPr>
        <w:t xml:space="preserve">control of surrounding resources – this defines </w:t>
      </w:r>
      <w:r w:rsidR="008E11DE">
        <w:rPr>
          <w:rFonts w:ascii="Cambria" w:eastAsia="Times New Roman" w:hAnsi="Cambria" w:cs="Arial"/>
          <w:color w:val="222222"/>
          <w:sz w:val="20"/>
          <w:szCs w:val="20"/>
          <w:shd w:val="clear" w:color="auto" w:fill="FFFFFF"/>
          <w:lang w:eastAsia="en-GB"/>
        </w:rPr>
        <w:t xml:space="preserve">the </w:t>
      </w:r>
      <w:r w:rsidR="00005FD8">
        <w:rPr>
          <w:rFonts w:ascii="Cambria" w:eastAsia="Times New Roman" w:hAnsi="Cambria" w:cs="Arial"/>
          <w:color w:val="222222"/>
          <w:sz w:val="20"/>
          <w:szCs w:val="20"/>
          <w:shd w:val="clear" w:color="auto" w:fill="FFFFFF"/>
          <w:lang w:eastAsia="en-GB"/>
        </w:rPr>
        <w:t>social structure</w:t>
      </w:r>
      <w:r w:rsidR="008E11DE">
        <w:rPr>
          <w:rFonts w:ascii="Cambria" w:eastAsia="Times New Roman" w:hAnsi="Cambria" w:cs="Arial"/>
          <w:color w:val="222222"/>
          <w:sz w:val="20"/>
          <w:szCs w:val="20"/>
          <w:shd w:val="clear" w:color="auto" w:fill="FFFFFF"/>
          <w:lang w:eastAsia="en-GB"/>
        </w:rPr>
        <w:t xml:space="preserve"> of a person’s identity</w:t>
      </w:r>
      <w:r w:rsidR="00005FD8">
        <w:rPr>
          <w:rFonts w:ascii="Cambria" w:eastAsia="Times New Roman" w:hAnsi="Cambria" w:cs="Arial"/>
          <w:color w:val="222222"/>
          <w:sz w:val="20"/>
          <w:szCs w:val="20"/>
          <w:shd w:val="clear" w:color="auto" w:fill="FFFFFF"/>
          <w:lang w:eastAsia="en-GB"/>
        </w:rPr>
        <w:t xml:space="preserve">. </w:t>
      </w:r>
      <w:r w:rsidR="001E657E">
        <w:rPr>
          <w:rFonts w:ascii="Cambria" w:eastAsia="Times New Roman" w:hAnsi="Cambria" w:cs="Arial"/>
          <w:color w:val="222222"/>
          <w:sz w:val="20"/>
          <w:szCs w:val="20"/>
          <w:shd w:val="clear" w:color="auto" w:fill="FFFFFF"/>
          <w:lang w:eastAsia="en-GB"/>
        </w:rPr>
        <w:t xml:space="preserve"> </w:t>
      </w:r>
    </w:p>
    <w:p w14:paraId="50C8EB3D" w14:textId="3AFCB3F5" w:rsidR="001711D3" w:rsidRPr="00D141E6" w:rsidRDefault="009F15D4"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The </w:t>
      </w:r>
      <w:r w:rsidR="00884F7B">
        <w:rPr>
          <w:rFonts w:ascii="Cambria" w:eastAsia="Times New Roman" w:hAnsi="Cambria" w:cs="Arial"/>
          <w:color w:val="222222"/>
          <w:sz w:val="20"/>
          <w:szCs w:val="20"/>
          <w:shd w:val="clear" w:color="auto" w:fill="FFFFFF"/>
          <w:lang w:eastAsia="en-GB"/>
        </w:rPr>
        <w:t xml:space="preserve">social psychological tradition of sociology </w:t>
      </w:r>
      <w:r w:rsidR="009A232C">
        <w:rPr>
          <w:rFonts w:ascii="Cambria" w:eastAsia="Times New Roman" w:hAnsi="Cambria" w:cs="Arial"/>
          <w:color w:val="222222"/>
          <w:sz w:val="20"/>
          <w:szCs w:val="20"/>
          <w:shd w:val="clear" w:color="auto" w:fill="FFFFFF"/>
          <w:lang w:eastAsia="en-GB"/>
        </w:rPr>
        <w:t>called “social structure and personality perspective” (House, 1977)</w:t>
      </w:r>
      <w:r w:rsidR="0061668C">
        <w:rPr>
          <w:rFonts w:ascii="Cambria" w:eastAsia="Times New Roman" w:hAnsi="Cambria" w:cs="Arial"/>
          <w:color w:val="222222"/>
          <w:sz w:val="20"/>
          <w:szCs w:val="20"/>
          <w:shd w:val="clear" w:color="auto" w:fill="FFFFFF"/>
          <w:lang w:eastAsia="en-GB"/>
        </w:rPr>
        <w:t xml:space="preserve"> incorporates three interrelated levels </w:t>
      </w:r>
      <w:r w:rsidR="006311BA">
        <w:rPr>
          <w:rFonts w:ascii="Cambria" w:eastAsia="Times New Roman" w:hAnsi="Cambria" w:cs="Arial"/>
          <w:color w:val="222222"/>
          <w:sz w:val="20"/>
          <w:szCs w:val="20"/>
          <w:shd w:val="clear" w:color="auto" w:fill="FFFFFF"/>
          <w:lang w:eastAsia="en-GB"/>
        </w:rPr>
        <w:t>of analysis for the theory of human social behaviour</w:t>
      </w:r>
      <w:r w:rsidR="00AD1E30">
        <w:rPr>
          <w:rFonts w:ascii="Cambria" w:eastAsia="Times New Roman" w:hAnsi="Cambria" w:cs="Arial"/>
          <w:color w:val="222222"/>
          <w:sz w:val="20"/>
          <w:szCs w:val="20"/>
          <w:shd w:val="clear" w:color="auto" w:fill="FFFFFF"/>
          <w:lang w:eastAsia="en-GB"/>
        </w:rPr>
        <w:t xml:space="preserve"> – this analysis is recognised as a necessary perspective for understanding the culture-identity link</w:t>
      </w:r>
      <w:r w:rsidR="0033313D">
        <w:rPr>
          <w:rFonts w:ascii="Cambria" w:eastAsia="Times New Roman" w:hAnsi="Cambria" w:cs="Arial"/>
          <w:color w:val="222222"/>
          <w:sz w:val="20"/>
          <w:szCs w:val="20"/>
          <w:shd w:val="clear" w:color="auto" w:fill="FFFFFF"/>
          <w:lang w:eastAsia="en-GB"/>
        </w:rPr>
        <w:t xml:space="preserve">. The three levels are: (1) Social Structure; </w:t>
      </w:r>
      <w:r w:rsidR="00A407D8">
        <w:rPr>
          <w:rFonts w:ascii="Cambria" w:eastAsia="Times New Roman" w:hAnsi="Cambria" w:cs="Arial"/>
          <w:color w:val="222222"/>
          <w:sz w:val="20"/>
          <w:szCs w:val="20"/>
          <w:shd w:val="clear" w:color="auto" w:fill="FFFFFF"/>
          <w:lang w:eastAsia="en-GB"/>
        </w:rPr>
        <w:t>(2) Interaction; (3) Personality</w:t>
      </w:r>
      <w:r w:rsidR="00F54811">
        <w:rPr>
          <w:rFonts w:ascii="Cambria" w:eastAsia="Times New Roman" w:hAnsi="Cambria" w:cs="Arial"/>
          <w:color w:val="222222"/>
          <w:sz w:val="20"/>
          <w:szCs w:val="20"/>
          <w:shd w:val="clear" w:color="auto" w:fill="FFFFFF"/>
          <w:lang w:eastAsia="en-GB"/>
        </w:rPr>
        <w:t xml:space="preserve">. At the interactional levels, patterns </w:t>
      </w:r>
      <w:r w:rsidR="00D121FF">
        <w:rPr>
          <w:rFonts w:ascii="Cambria" w:eastAsia="Times New Roman" w:hAnsi="Cambria" w:cs="Arial"/>
          <w:color w:val="222222"/>
          <w:sz w:val="20"/>
          <w:szCs w:val="20"/>
          <w:shd w:val="clear" w:color="auto" w:fill="FFFFFF"/>
          <w:lang w:eastAsia="en-GB"/>
        </w:rPr>
        <w:t xml:space="preserve">were identified </w:t>
      </w:r>
      <w:r w:rsidR="00960B65">
        <w:rPr>
          <w:rFonts w:ascii="Cambria" w:eastAsia="Times New Roman" w:hAnsi="Cambria" w:cs="Arial"/>
          <w:color w:val="222222"/>
          <w:sz w:val="20"/>
          <w:szCs w:val="20"/>
          <w:shd w:val="clear" w:color="auto" w:fill="FFFFFF"/>
          <w:lang w:eastAsia="en-GB"/>
        </w:rPr>
        <w:t>in regard to socializing institutions</w:t>
      </w:r>
      <w:r w:rsidR="007E1E84">
        <w:rPr>
          <w:rFonts w:ascii="Cambria" w:eastAsia="Times New Roman" w:hAnsi="Cambria" w:cs="Arial"/>
          <w:color w:val="222222"/>
          <w:sz w:val="20"/>
          <w:szCs w:val="20"/>
          <w:shd w:val="clear" w:color="auto" w:fill="FFFFFF"/>
          <w:lang w:eastAsia="en-GB"/>
        </w:rPr>
        <w:t xml:space="preserve">, f.e. family and school. Margaret Mead (1970) </w:t>
      </w:r>
      <w:r w:rsidR="008C6999">
        <w:rPr>
          <w:rFonts w:ascii="Cambria" w:eastAsia="Times New Roman" w:hAnsi="Cambria" w:cs="Arial"/>
          <w:color w:val="222222"/>
          <w:sz w:val="20"/>
          <w:szCs w:val="20"/>
          <w:shd w:val="clear" w:color="auto" w:fill="FFFFFF"/>
          <w:lang w:eastAsia="en-GB"/>
        </w:rPr>
        <w:t xml:space="preserve">denoted the </w:t>
      </w:r>
      <w:r w:rsidR="004F791A">
        <w:rPr>
          <w:rFonts w:ascii="Cambria" w:eastAsia="Times New Roman" w:hAnsi="Cambria" w:cs="Arial"/>
          <w:color w:val="222222"/>
          <w:sz w:val="20"/>
          <w:szCs w:val="20"/>
          <w:shd w:val="clear" w:color="auto" w:fill="FFFFFF"/>
          <w:lang w:eastAsia="en-GB"/>
        </w:rPr>
        <w:t>effects</w:t>
      </w:r>
      <w:r w:rsidR="008C6999">
        <w:rPr>
          <w:rFonts w:ascii="Cambria" w:eastAsia="Times New Roman" w:hAnsi="Cambria" w:cs="Arial"/>
          <w:color w:val="222222"/>
          <w:sz w:val="20"/>
          <w:szCs w:val="20"/>
          <w:shd w:val="clear" w:color="auto" w:fill="FFFFFF"/>
          <w:lang w:eastAsia="en-GB"/>
        </w:rPr>
        <w:t xml:space="preserve"> of social change on t</w:t>
      </w:r>
      <w:r w:rsidR="00030D25">
        <w:rPr>
          <w:rFonts w:ascii="Cambria" w:eastAsia="Times New Roman" w:hAnsi="Cambria" w:cs="Arial"/>
          <w:color w:val="222222"/>
          <w:sz w:val="20"/>
          <w:szCs w:val="20"/>
          <w:shd w:val="clear" w:color="auto" w:fill="FFFFFF"/>
          <w:lang w:eastAsia="en-GB"/>
        </w:rPr>
        <w:t xml:space="preserve">he relationships between socializers and socializees, </w:t>
      </w:r>
      <w:r w:rsidR="005E1D7B">
        <w:rPr>
          <w:rFonts w:ascii="Cambria" w:eastAsia="Times New Roman" w:hAnsi="Cambria" w:cs="Arial"/>
          <w:color w:val="222222"/>
          <w:sz w:val="20"/>
          <w:szCs w:val="20"/>
          <w:shd w:val="clear" w:color="auto" w:fill="FFFFFF"/>
          <w:lang w:eastAsia="en-GB"/>
        </w:rPr>
        <w:t xml:space="preserve">thus influencing cultural continuity. </w:t>
      </w:r>
    </w:p>
    <w:p w14:paraId="05C10955" w14:textId="78166D1B" w:rsidR="00D141E6" w:rsidRDefault="00E341A3"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Mead </w:t>
      </w:r>
      <w:r w:rsidR="00F7783D">
        <w:rPr>
          <w:rFonts w:ascii="Cambria" w:eastAsia="Times New Roman" w:hAnsi="Cambria" w:cs="Arial"/>
          <w:color w:val="222222"/>
          <w:sz w:val="20"/>
          <w:szCs w:val="20"/>
          <w:shd w:val="clear" w:color="auto" w:fill="FFFFFF"/>
          <w:lang w:eastAsia="en-GB"/>
        </w:rPr>
        <w:t xml:space="preserve">records the patterns </w:t>
      </w:r>
      <w:r w:rsidR="00271DA7">
        <w:rPr>
          <w:rFonts w:ascii="Cambria" w:eastAsia="Times New Roman" w:hAnsi="Cambria" w:cs="Arial"/>
          <w:color w:val="222222"/>
          <w:sz w:val="20"/>
          <w:szCs w:val="20"/>
          <w:shd w:val="clear" w:color="auto" w:fill="FFFFFF"/>
          <w:lang w:eastAsia="en-GB"/>
        </w:rPr>
        <w:t xml:space="preserve">as models which represent three kinds of culture </w:t>
      </w:r>
      <w:r w:rsidR="00375EC2">
        <w:rPr>
          <w:rFonts w:ascii="Cambria" w:eastAsia="Times New Roman" w:hAnsi="Cambria" w:cs="Arial"/>
          <w:color w:val="222222"/>
          <w:sz w:val="20"/>
          <w:szCs w:val="20"/>
          <w:shd w:val="clear" w:color="auto" w:fill="FFFFFF"/>
          <w:lang w:eastAsia="en-GB"/>
        </w:rPr>
        <w:t>–</w:t>
      </w:r>
      <w:r w:rsidR="00271DA7">
        <w:rPr>
          <w:rFonts w:ascii="Cambria" w:eastAsia="Times New Roman" w:hAnsi="Cambria" w:cs="Arial"/>
          <w:color w:val="222222"/>
          <w:sz w:val="20"/>
          <w:szCs w:val="20"/>
          <w:shd w:val="clear" w:color="auto" w:fill="FFFFFF"/>
          <w:lang w:eastAsia="en-GB"/>
        </w:rPr>
        <w:t xml:space="preserve"> </w:t>
      </w:r>
      <w:r w:rsidR="00375EC2">
        <w:rPr>
          <w:rFonts w:ascii="Cambria" w:eastAsia="Times New Roman" w:hAnsi="Cambria" w:cs="Arial"/>
          <w:color w:val="222222"/>
          <w:sz w:val="20"/>
          <w:szCs w:val="20"/>
          <w:shd w:val="clear" w:color="auto" w:fill="FFFFFF"/>
          <w:lang w:eastAsia="en-GB"/>
        </w:rPr>
        <w:t>“</w:t>
      </w:r>
      <w:proofErr w:type="spellStart"/>
      <w:r w:rsidR="00375EC2">
        <w:rPr>
          <w:rFonts w:ascii="Cambria" w:eastAsia="Times New Roman" w:hAnsi="Cambria" w:cs="Arial"/>
          <w:i/>
          <w:iCs/>
          <w:color w:val="222222"/>
          <w:sz w:val="20"/>
          <w:szCs w:val="20"/>
          <w:shd w:val="clear" w:color="auto" w:fill="FFFFFF"/>
          <w:lang w:eastAsia="en-GB"/>
        </w:rPr>
        <w:t>postfigurative</w:t>
      </w:r>
      <w:proofErr w:type="spellEnd"/>
      <w:r w:rsidR="00375EC2">
        <w:rPr>
          <w:rFonts w:ascii="Cambria" w:eastAsia="Times New Roman" w:hAnsi="Cambria" w:cs="Arial"/>
          <w:i/>
          <w:iCs/>
          <w:color w:val="222222"/>
          <w:sz w:val="20"/>
          <w:szCs w:val="20"/>
          <w:shd w:val="clear" w:color="auto" w:fill="FFFFFF"/>
          <w:lang w:eastAsia="en-GB"/>
        </w:rPr>
        <w:t xml:space="preserve">, </w:t>
      </w:r>
      <w:r w:rsidR="00375EC2">
        <w:rPr>
          <w:rFonts w:ascii="Cambria" w:eastAsia="Times New Roman" w:hAnsi="Cambria" w:cs="Arial"/>
          <w:color w:val="222222"/>
          <w:sz w:val="20"/>
          <w:szCs w:val="20"/>
          <w:shd w:val="clear" w:color="auto" w:fill="FFFFFF"/>
          <w:lang w:eastAsia="en-GB"/>
        </w:rPr>
        <w:t xml:space="preserve">in which </w:t>
      </w:r>
      <w:r w:rsidR="00483321">
        <w:rPr>
          <w:rFonts w:ascii="Cambria" w:eastAsia="Times New Roman" w:hAnsi="Cambria" w:cs="Arial"/>
          <w:color w:val="222222"/>
          <w:sz w:val="20"/>
          <w:szCs w:val="20"/>
          <w:shd w:val="clear" w:color="auto" w:fill="FFFFFF"/>
          <w:lang w:eastAsia="en-GB"/>
        </w:rPr>
        <w:t xml:space="preserve">children learn primarily from their forebears, </w:t>
      </w:r>
      <w:r w:rsidR="00483321">
        <w:rPr>
          <w:rFonts w:ascii="Cambria" w:eastAsia="Times New Roman" w:hAnsi="Cambria" w:cs="Arial"/>
          <w:i/>
          <w:iCs/>
          <w:color w:val="222222"/>
          <w:sz w:val="20"/>
          <w:szCs w:val="20"/>
          <w:shd w:val="clear" w:color="auto" w:fill="FFFFFF"/>
          <w:lang w:eastAsia="en-GB"/>
        </w:rPr>
        <w:t>confi</w:t>
      </w:r>
      <w:r w:rsidR="002131FF">
        <w:rPr>
          <w:rFonts w:ascii="Cambria" w:eastAsia="Times New Roman" w:hAnsi="Cambria" w:cs="Arial"/>
          <w:i/>
          <w:iCs/>
          <w:color w:val="222222"/>
          <w:sz w:val="20"/>
          <w:szCs w:val="20"/>
          <w:shd w:val="clear" w:color="auto" w:fill="FFFFFF"/>
          <w:lang w:eastAsia="en-GB"/>
        </w:rPr>
        <w:t xml:space="preserve">gurative, </w:t>
      </w:r>
      <w:r w:rsidR="002131FF">
        <w:rPr>
          <w:rFonts w:ascii="Cambria" w:eastAsia="Times New Roman" w:hAnsi="Cambria" w:cs="Arial"/>
          <w:color w:val="222222"/>
          <w:sz w:val="20"/>
          <w:szCs w:val="20"/>
          <w:shd w:val="clear" w:color="auto" w:fill="FFFFFF"/>
          <w:lang w:eastAsia="en-GB"/>
        </w:rPr>
        <w:t xml:space="preserve">in which both children and adults learn from their peers, and the </w:t>
      </w:r>
      <w:r w:rsidR="002131FF">
        <w:rPr>
          <w:rFonts w:ascii="Cambria" w:eastAsia="Times New Roman" w:hAnsi="Cambria" w:cs="Arial"/>
          <w:i/>
          <w:iCs/>
          <w:color w:val="222222"/>
          <w:sz w:val="20"/>
          <w:szCs w:val="20"/>
          <w:shd w:val="clear" w:color="auto" w:fill="FFFFFF"/>
          <w:lang w:eastAsia="en-GB"/>
        </w:rPr>
        <w:t xml:space="preserve">prefigurative, </w:t>
      </w:r>
      <w:r w:rsidR="002131FF">
        <w:rPr>
          <w:rFonts w:ascii="Cambria" w:eastAsia="Times New Roman" w:hAnsi="Cambria" w:cs="Arial"/>
          <w:color w:val="222222"/>
          <w:sz w:val="20"/>
          <w:szCs w:val="20"/>
          <w:shd w:val="clear" w:color="auto" w:fill="FFFFFF"/>
          <w:lang w:eastAsia="en-GB"/>
        </w:rPr>
        <w:t>in which adults learn also from their children</w:t>
      </w:r>
      <w:r w:rsidR="00AD1C5D">
        <w:rPr>
          <w:rFonts w:ascii="Cambria" w:eastAsia="Times New Roman" w:hAnsi="Cambria" w:cs="Arial"/>
          <w:color w:val="222222"/>
          <w:sz w:val="20"/>
          <w:szCs w:val="20"/>
          <w:shd w:val="clear" w:color="auto" w:fill="FFFFFF"/>
          <w:lang w:eastAsia="en-GB"/>
        </w:rPr>
        <w:t xml:space="preserve">” (Mead, 1970, p.1). </w:t>
      </w:r>
    </w:p>
    <w:p w14:paraId="0F6490A2" w14:textId="6824C802" w:rsidR="0072393C" w:rsidRPr="002131FF" w:rsidRDefault="00BA13A2" w:rsidP="00D141E6">
      <w:pPr>
        <w:rPr>
          <w:rFonts w:ascii="Cambria" w:eastAsia="Times New Roman" w:hAnsi="Cambria" w:cs="Arial"/>
          <w:color w:val="222222"/>
          <w:sz w:val="20"/>
          <w:szCs w:val="20"/>
          <w:shd w:val="clear" w:color="auto" w:fill="FFFFFF"/>
          <w:lang w:eastAsia="en-GB"/>
        </w:rPr>
      </w:pPr>
      <w:proofErr w:type="spellStart"/>
      <w:r w:rsidRPr="00DD475E">
        <w:rPr>
          <w:rFonts w:ascii="Cambria" w:eastAsia="Times New Roman" w:hAnsi="Cambria" w:cs="Arial"/>
          <w:b/>
          <w:bCs/>
          <w:color w:val="222222"/>
          <w:sz w:val="20"/>
          <w:szCs w:val="20"/>
          <w:shd w:val="clear" w:color="auto" w:fill="FFFFFF"/>
          <w:lang w:eastAsia="en-GB"/>
        </w:rPr>
        <w:t>Postfigurative</w:t>
      </w:r>
      <w:proofErr w:type="spellEnd"/>
      <w:r>
        <w:rPr>
          <w:rFonts w:ascii="Cambria" w:eastAsia="Times New Roman" w:hAnsi="Cambria" w:cs="Arial"/>
          <w:color w:val="222222"/>
          <w:sz w:val="20"/>
          <w:szCs w:val="20"/>
          <w:shd w:val="clear" w:color="auto" w:fill="FFFFFF"/>
          <w:lang w:eastAsia="en-GB"/>
        </w:rPr>
        <w:t xml:space="preserve"> cultures</w:t>
      </w:r>
      <w:r w:rsidR="007B779B">
        <w:rPr>
          <w:rFonts w:ascii="Cambria" w:eastAsia="Times New Roman" w:hAnsi="Cambria" w:cs="Arial"/>
          <w:color w:val="222222"/>
          <w:sz w:val="20"/>
          <w:szCs w:val="20"/>
          <w:shd w:val="clear" w:color="auto" w:fill="FFFFFF"/>
          <w:lang w:eastAsia="en-GB"/>
        </w:rPr>
        <w:t xml:space="preserve"> are associated with the pre-modern societies. </w:t>
      </w:r>
      <w:r w:rsidR="00A62EB6">
        <w:rPr>
          <w:rFonts w:ascii="Cambria" w:eastAsia="Times New Roman" w:hAnsi="Cambria" w:cs="Arial"/>
          <w:color w:val="222222"/>
          <w:sz w:val="20"/>
          <w:szCs w:val="20"/>
          <w:shd w:val="clear" w:color="auto" w:fill="FFFFFF"/>
          <w:lang w:eastAsia="en-GB"/>
        </w:rPr>
        <w:t>Traditional norms</w:t>
      </w:r>
      <w:r w:rsidR="005B4165">
        <w:rPr>
          <w:rFonts w:ascii="Cambria" w:eastAsia="Times New Roman" w:hAnsi="Cambria" w:cs="Arial"/>
          <w:color w:val="222222"/>
          <w:sz w:val="20"/>
          <w:szCs w:val="20"/>
          <w:shd w:val="clear" w:color="auto" w:fill="FFFFFF"/>
          <w:lang w:eastAsia="en-GB"/>
        </w:rPr>
        <w:t xml:space="preserve">, beyond questioning, </w:t>
      </w:r>
      <w:r w:rsidR="00A62EB6">
        <w:rPr>
          <w:rFonts w:ascii="Cambria" w:eastAsia="Times New Roman" w:hAnsi="Cambria" w:cs="Arial"/>
          <w:color w:val="222222"/>
          <w:sz w:val="20"/>
          <w:szCs w:val="20"/>
          <w:shd w:val="clear" w:color="auto" w:fill="FFFFFF"/>
          <w:lang w:eastAsia="en-GB"/>
        </w:rPr>
        <w:t>influence and govern the relationship between parent and child</w:t>
      </w:r>
      <w:r w:rsidR="005B4165">
        <w:rPr>
          <w:rFonts w:ascii="Cambria" w:eastAsia="Times New Roman" w:hAnsi="Cambria" w:cs="Arial"/>
          <w:color w:val="222222"/>
          <w:sz w:val="20"/>
          <w:szCs w:val="20"/>
          <w:shd w:val="clear" w:color="auto" w:fill="FFFFFF"/>
          <w:lang w:eastAsia="en-GB"/>
        </w:rPr>
        <w:t xml:space="preserve">. </w:t>
      </w:r>
      <w:r w:rsidR="00E04E7E">
        <w:rPr>
          <w:rFonts w:ascii="Cambria" w:eastAsia="Times New Roman" w:hAnsi="Cambria" w:cs="Arial"/>
          <w:color w:val="222222"/>
          <w:sz w:val="20"/>
          <w:szCs w:val="20"/>
          <w:shd w:val="clear" w:color="auto" w:fill="FFFFFF"/>
          <w:lang w:eastAsia="en-GB"/>
        </w:rPr>
        <w:t xml:space="preserve">This culture is stabilized by the </w:t>
      </w:r>
      <w:r w:rsidR="000F0452">
        <w:rPr>
          <w:rFonts w:ascii="Cambria" w:eastAsia="Times New Roman" w:hAnsi="Cambria" w:cs="Arial"/>
          <w:color w:val="222222"/>
          <w:sz w:val="20"/>
          <w:szCs w:val="20"/>
          <w:shd w:val="clear" w:color="auto" w:fill="FFFFFF"/>
          <w:lang w:eastAsia="en-GB"/>
        </w:rPr>
        <w:t>existence of t</w:t>
      </w:r>
      <w:r w:rsidR="00DD475E">
        <w:rPr>
          <w:rFonts w:ascii="Cambria" w:eastAsia="Times New Roman" w:hAnsi="Cambria" w:cs="Arial"/>
          <w:color w:val="222222"/>
          <w:sz w:val="20"/>
          <w:szCs w:val="20"/>
          <w:shd w:val="clear" w:color="auto" w:fill="FFFFFF"/>
          <w:lang w:eastAsia="en-GB"/>
        </w:rPr>
        <w:t>h</w:t>
      </w:r>
      <w:r w:rsidR="000F0452">
        <w:rPr>
          <w:rFonts w:ascii="Cambria" w:eastAsia="Times New Roman" w:hAnsi="Cambria" w:cs="Arial"/>
          <w:color w:val="222222"/>
          <w:sz w:val="20"/>
          <w:szCs w:val="20"/>
          <w:shd w:val="clear" w:color="auto" w:fill="FFFFFF"/>
          <w:lang w:eastAsia="en-GB"/>
        </w:rPr>
        <w:t xml:space="preserve">ree generations </w:t>
      </w:r>
      <w:r w:rsidR="002A128D">
        <w:rPr>
          <w:rFonts w:ascii="Cambria" w:eastAsia="Times New Roman" w:hAnsi="Cambria" w:cs="Arial"/>
          <w:color w:val="222222"/>
          <w:sz w:val="20"/>
          <w:szCs w:val="20"/>
          <w:shd w:val="clear" w:color="auto" w:fill="FFFFFF"/>
          <w:lang w:eastAsia="en-GB"/>
        </w:rPr>
        <w:t xml:space="preserve">and the acknowledgement of </w:t>
      </w:r>
      <w:r w:rsidR="00DD475E">
        <w:rPr>
          <w:rFonts w:ascii="Cambria" w:eastAsia="Times New Roman" w:hAnsi="Cambria" w:cs="Arial"/>
          <w:color w:val="222222"/>
          <w:sz w:val="20"/>
          <w:szCs w:val="20"/>
          <w:shd w:val="clear" w:color="auto" w:fill="FFFFFF"/>
          <w:lang w:eastAsia="en-GB"/>
        </w:rPr>
        <w:t xml:space="preserve">the self’s role when each generation becomes of age. </w:t>
      </w:r>
    </w:p>
    <w:p w14:paraId="270C2231" w14:textId="422CC871" w:rsidR="00D141E6" w:rsidRDefault="00880707"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The </w:t>
      </w:r>
      <w:proofErr w:type="spellStart"/>
      <w:r>
        <w:rPr>
          <w:rFonts w:ascii="Cambria" w:eastAsia="Times New Roman" w:hAnsi="Cambria" w:cs="Arial"/>
          <w:b/>
          <w:bCs/>
          <w:color w:val="222222"/>
          <w:sz w:val="20"/>
          <w:szCs w:val="20"/>
          <w:shd w:val="clear" w:color="auto" w:fill="FFFFFF"/>
          <w:lang w:eastAsia="en-GB"/>
        </w:rPr>
        <w:t>cofigurative</w:t>
      </w:r>
      <w:proofErr w:type="spellEnd"/>
      <w:r>
        <w:rPr>
          <w:rFonts w:ascii="Cambria" w:eastAsia="Times New Roman" w:hAnsi="Cambria" w:cs="Arial"/>
          <w:b/>
          <w:bCs/>
          <w:color w:val="222222"/>
          <w:sz w:val="20"/>
          <w:szCs w:val="20"/>
          <w:shd w:val="clear" w:color="auto" w:fill="FFFFFF"/>
          <w:lang w:eastAsia="en-GB"/>
        </w:rPr>
        <w:t xml:space="preserve"> </w:t>
      </w:r>
      <w:r>
        <w:rPr>
          <w:rFonts w:ascii="Cambria" w:eastAsia="Times New Roman" w:hAnsi="Cambria" w:cs="Arial"/>
          <w:color w:val="222222"/>
          <w:sz w:val="20"/>
          <w:szCs w:val="20"/>
          <w:shd w:val="clear" w:color="auto" w:fill="FFFFFF"/>
          <w:lang w:eastAsia="en-GB"/>
        </w:rPr>
        <w:t xml:space="preserve">culture </w:t>
      </w:r>
      <w:r w:rsidR="0002109D">
        <w:rPr>
          <w:rFonts w:ascii="Cambria" w:eastAsia="Times New Roman" w:hAnsi="Cambria" w:cs="Arial"/>
          <w:color w:val="222222"/>
          <w:sz w:val="20"/>
          <w:szCs w:val="20"/>
          <w:shd w:val="clear" w:color="auto" w:fill="FFFFFF"/>
          <w:lang w:eastAsia="en-GB"/>
        </w:rPr>
        <w:t>sees a</w:t>
      </w:r>
      <w:r w:rsidR="00B72DF2">
        <w:rPr>
          <w:rFonts w:ascii="Cambria" w:eastAsia="Times New Roman" w:hAnsi="Cambria" w:cs="Arial"/>
          <w:color w:val="222222"/>
          <w:sz w:val="20"/>
          <w:szCs w:val="20"/>
          <w:shd w:val="clear" w:color="auto" w:fill="FFFFFF"/>
          <w:lang w:eastAsia="en-GB"/>
        </w:rPr>
        <w:t>n insubstantial linkage between generations</w:t>
      </w:r>
      <w:r w:rsidR="00336ECF">
        <w:rPr>
          <w:rFonts w:ascii="Cambria" w:eastAsia="Times New Roman" w:hAnsi="Cambria" w:cs="Arial"/>
          <w:color w:val="222222"/>
          <w:sz w:val="20"/>
          <w:szCs w:val="20"/>
          <w:shd w:val="clear" w:color="auto" w:fill="FFFFFF"/>
          <w:lang w:eastAsia="en-GB"/>
        </w:rPr>
        <w:t xml:space="preserve"> and </w:t>
      </w:r>
      <w:r w:rsidR="00A335B5">
        <w:rPr>
          <w:rFonts w:ascii="Cambria" w:eastAsia="Times New Roman" w:hAnsi="Cambria" w:cs="Arial"/>
          <w:color w:val="222222"/>
          <w:sz w:val="20"/>
          <w:szCs w:val="20"/>
          <w:shd w:val="clear" w:color="auto" w:fill="FFFFFF"/>
          <w:lang w:eastAsia="en-GB"/>
        </w:rPr>
        <w:t>the child turns to</w:t>
      </w:r>
      <w:r w:rsidR="006F06DD">
        <w:rPr>
          <w:rFonts w:ascii="Cambria" w:eastAsia="Times New Roman" w:hAnsi="Cambria" w:cs="Arial"/>
          <w:color w:val="222222"/>
          <w:sz w:val="20"/>
          <w:szCs w:val="20"/>
          <w:shd w:val="clear" w:color="auto" w:fill="FFFFFF"/>
          <w:lang w:eastAsia="en-GB"/>
        </w:rPr>
        <w:t xml:space="preserve"> the non-traditional sources </w:t>
      </w:r>
      <w:r w:rsidR="001959B8">
        <w:rPr>
          <w:rFonts w:ascii="Cambria" w:eastAsia="Times New Roman" w:hAnsi="Cambria" w:cs="Arial"/>
          <w:color w:val="222222"/>
          <w:sz w:val="20"/>
          <w:szCs w:val="20"/>
          <w:shd w:val="clear" w:color="auto" w:fill="FFFFFF"/>
          <w:lang w:eastAsia="en-GB"/>
        </w:rPr>
        <w:t xml:space="preserve">for the elements of their adult identities. </w:t>
      </w:r>
      <w:r w:rsidR="00356229">
        <w:rPr>
          <w:rFonts w:ascii="Cambria" w:eastAsia="Times New Roman" w:hAnsi="Cambria" w:cs="Arial"/>
          <w:color w:val="222222"/>
          <w:sz w:val="20"/>
          <w:szCs w:val="20"/>
          <w:shd w:val="clear" w:color="auto" w:fill="FFFFFF"/>
          <w:lang w:eastAsia="en-GB"/>
        </w:rPr>
        <w:t xml:space="preserve">As a result, a fundamental change occurs </w:t>
      </w:r>
      <w:r w:rsidR="00486E15">
        <w:rPr>
          <w:rFonts w:ascii="Cambria" w:eastAsia="Times New Roman" w:hAnsi="Cambria" w:cs="Arial"/>
          <w:color w:val="222222"/>
          <w:sz w:val="20"/>
          <w:szCs w:val="20"/>
          <w:shd w:val="clear" w:color="auto" w:fill="FFFFFF"/>
          <w:lang w:eastAsia="en-GB"/>
        </w:rPr>
        <w:t>between the parent-child relationship</w:t>
      </w:r>
      <w:r w:rsidR="00D37F6A">
        <w:rPr>
          <w:rFonts w:ascii="Cambria" w:eastAsia="Times New Roman" w:hAnsi="Cambria" w:cs="Arial"/>
          <w:color w:val="222222"/>
          <w:sz w:val="20"/>
          <w:szCs w:val="20"/>
          <w:shd w:val="clear" w:color="auto" w:fill="FFFFFF"/>
          <w:lang w:eastAsia="en-GB"/>
        </w:rPr>
        <w:t xml:space="preserve">, notably, </w:t>
      </w:r>
      <w:r w:rsidR="00E92F45">
        <w:rPr>
          <w:rFonts w:ascii="Cambria" w:eastAsia="Times New Roman" w:hAnsi="Cambria" w:cs="Arial"/>
          <w:color w:val="222222"/>
          <w:sz w:val="20"/>
          <w:szCs w:val="20"/>
          <w:shd w:val="clear" w:color="auto" w:fill="FFFFFF"/>
          <w:lang w:eastAsia="en-GB"/>
        </w:rPr>
        <w:t xml:space="preserve">the </w:t>
      </w:r>
      <w:proofErr w:type="gramStart"/>
      <w:r w:rsidR="00E92F45">
        <w:rPr>
          <w:rFonts w:ascii="Cambria" w:eastAsia="Times New Roman" w:hAnsi="Cambria" w:cs="Arial"/>
          <w:color w:val="222222"/>
          <w:sz w:val="20"/>
          <w:szCs w:val="20"/>
          <w:shd w:val="clear" w:color="auto" w:fill="FFFFFF"/>
          <w:lang w:eastAsia="en-GB"/>
        </w:rPr>
        <w:t>parents</w:t>
      </w:r>
      <w:proofErr w:type="gramEnd"/>
      <w:r w:rsidR="00E92F45">
        <w:rPr>
          <w:rFonts w:ascii="Cambria" w:eastAsia="Times New Roman" w:hAnsi="Cambria" w:cs="Arial"/>
          <w:color w:val="222222"/>
          <w:sz w:val="20"/>
          <w:szCs w:val="20"/>
          <w:shd w:val="clear" w:color="auto" w:fill="FFFFFF"/>
          <w:lang w:eastAsia="en-GB"/>
        </w:rPr>
        <w:t xml:space="preserve"> authority is questioned and the child is seen </w:t>
      </w:r>
      <w:r w:rsidR="00E92F45">
        <w:rPr>
          <w:rFonts w:ascii="Cambria" w:eastAsia="Times New Roman" w:hAnsi="Cambria" w:cs="Arial"/>
          <w:color w:val="222222"/>
          <w:sz w:val="20"/>
          <w:szCs w:val="20"/>
          <w:shd w:val="clear" w:color="auto" w:fill="FFFFFF"/>
          <w:lang w:eastAsia="en-GB"/>
        </w:rPr>
        <w:lastRenderedPageBreak/>
        <w:t xml:space="preserve">to be </w:t>
      </w:r>
      <w:r w:rsidR="00332484">
        <w:rPr>
          <w:rFonts w:ascii="Cambria" w:eastAsia="Times New Roman" w:hAnsi="Cambria" w:cs="Arial"/>
          <w:color w:val="222222"/>
          <w:sz w:val="20"/>
          <w:szCs w:val="20"/>
          <w:shd w:val="clear" w:color="auto" w:fill="FFFFFF"/>
          <w:lang w:eastAsia="en-GB"/>
        </w:rPr>
        <w:t xml:space="preserve">directing the parent. Consequently, </w:t>
      </w:r>
      <w:r w:rsidR="00926BB3">
        <w:rPr>
          <w:rFonts w:ascii="Cambria" w:eastAsia="Times New Roman" w:hAnsi="Cambria" w:cs="Arial"/>
          <w:color w:val="222222"/>
          <w:sz w:val="20"/>
          <w:szCs w:val="20"/>
          <w:shd w:val="clear" w:color="auto" w:fill="FFFFFF"/>
          <w:lang w:eastAsia="en-GB"/>
        </w:rPr>
        <w:t xml:space="preserve">the eventual adult identity of offspring is no longer taken for granted by either parent or child. </w:t>
      </w:r>
    </w:p>
    <w:p w14:paraId="4B126A4C" w14:textId="588154A1" w:rsidR="00650854" w:rsidRPr="00650854" w:rsidRDefault="00650854"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In the </w:t>
      </w:r>
      <w:r>
        <w:rPr>
          <w:rFonts w:ascii="Cambria" w:eastAsia="Times New Roman" w:hAnsi="Cambria" w:cs="Arial"/>
          <w:b/>
          <w:bCs/>
          <w:color w:val="222222"/>
          <w:sz w:val="20"/>
          <w:szCs w:val="20"/>
          <w:shd w:val="clear" w:color="auto" w:fill="FFFFFF"/>
          <w:lang w:eastAsia="en-GB"/>
        </w:rPr>
        <w:t xml:space="preserve">prefigurative </w:t>
      </w:r>
      <w:r w:rsidR="00D65067">
        <w:rPr>
          <w:rFonts w:ascii="Cambria" w:eastAsia="Times New Roman" w:hAnsi="Cambria" w:cs="Arial"/>
          <w:color w:val="222222"/>
          <w:sz w:val="20"/>
          <w:szCs w:val="20"/>
          <w:shd w:val="clear" w:color="auto" w:fill="FFFFFF"/>
          <w:lang w:eastAsia="en-GB"/>
        </w:rPr>
        <w:t>culture</w:t>
      </w:r>
      <w:r w:rsidR="00DF19B7">
        <w:rPr>
          <w:rFonts w:ascii="Cambria" w:eastAsia="Times New Roman" w:hAnsi="Cambria" w:cs="Arial"/>
          <w:color w:val="222222"/>
          <w:sz w:val="20"/>
          <w:szCs w:val="20"/>
          <w:shd w:val="clear" w:color="auto" w:fill="FFFFFF"/>
          <w:lang w:eastAsia="en-GB"/>
        </w:rPr>
        <w:t xml:space="preserve">, the perception of what the future holds for the child is </w:t>
      </w:r>
      <w:r w:rsidR="000377D5">
        <w:rPr>
          <w:rFonts w:ascii="Cambria" w:eastAsia="Times New Roman" w:hAnsi="Cambria" w:cs="Arial"/>
          <w:color w:val="222222"/>
          <w:sz w:val="20"/>
          <w:szCs w:val="20"/>
          <w:shd w:val="clear" w:color="auto" w:fill="FFFFFF"/>
          <w:lang w:eastAsia="en-GB"/>
        </w:rPr>
        <w:t xml:space="preserve">minimized, as with the </w:t>
      </w:r>
      <w:r w:rsidR="00A933EA">
        <w:rPr>
          <w:rFonts w:ascii="Cambria" w:eastAsia="Times New Roman" w:hAnsi="Cambria" w:cs="Arial"/>
          <w:color w:val="222222"/>
          <w:sz w:val="20"/>
          <w:szCs w:val="20"/>
          <w:shd w:val="clear" w:color="auto" w:fill="FFFFFF"/>
          <w:lang w:eastAsia="en-GB"/>
        </w:rPr>
        <w:t>use of the parent</w:t>
      </w:r>
      <w:r w:rsidR="00282721">
        <w:rPr>
          <w:rFonts w:ascii="Cambria" w:eastAsia="Times New Roman" w:hAnsi="Cambria" w:cs="Arial"/>
          <w:color w:val="222222"/>
          <w:sz w:val="20"/>
          <w:szCs w:val="20"/>
          <w:shd w:val="clear" w:color="auto" w:fill="FFFFFF"/>
          <w:lang w:eastAsia="en-GB"/>
        </w:rPr>
        <w:t>’</w:t>
      </w:r>
      <w:r w:rsidR="00A933EA">
        <w:rPr>
          <w:rFonts w:ascii="Cambria" w:eastAsia="Times New Roman" w:hAnsi="Cambria" w:cs="Arial"/>
          <w:color w:val="222222"/>
          <w:sz w:val="20"/>
          <w:szCs w:val="20"/>
          <w:shd w:val="clear" w:color="auto" w:fill="FFFFFF"/>
          <w:lang w:eastAsia="en-GB"/>
        </w:rPr>
        <w:t xml:space="preserve">s </w:t>
      </w:r>
      <w:r w:rsidR="000377D5">
        <w:rPr>
          <w:rFonts w:ascii="Cambria" w:eastAsia="Times New Roman" w:hAnsi="Cambria" w:cs="Arial"/>
          <w:color w:val="222222"/>
          <w:sz w:val="20"/>
          <w:szCs w:val="20"/>
          <w:shd w:val="clear" w:color="auto" w:fill="FFFFFF"/>
          <w:lang w:eastAsia="en-GB"/>
        </w:rPr>
        <w:t>life-experiences</w:t>
      </w:r>
      <w:r w:rsidR="00A933EA">
        <w:rPr>
          <w:rFonts w:ascii="Cambria" w:eastAsia="Times New Roman" w:hAnsi="Cambria" w:cs="Arial"/>
          <w:color w:val="222222"/>
          <w:sz w:val="20"/>
          <w:szCs w:val="20"/>
          <w:shd w:val="clear" w:color="auto" w:fill="FFFFFF"/>
          <w:lang w:eastAsia="en-GB"/>
        </w:rPr>
        <w:t xml:space="preserve">, which results in a </w:t>
      </w:r>
      <w:r w:rsidR="00BA1872">
        <w:rPr>
          <w:rFonts w:ascii="Cambria" w:eastAsia="Times New Roman" w:hAnsi="Cambria" w:cs="Arial"/>
          <w:color w:val="222222"/>
          <w:sz w:val="20"/>
          <w:szCs w:val="20"/>
          <w:shd w:val="clear" w:color="auto" w:fill="FFFFFF"/>
          <w:lang w:eastAsia="en-GB"/>
        </w:rPr>
        <w:t>lesser regarded guidance from the parent</w:t>
      </w:r>
      <w:r w:rsidR="00F958A2">
        <w:rPr>
          <w:rFonts w:ascii="Cambria" w:eastAsia="Times New Roman" w:hAnsi="Cambria" w:cs="Arial"/>
          <w:color w:val="222222"/>
          <w:sz w:val="20"/>
          <w:szCs w:val="20"/>
          <w:shd w:val="clear" w:color="auto" w:fill="FFFFFF"/>
          <w:lang w:eastAsia="en-GB"/>
        </w:rPr>
        <w:t xml:space="preserve">. </w:t>
      </w:r>
      <w:r w:rsidR="00DF714D">
        <w:rPr>
          <w:rFonts w:ascii="Cambria" w:eastAsia="Times New Roman" w:hAnsi="Cambria" w:cs="Arial"/>
          <w:color w:val="222222"/>
          <w:sz w:val="20"/>
          <w:szCs w:val="20"/>
          <w:shd w:val="clear" w:color="auto" w:fill="FFFFFF"/>
          <w:lang w:eastAsia="en-GB"/>
        </w:rPr>
        <w:t xml:space="preserve">Interestingly, </w:t>
      </w:r>
      <w:r w:rsidR="004D1F0E">
        <w:rPr>
          <w:rFonts w:ascii="Cambria" w:eastAsia="Times New Roman" w:hAnsi="Cambria" w:cs="Arial"/>
          <w:color w:val="222222"/>
          <w:sz w:val="20"/>
          <w:szCs w:val="20"/>
          <w:shd w:val="clear" w:color="auto" w:fill="FFFFFF"/>
          <w:lang w:eastAsia="en-GB"/>
        </w:rPr>
        <w:t>this type of culture allows the child to teach and guide the parent</w:t>
      </w:r>
      <w:r w:rsidR="005E3CE4">
        <w:rPr>
          <w:rFonts w:ascii="Cambria" w:eastAsia="Times New Roman" w:hAnsi="Cambria" w:cs="Arial"/>
          <w:color w:val="222222"/>
          <w:sz w:val="20"/>
          <w:szCs w:val="20"/>
          <w:shd w:val="clear" w:color="auto" w:fill="FFFFFF"/>
          <w:lang w:eastAsia="en-GB"/>
        </w:rPr>
        <w:t>, sometimes even to the point of the parent becoming compliant to them</w:t>
      </w:r>
      <w:r w:rsidR="0008662C">
        <w:rPr>
          <w:rFonts w:ascii="Cambria" w:eastAsia="Times New Roman" w:hAnsi="Cambria" w:cs="Arial"/>
          <w:color w:val="222222"/>
          <w:sz w:val="20"/>
          <w:szCs w:val="20"/>
          <w:shd w:val="clear" w:color="auto" w:fill="FFFFFF"/>
          <w:lang w:eastAsia="en-GB"/>
        </w:rPr>
        <w:t xml:space="preserve">. The gap between parent and child which opened </w:t>
      </w:r>
      <w:r w:rsidR="006D3CF5">
        <w:rPr>
          <w:rFonts w:ascii="Cambria" w:eastAsia="Times New Roman" w:hAnsi="Cambria" w:cs="Arial"/>
          <w:color w:val="222222"/>
          <w:sz w:val="20"/>
          <w:szCs w:val="20"/>
          <w:shd w:val="clear" w:color="auto" w:fill="FFFFFF"/>
          <w:lang w:eastAsia="en-GB"/>
        </w:rPr>
        <w:t xml:space="preserve">in the configurative culture is therefore further </w:t>
      </w:r>
      <w:r w:rsidR="00C629FB">
        <w:rPr>
          <w:rFonts w:ascii="Cambria" w:eastAsia="Times New Roman" w:hAnsi="Cambria" w:cs="Arial"/>
          <w:color w:val="222222"/>
          <w:sz w:val="20"/>
          <w:szCs w:val="20"/>
          <w:shd w:val="clear" w:color="auto" w:fill="FFFFFF"/>
          <w:lang w:eastAsia="en-GB"/>
        </w:rPr>
        <w:t xml:space="preserve">opened in the prefigurative culture. In sociological terms, </w:t>
      </w:r>
      <w:r w:rsidR="009563DC">
        <w:rPr>
          <w:rFonts w:ascii="Cambria" w:eastAsia="Times New Roman" w:hAnsi="Cambria" w:cs="Arial"/>
          <w:color w:val="222222"/>
          <w:sz w:val="20"/>
          <w:szCs w:val="20"/>
          <w:shd w:val="clear" w:color="auto" w:fill="FFFFFF"/>
          <w:lang w:eastAsia="en-GB"/>
        </w:rPr>
        <w:t>this culture allows the child, when coming of age,</w:t>
      </w:r>
      <w:r w:rsidR="00733653">
        <w:rPr>
          <w:rFonts w:ascii="Cambria" w:eastAsia="Times New Roman" w:hAnsi="Cambria" w:cs="Arial"/>
          <w:color w:val="222222"/>
          <w:sz w:val="20"/>
          <w:szCs w:val="20"/>
          <w:shd w:val="clear" w:color="auto" w:fill="FFFFFF"/>
          <w:lang w:eastAsia="en-GB"/>
        </w:rPr>
        <w:t xml:space="preserve"> to </w:t>
      </w:r>
      <w:r w:rsidR="00BB7CF0">
        <w:rPr>
          <w:rFonts w:ascii="Cambria" w:eastAsia="Times New Roman" w:hAnsi="Cambria" w:cs="Arial"/>
          <w:color w:val="222222"/>
          <w:sz w:val="20"/>
          <w:szCs w:val="20"/>
          <w:shd w:val="clear" w:color="auto" w:fill="FFFFFF"/>
          <w:lang w:eastAsia="en-GB"/>
        </w:rPr>
        <w:t xml:space="preserve">solely </w:t>
      </w:r>
      <w:r w:rsidR="00C6696D">
        <w:rPr>
          <w:rFonts w:ascii="Cambria" w:eastAsia="Times New Roman" w:hAnsi="Cambria" w:cs="Arial"/>
          <w:color w:val="222222"/>
          <w:sz w:val="20"/>
          <w:szCs w:val="20"/>
          <w:shd w:val="clear" w:color="auto" w:fill="FFFFFF"/>
          <w:lang w:eastAsia="en-GB"/>
        </w:rPr>
        <w:t>establish their own identities</w:t>
      </w:r>
      <w:r w:rsidR="00BB7CF0">
        <w:rPr>
          <w:rFonts w:ascii="Cambria" w:eastAsia="Times New Roman" w:hAnsi="Cambria" w:cs="Arial"/>
          <w:color w:val="222222"/>
          <w:sz w:val="20"/>
          <w:szCs w:val="20"/>
          <w:shd w:val="clear" w:color="auto" w:fill="FFFFFF"/>
          <w:lang w:eastAsia="en-GB"/>
        </w:rPr>
        <w:t xml:space="preserve">. </w:t>
      </w:r>
      <w:r w:rsidR="001258EF">
        <w:rPr>
          <w:rFonts w:ascii="Cambria" w:eastAsia="Times New Roman" w:hAnsi="Cambria" w:cs="Arial"/>
          <w:color w:val="222222"/>
          <w:sz w:val="20"/>
          <w:szCs w:val="20"/>
          <w:shd w:val="clear" w:color="auto" w:fill="FFFFFF"/>
          <w:lang w:eastAsia="en-GB"/>
        </w:rPr>
        <w:t xml:space="preserve">This framework by Mead </w:t>
      </w:r>
      <w:r w:rsidR="00AA2EEE">
        <w:rPr>
          <w:rFonts w:ascii="Cambria" w:eastAsia="Times New Roman" w:hAnsi="Cambria" w:cs="Arial"/>
          <w:color w:val="222222"/>
          <w:sz w:val="20"/>
          <w:szCs w:val="20"/>
          <w:shd w:val="clear" w:color="auto" w:fill="FFFFFF"/>
          <w:lang w:eastAsia="en-GB"/>
        </w:rPr>
        <w:t>(1970), suggests</w:t>
      </w:r>
      <w:r w:rsidR="005036BF">
        <w:rPr>
          <w:rFonts w:ascii="Cambria" w:eastAsia="Times New Roman" w:hAnsi="Cambria" w:cs="Arial"/>
          <w:color w:val="222222"/>
          <w:sz w:val="20"/>
          <w:szCs w:val="20"/>
          <w:shd w:val="clear" w:color="auto" w:fill="FFFFFF"/>
          <w:lang w:eastAsia="en-GB"/>
        </w:rPr>
        <w:t xml:space="preserve"> that </w:t>
      </w:r>
      <w:r w:rsidR="00F20E59">
        <w:rPr>
          <w:rFonts w:ascii="Cambria" w:eastAsia="Times New Roman" w:hAnsi="Cambria" w:cs="Arial"/>
          <w:color w:val="222222"/>
          <w:sz w:val="20"/>
          <w:szCs w:val="20"/>
          <w:shd w:val="clear" w:color="auto" w:fill="FFFFFF"/>
          <w:lang w:eastAsia="en-GB"/>
        </w:rPr>
        <w:t>by the social influence of institutions, certain cultures nurture certain personality characteristics</w:t>
      </w:r>
      <w:r w:rsidR="00561B8C">
        <w:rPr>
          <w:rFonts w:ascii="Cambria" w:eastAsia="Times New Roman" w:hAnsi="Cambria" w:cs="Arial"/>
          <w:color w:val="222222"/>
          <w:sz w:val="20"/>
          <w:szCs w:val="20"/>
          <w:shd w:val="clear" w:color="auto" w:fill="FFFFFF"/>
          <w:lang w:eastAsia="en-GB"/>
        </w:rPr>
        <w:t xml:space="preserve">, thus, encourage certain character-types to develop. </w:t>
      </w:r>
    </w:p>
    <w:p w14:paraId="68E10C99" w14:textId="77777777" w:rsidR="00D141E6" w:rsidRPr="00D141E6" w:rsidRDefault="00D141E6" w:rsidP="00D141E6">
      <w:pPr>
        <w:rPr>
          <w:rFonts w:ascii="Cambria" w:eastAsia="Times New Roman" w:hAnsi="Cambria" w:cs="Arial"/>
          <w:color w:val="222222"/>
          <w:sz w:val="20"/>
          <w:szCs w:val="20"/>
          <w:shd w:val="clear" w:color="auto" w:fill="FFFFFF"/>
          <w:lang w:eastAsia="en-GB"/>
        </w:rPr>
      </w:pPr>
    </w:p>
    <w:p w14:paraId="3C1A568A" w14:textId="77777777" w:rsidR="00D141E6" w:rsidRPr="00D141E6" w:rsidRDefault="00D141E6" w:rsidP="00D141E6">
      <w:pPr>
        <w:rPr>
          <w:rFonts w:ascii="Cambria" w:eastAsia="Times New Roman" w:hAnsi="Cambria" w:cs="Arial"/>
          <w:color w:val="222222"/>
          <w:sz w:val="20"/>
          <w:szCs w:val="20"/>
          <w:shd w:val="clear" w:color="auto" w:fill="FFFFFF"/>
          <w:lang w:eastAsia="en-GB"/>
        </w:rPr>
      </w:pPr>
    </w:p>
    <w:p w14:paraId="3E282106" w14:textId="0CD4C259" w:rsidR="00D141E6" w:rsidRPr="00D141E6" w:rsidRDefault="00D141E6" w:rsidP="00D141E6">
      <w:pPr>
        <w:rPr>
          <w:rFonts w:ascii="Cambria" w:eastAsia="Times New Roman" w:hAnsi="Cambria" w:cs="Arial"/>
          <w:color w:val="222222"/>
          <w:sz w:val="20"/>
          <w:szCs w:val="20"/>
          <w:shd w:val="clear" w:color="auto" w:fill="FFFFFF"/>
          <w:lang w:eastAsia="en-GB"/>
        </w:rPr>
      </w:pPr>
      <w:r w:rsidRPr="00D141E6">
        <w:rPr>
          <w:rFonts w:ascii="Cambria" w:eastAsia="Times New Roman" w:hAnsi="Cambria" w:cs="Arial"/>
          <w:color w:val="222222"/>
          <w:sz w:val="20"/>
          <w:szCs w:val="20"/>
          <w:shd w:val="clear" w:color="auto" w:fill="FFFFFF"/>
          <w:lang w:eastAsia="en-GB"/>
        </w:rPr>
        <w:t>References:</w:t>
      </w:r>
    </w:p>
    <w:p w14:paraId="06207DDB" w14:textId="77777777" w:rsidR="00D141E6" w:rsidRPr="00D141E6" w:rsidRDefault="00D141E6" w:rsidP="00D141E6">
      <w:pPr>
        <w:rPr>
          <w:rFonts w:ascii="Cambria" w:eastAsia="Times New Roman" w:hAnsi="Cambria" w:cs="Arial"/>
          <w:color w:val="222222"/>
          <w:sz w:val="20"/>
          <w:szCs w:val="20"/>
          <w:shd w:val="clear" w:color="auto" w:fill="FFFFFF"/>
          <w:lang w:eastAsia="en-GB"/>
        </w:rPr>
      </w:pPr>
    </w:p>
    <w:p w14:paraId="75607DFD" w14:textId="21EC3133" w:rsidR="00D141E6" w:rsidRDefault="00D141E6" w:rsidP="00D141E6">
      <w:pPr>
        <w:rPr>
          <w:rFonts w:ascii="Cambria" w:eastAsia="Times New Roman" w:hAnsi="Cambria" w:cs="Arial"/>
          <w:color w:val="222222"/>
          <w:sz w:val="20"/>
          <w:szCs w:val="20"/>
          <w:shd w:val="clear" w:color="auto" w:fill="FFFFFF"/>
          <w:lang w:eastAsia="en-GB"/>
        </w:rPr>
      </w:pPr>
      <w:r w:rsidRPr="00D141E6">
        <w:rPr>
          <w:rFonts w:ascii="Cambria" w:eastAsia="Times New Roman" w:hAnsi="Cambria" w:cs="Arial"/>
          <w:color w:val="222222"/>
          <w:sz w:val="20"/>
          <w:szCs w:val="20"/>
          <w:shd w:val="clear" w:color="auto" w:fill="FFFFFF"/>
          <w:lang w:eastAsia="en-GB"/>
        </w:rPr>
        <w:t>Raburu, P.A., 2015. The self-who am I?: Children’s identity and development through early childhood education.</w:t>
      </w:r>
    </w:p>
    <w:p w14:paraId="7D283D34" w14:textId="437CCAD7" w:rsidR="00D141E6" w:rsidRDefault="00D141E6" w:rsidP="00D141E6">
      <w:pPr>
        <w:pStyle w:val="NormalWeb"/>
        <w:rPr>
          <w:rFonts w:ascii="Cambria" w:hAnsi="Cambria"/>
          <w:sz w:val="20"/>
          <w:szCs w:val="20"/>
        </w:rPr>
      </w:pPr>
      <w:r w:rsidRPr="00D141E6">
        <w:rPr>
          <w:rFonts w:ascii="Cambria" w:hAnsi="Cambria"/>
          <w:sz w:val="20"/>
          <w:szCs w:val="20"/>
        </w:rPr>
        <w:t>United Nations</w:t>
      </w:r>
      <w:r>
        <w:rPr>
          <w:rFonts w:ascii="Cambria" w:hAnsi="Cambria"/>
          <w:sz w:val="20"/>
          <w:szCs w:val="20"/>
        </w:rPr>
        <w:t xml:space="preserve">, </w:t>
      </w:r>
      <w:r w:rsidRPr="00D141E6">
        <w:rPr>
          <w:rFonts w:ascii="Cambria" w:hAnsi="Cambria"/>
          <w:sz w:val="20"/>
          <w:szCs w:val="20"/>
        </w:rPr>
        <w:t>1989. Convention on the Rights of the Child. Un General Assembly Document a/RES/44/2. New York, NY, United</w:t>
      </w:r>
      <w:r>
        <w:rPr>
          <w:rFonts w:ascii="Cambria" w:hAnsi="Cambria"/>
          <w:sz w:val="20"/>
          <w:szCs w:val="20"/>
        </w:rPr>
        <w:t xml:space="preserve"> Nations.</w:t>
      </w:r>
    </w:p>
    <w:p w14:paraId="57266278" w14:textId="202E4AE6" w:rsidR="00827601" w:rsidRDefault="00827601" w:rsidP="00827601">
      <w:pPr>
        <w:pStyle w:val="NormalWeb"/>
        <w:shd w:val="clear" w:color="auto" w:fill="FFFFFF"/>
        <w:rPr>
          <w:rFonts w:ascii="Cambria" w:hAnsi="Cambria"/>
          <w:sz w:val="20"/>
          <w:szCs w:val="20"/>
        </w:rPr>
      </w:pPr>
      <w:r w:rsidRPr="008F1280">
        <w:rPr>
          <w:rFonts w:ascii="Cambria" w:hAnsi="Cambria"/>
          <w:sz w:val="20"/>
          <w:szCs w:val="20"/>
        </w:rPr>
        <w:t>Hogg, Michael A. and Dominic Abrams. 1988. Social Identifications:</w:t>
      </w:r>
      <w:r w:rsidRPr="008F1280">
        <w:rPr>
          <w:rFonts w:ascii="Cambria" w:hAnsi="Cambria"/>
          <w:sz w:val="20"/>
          <w:szCs w:val="20"/>
        </w:rPr>
        <w:t xml:space="preserve"> </w:t>
      </w:r>
      <w:r w:rsidRPr="008F1280">
        <w:rPr>
          <w:rFonts w:ascii="Cambria" w:hAnsi="Cambria"/>
          <w:sz w:val="20"/>
          <w:szCs w:val="20"/>
        </w:rPr>
        <w:t xml:space="preserve">A Social Psychology of Intergroup Relations and Group Processes. London: Routledge. </w:t>
      </w:r>
    </w:p>
    <w:p w14:paraId="1577CCC3" w14:textId="2D4B1214" w:rsidR="00182C03" w:rsidRDefault="00182C03" w:rsidP="00182C03">
      <w:pPr>
        <w:pStyle w:val="NormalWeb"/>
        <w:shd w:val="clear" w:color="auto" w:fill="FFFFFF"/>
        <w:rPr>
          <w:rFonts w:ascii="Cambria" w:hAnsi="Cambria"/>
          <w:sz w:val="20"/>
          <w:szCs w:val="20"/>
        </w:rPr>
      </w:pPr>
      <w:r w:rsidRPr="00182C03">
        <w:rPr>
          <w:rFonts w:ascii="Cambria" w:hAnsi="Cambria"/>
          <w:sz w:val="20"/>
          <w:szCs w:val="20"/>
        </w:rPr>
        <w:t>Burke, Peter J. and Judy Tully. 1977. "The Measurement of Role/Identity." Social Forces 55:881-97.</w:t>
      </w:r>
    </w:p>
    <w:p w14:paraId="5FCA65A0" w14:textId="30D69ADB" w:rsidR="00993569" w:rsidRDefault="00993569" w:rsidP="00993569">
      <w:pPr>
        <w:rPr>
          <w:rFonts w:ascii="Cambria" w:eastAsia="Times New Roman" w:hAnsi="Cambria" w:cs="Arial"/>
          <w:color w:val="222222"/>
          <w:sz w:val="20"/>
          <w:szCs w:val="20"/>
          <w:shd w:val="clear" w:color="auto" w:fill="FFFFFF"/>
          <w:lang w:eastAsia="en-GB"/>
        </w:rPr>
      </w:pPr>
      <w:r w:rsidRPr="00993569">
        <w:rPr>
          <w:rFonts w:ascii="Cambria" w:eastAsia="Times New Roman" w:hAnsi="Cambria" w:cs="Arial"/>
          <w:color w:val="222222"/>
          <w:sz w:val="20"/>
          <w:szCs w:val="20"/>
          <w:shd w:val="clear" w:color="auto" w:fill="FFFFFF"/>
          <w:lang w:eastAsia="en-GB"/>
        </w:rPr>
        <w:t>Stets, J.E. and Burke, P.J., 2000. Identity theory and social identity theory. </w:t>
      </w:r>
      <w:r w:rsidRPr="00993569">
        <w:rPr>
          <w:rFonts w:ascii="Cambria" w:eastAsia="Times New Roman" w:hAnsi="Cambria" w:cs="Arial"/>
          <w:i/>
          <w:iCs/>
          <w:color w:val="222222"/>
          <w:sz w:val="20"/>
          <w:szCs w:val="20"/>
          <w:lang w:eastAsia="en-GB"/>
        </w:rPr>
        <w:t>Social psychology quarterly</w:t>
      </w:r>
      <w:r w:rsidRPr="00993569">
        <w:rPr>
          <w:rFonts w:ascii="Cambria" w:eastAsia="Times New Roman" w:hAnsi="Cambria" w:cs="Arial"/>
          <w:color w:val="222222"/>
          <w:sz w:val="20"/>
          <w:szCs w:val="20"/>
          <w:shd w:val="clear" w:color="auto" w:fill="FFFFFF"/>
          <w:lang w:eastAsia="en-GB"/>
        </w:rPr>
        <w:t>, pp.224-237.</w:t>
      </w:r>
    </w:p>
    <w:p w14:paraId="24608B8F" w14:textId="77777777" w:rsidR="00DA35C6" w:rsidRDefault="00DA35C6" w:rsidP="00DA35C6">
      <w:pPr>
        <w:rPr>
          <w:rFonts w:ascii="Cambria" w:eastAsia="Times New Roman" w:hAnsi="Cambria" w:cs="Arial"/>
          <w:color w:val="222222"/>
          <w:sz w:val="20"/>
          <w:szCs w:val="20"/>
          <w:shd w:val="clear" w:color="auto" w:fill="FFFFFF"/>
          <w:lang w:eastAsia="en-GB"/>
        </w:rPr>
      </w:pPr>
    </w:p>
    <w:p w14:paraId="759EDF91" w14:textId="59034702" w:rsidR="00DA35C6" w:rsidRDefault="00DA35C6" w:rsidP="00DA35C6">
      <w:pPr>
        <w:rPr>
          <w:rFonts w:ascii="Cambria" w:eastAsia="Times New Roman" w:hAnsi="Cambria" w:cs="Arial"/>
          <w:color w:val="222222"/>
          <w:sz w:val="20"/>
          <w:szCs w:val="20"/>
          <w:shd w:val="clear" w:color="auto" w:fill="FFFFFF"/>
          <w:lang w:eastAsia="en-GB"/>
        </w:rPr>
      </w:pPr>
      <w:r w:rsidRPr="00DA35C6">
        <w:rPr>
          <w:rFonts w:ascii="Cambria" w:eastAsia="Times New Roman" w:hAnsi="Cambria" w:cs="Arial"/>
          <w:color w:val="222222"/>
          <w:sz w:val="20"/>
          <w:szCs w:val="20"/>
          <w:shd w:val="clear" w:color="auto" w:fill="FFFFFF"/>
          <w:lang w:eastAsia="en-GB"/>
        </w:rPr>
        <w:t>Brewer, M.B. and Yuki, M., 2007. Culture and social identity.</w:t>
      </w:r>
    </w:p>
    <w:p w14:paraId="6DC7F72F" w14:textId="0AB71BEA" w:rsidR="00913304" w:rsidRDefault="00913304" w:rsidP="00DA35C6">
      <w:pPr>
        <w:rPr>
          <w:rFonts w:ascii="Cambria" w:eastAsia="Times New Roman" w:hAnsi="Cambria" w:cs="Arial"/>
          <w:color w:val="222222"/>
          <w:sz w:val="20"/>
          <w:szCs w:val="20"/>
          <w:shd w:val="clear" w:color="auto" w:fill="FFFFFF"/>
          <w:lang w:eastAsia="en-GB"/>
        </w:rPr>
      </w:pPr>
    </w:p>
    <w:p w14:paraId="2DB69DD3" w14:textId="02309660" w:rsidR="00AC7AA8" w:rsidRDefault="00AC7AA8" w:rsidP="00DA35C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Mead, M. (1970). Culture and Commitment. </w:t>
      </w:r>
      <w:proofErr w:type="spellStart"/>
      <w:r>
        <w:rPr>
          <w:rFonts w:ascii="Cambria" w:eastAsia="Times New Roman" w:hAnsi="Cambria" w:cs="Arial"/>
          <w:color w:val="222222"/>
          <w:sz w:val="20"/>
          <w:szCs w:val="20"/>
          <w:shd w:val="clear" w:color="auto" w:fill="FFFFFF"/>
          <w:lang w:eastAsia="en-GB"/>
        </w:rPr>
        <w:t>Gardin</w:t>
      </w:r>
      <w:proofErr w:type="spellEnd"/>
      <w:r>
        <w:rPr>
          <w:rFonts w:ascii="Cambria" w:eastAsia="Times New Roman" w:hAnsi="Cambria" w:cs="Arial"/>
          <w:color w:val="222222"/>
          <w:sz w:val="20"/>
          <w:szCs w:val="20"/>
          <w:shd w:val="clear" w:color="auto" w:fill="FFFFFF"/>
          <w:lang w:eastAsia="en-GB"/>
        </w:rPr>
        <w:t xml:space="preserve"> City: Doubleday. </w:t>
      </w:r>
    </w:p>
    <w:p w14:paraId="1D05890A" w14:textId="786705E5" w:rsidR="00B5159B" w:rsidRDefault="00B5159B" w:rsidP="00DA35C6">
      <w:pPr>
        <w:rPr>
          <w:rFonts w:ascii="Cambria" w:eastAsia="Times New Roman" w:hAnsi="Cambria" w:cs="Arial"/>
          <w:color w:val="222222"/>
          <w:sz w:val="20"/>
          <w:szCs w:val="20"/>
          <w:shd w:val="clear" w:color="auto" w:fill="FFFFFF"/>
          <w:lang w:eastAsia="en-GB"/>
        </w:rPr>
      </w:pPr>
    </w:p>
    <w:p w14:paraId="608027E0" w14:textId="77777777" w:rsidR="00B5159B" w:rsidRPr="00B5159B" w:rsidRDefault="00B5159B" w:rsidP="00B5159B">
      <w:pPr>
        <w:rPr>
          <w:rFonts w:ascii="Cambria" w:eastAsia="Times New Roman" w:hAnsi="Cambria" w:cs="Times New Roman"/>
          <w:lang w:eastAsia="en-GB"/>
        </w:rPr>
      </w:pPr>
      <w:proofErr w:type="spellStart"/>
      <w:r w:rsidRPr="00B5159B">
        <w:rPr>
          <w:rFonts w:ascii="Cambria" w:eastAsia="Times New Roman" w:hAnsi="Cambria" w:cs="Arial"/>
          <w:color w:val="222222"/>
          <w:sz w:val="20"/>
          <w:szCs w:val="20"/>
          <w:shd w:val="clear" w:color="auto" w:fill="FFFFFF"/>
          <w:lang w:eastAsia="en-GB"/>
        </w:rPr>
        <w:t>Côté</w:t>
      </w:r>
      <w:proofErr w:type="spellEnd"/>
      <w:r w:rsidRPr="00B5159B">
        <w:rPr>
          <w:rFonts w:ascii="Cambria" w:eastAsia="Times New Roman" w:hAnsi="Cambria" w:cs="Arial"/>
          <w:color w:val="222222"/>
          <w:sz w:val="20"/>
          <w:szCs w:val="20"/>
          <w:shd w:val="clear" w:color="auto" w:fill="FFFFFF"/>
          <w:lang w:eastAsia="en-GB"/>
        </w:rPr>
        <w:t>, J.E., 1996. Sociological perspectives on identity formation: The culture–identity link and identity capital. </w:t>
      </w:r>
      <w:r w:rsidRPr="00B5159B">
        <w:rPr>
          <w:rFonts w:ascii="Cambria" w:eastAsia="Times New Roman" w:hAnsi="Cambria" w:cs="Arial"/>
          <w:i/>
          <w:iCs/>
          <w:color w:val="222222"/>
          <w:sz w:val="20"/>
          <w:szCs w:val="20"/>
          <w:lang w:eastAsia="en-GB"/>
        </w:rPr>
        <w:t>Journal of adolescence</w:t>
      </w:r>
      <w:r w:rsidRPr="00B5159B">
        <w:rPr>
          <w:rFonts w:ascii="Cambria" w:eastAsia="Times New Roman" w:hAnsi="Cambria" w:cs="Arial"/>
          <w:color w:val="222222"/>
          <w:sz w:val="20"/>
          <w:szCs w:val="20"/>
          <w:shd w:val="clear" w:color="auto" w:fill="FFFFFF"/>
          <w:lang w:eastAsia="en-GB"/>
        </w:rPr>
        <w:t>, </w:t>
      </w:r>
      <w:r w:rsidRPr="00B5159B">
        <w:rPr>
          <w:rFonts w:ascii="Cambria" w:eastAsia="Times New Roman" w:hAnsi="Cambria" w:cs="Arial"/>
          <w:i/>
          <w:iCs/>
          <w:color w:val="222222"/>
          <w:sz w:val="20"/>
          <w:szCs w:val="20"/>
          <w:lang w:eastAsia="en-GB"/>
        </w:rPr>
        <w:t>19</w:t>
      </w:r>
      <w:r w:rsidRPr="00B5159B">
        <w:rPr>
          <w:rFonts w:ascii="Cambria" w:eastAsia="Times New Roman" w:hAnsi="Cambria" w:cs="Arial"/>
          <w:color w:val="222222"/>
          <w:sz w:val="20"/>
          <w:szCs w:val="20"/>
          <w:shd w:val="clear" w:color="auto" w:fill="FFFFFF"/>
          <w:lang w:eastAsia="en-GB"/>
        </w:rPr>
        <w:t>(5), pp.417-428.</w:t>
      </w:r>
    </w:p>
    <w:p w14:paraId="235A1B0E" w14:textId="77777777" w:rsidR="00B5159B" w:rsidRPr="00DA35C6" w:rsidRDefault="00B5159B" w:rsidP="00DA35C6">
      <w:pPr>
        <w:rPr>
          <w:rFonts w:ascii="Cambria" w:eastAsia="Times New Roman" w:hAnsi="Cambria" w:cs="Times New Roman"/>
          <w:lang w:eastAsia="en-GB"/>
        </w:rPr>
      </w:pPr>
    </w:p>
    <w:p w14:paraId="33FF8246" w14:textId="77777777" w:rsidR="00DA35C6" w:rsidRPr="00993569" w:rsidRDefault="00DA35C6" w:rsidP="00993569">
      <w:pPr>
        <w:rPr>
          <w:rFonts w:ascii="Cambria" w:eastAsia="Times New Roman" w:hAnsi="Cambria" w:cs="Times New Roman"/>
          <w:lang w:eastAsia="en-GB"/>
        </w:rPr>
      </w:pPr>
    </w:p>
    <w:p w14:paraId="340143EF" w14:textId="77777777" w:rsidR="00993569" w:rsidRPr="00182C03" w:rsidRDefault="00993569" w:rsidP="00182C03">
      <w:pPr>
        <w:pStyle w:val="NormalWeb"/>
        <w:shd w:val="clear" w:color="auto" w:fill="FFFFFF"/>
        <w:rPr>
          <w:rFonts w:ascii="Cambria" w:hAnsi="Cambria"/>
          <w:sz w:val="20"/>
          <w:szCs w:val="20"/>
        </w:rPr>
      </w:pPr>
    </w:p>
    <w:p w14:paraId="2AFC0ADC" w14:textId="77777777" w:rsidR="00182C03" w:rsidRPr="008F1280" w:rsidRDefault="00182C03" w:rsidP="00827601">
      <w:pPr>
        <w:pStyle w:val="NormalWeb"/>
        <w:shd w:val="clear" w:color="auto" w:fill="FFFFFF"/>
        <w:rPr>
          <w:rFonts w:ascii="Cambria" w:hAnsi="Cambria"/>
          <w:sz w:val="20"/>
          <w:szCs w:val="20"/>
        </w:rPr>
      </w:pPr>
    </w:p>
    <w:p w14:paraId="257E67A8" w14:textId="77777777" w:rsidR="00827601" w:rsidRPr="00D141E6" w:rsidRDefault="00827601" w:rsidP="00D141E6">
      <w:pPr>
        <w:pStyle w:val="NormalWeb"/>
        <w:rPr>
          <w:rFonts w:ascii="Cambria" w:hAnsi="Cambria"/>
          <w:sz w:val="32"/>
          <w:szCs w:val="32"/>
        </w:rPr>
      </w:pPr>
    </w:p>
    <w:p w14:paraId="5D562100" w14:textId="77777777" w:rsidR="00D141E6" w:rsidRDefault="00D141E6"/>
    <w:sectPr w:rsidR="00D141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1E6"/>
    <w:rsid w:val="00005FD8"/>
    <w:rsid w:val="0002109D"/>
    <w:rsid w:val="00030D25"/>
    <w:rsid w:val="000377D5"/>
    <w:rsid w:val="0008662C"/>
    <w:rsid w:val="000F0452"/>
    <w:rsid w:val="00105830"/>
    <w:rsid w:val="001258EF"/>
    <w:rsid w:val="001711D3"/>
    <w:rsid w:val="00182C03"/>
    <w:rsid w:val="001959B8"/>
    <w:rsid w:val="001E657E"/>
    <w:rsid w:val="002131FF"/>
    <w:rsid w:val="00255F2E"/>
    <w:rsid w:val="00271DA7"/>
    <w:rsid w:val="00282721"/>
    <w:rsid w:val="002A128D"/>
    <w:rsid w:val="002B7A7E"/>
    <w:rsid w:val="00332484"/>
    <w:rsid w:val="0033313D"/>
    <w:rsid w:val="00336ECF"/>
    <w:rsid w:val="00356229"/>
    <w:rsid w:val="00375EC2"/>
    <w:rsid w:val="00424B90"/>
    <w:rsid w:val="00483321"/>
    <w:rsid w:val="00486E15"/>
    <w:rsid w:val="004B4BF0"/>
    <w:rsid w:val="004D1F0E"/>
    <w:rsid w:val="004F791A"/>
    <w:rsid w:val="005036BF"/>
    <w:rsid w:val="00561B8C"/>
    <w:rsid w:val="005B4165"/>
    <w:rsid w:val="005E1D7B"/>
    <w:rsid w:val="005E3CE4"/>
    <w:rsid w:val="0061668C"/>
    <w:rsid w:val="006311BA"/>
    <w:rsid w:val="00650854"/>
    <w:rsid w:val="006D3CF5"/>
    <w:rsid w:val="006F06DD"/>
    <w:rsid w:val="0072393C"/>
    <w:rsid w:val="00733653"/>
    <w:rsid w:val="007B779B"/>
    <w:rsid w:val="007E1A82"/>
    <w:rsid w:val="007E1E84"/>
    <w:rsid w:val="00827601"/>
    <w:rsid w:val="00880707"/>
    <w:rsid w:val="00884F7B"/>
    <w:rsid w:val="008C6999"/>
    <w:rsid w:val="008E11DE"/>
    <w:rsid w:val="008F1280"/>
    <w:rsid w:val="00913304"/>
    <w:rsid w:val="00926BB3"/>
    <w:rsid w:val="009563DC"/>
    <w:rsid w:val="00960B65"/>
    <w:rsid w:val="00973F73"/>
    <w:rsid w:val="009763AF"/>
    <w:rsid w:val="00993569"/>
    <w:rsid w:val="009A232C"/>
    <w:rsid w:val="009F15D4"/>
    <w:rsid w:val="00A335B5"/>
    <w:rsid w:val="00A407D8"/>
    <w:rsid w:val="00A62EB6"/>
    <w:rsid w:val="00A84623"/>
    <w:rsid w:val="00A933EA"/>
    <w:rsid w:val="00AA2EEE"/>
    <w:rsid w:val="00AC7AA8"/>
    <w:rsid w:val="00AD1C5D"/>
    <w:rsid w:val="00AD1E30"/>
    <w:rsid w:val="00B5159B"/>
    <w:rsid w:val="00B72DF2"/>
    <w:rsid w:val="00B823AB"/>
    <w:rsid w:val="00BA13A2"/>
    <w:rsid w:val="00BA1872"/>
    <w:rsid w:val="00BB7CF0"/>
    <w:rsid w:val="00C629FB"/>
    <w:rsid w:val="00C6696D"/>
    <w:rsid w:val="00D121FF"/>
    <w:rsid w:val="00D141E6"/>
    <w:rsid w:val="00D32B6D"/>
    <w:rsid w:val="00D37F6A"/>
    <w:rsid w:val="00D60464"/>
    <w:rsid w:val="00D65067"/>
    <w:rsid w:val="00DA35C6"/>
    <w:rsid w:val="00DD475E"/>
    <w:rsid w:val="00DF19B7"/>
    <w:rsid w:val="00DF714D"/>
    <w:rsid w:val="00E04E7E"/>
    <w:rsid w:val="00E341A3"/>
    <w:rsid w:val="00E45B98"/>
    <w:rsid w:val="00E92F45"/>
    <w:rsid w:val="00F20E59"/>
    <w:rsid w:val="00F36F74"/>
    <w:rsid w:val="00F54811"/>
    <w:rsid w:val="00F7783D"/>
    <w:rsid w:val="00F95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6E11A3"/>
  <w15:chartTrackingRefBased/>
  <w15:docId w15:val="{FB160D62-3FC3-0B43-94D0-D5F42E8B8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41E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93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300312">
      <w:bodyDiv w:val="1"/>
      <w:marLeft w:val="0"/>
      <w:marRight w:val="0"/>
      <w:marTop w:val="0"/>
      <w:marBottom w:val="0"/>
      <w:divBdr>
        <w:top w:val="none" w:sz="0" w:space="0" w:color="auto"/>
        <w:left w:val="none" w:sz="0" w:space="0" w:color="auto"/>
        <w:bottom w:val="none" w:sz="0" w:space="0" w:color="auto"/>
        <w:right w:val="none" w:sz="0" w:space="0" w:color="auto"/>
      </w:divBdr>
    </w:div>
    <w:div w:id="181431386">
      <w:bodyDiv w:val="1"/>
      <w:marLeft w:val="0"/>
      <w:marRight w:val="0"/>
      <w:marTop w:val="0"/>
      <w:marBottom w:val="0"/>
      <w:divBdr>
        <w:top w:val="none" w:sz="0" w:space="0" w:color="auto"/>
        <w:left w:val="none" w:sz="0" w:space="0" w:color="auto"/>
        <w:bottom w:val="none" w:sz="0" w:space="0" w:color="auto"/>
        <w:right w:val="none" w:sz="0" w:space="0" w:color="auto"/>
      </w:divBdr>
      <w:divsChild>
        <w:div w:id="1725909354">
          <w:marLeft w:val="0"/>
          <w:marRight w:val="0"/>
          <w:marTop w:val="0"/>
          <w:marBottom w:val="0"/>
          <w:divBdr>
            <w:top w:val="none" w:sz="0" w:space="0" w:color="auto"/>
            <w:left w:val="none" w:sz="0" w:space="0" w:color="auto"/>
            <w:bottom w:val="none" w:sz="0" w:space="0" w:color="auto"/>
            <w:right w:val="none" w:sz="0" w:space="0" w:color="auto"/>
          </w:divBdr>
          <w:divsChild>
            <w:div w:id="514686570">
              <w:marLeft w:val="0"/>
              <w:marRight w:val="0"/>
              <w:marTop w:val="0"/>
              <w:marBottom w:val="0"/>
              <w:divBdr>
                <w:top w:val="none" w:sz="0" w:space="0" w:color="auto"/>
                <w:left w:val="none" w:sz="0" w:space="0" w:color="auto"/>
                <w:bottom w:val="none" w:sz="0" w:space="0" w:color="auto"/>
                <w:right w:val="none" w:sz="0" w:space="0" w:color="auto"/>
              </w:divBdr>
              <w:divsChild>
                <w:div w:id="1037193756">
                  <w:marLeft w:val="0"/>
                  <w:marRight w:val="0"/>
                  <w:marTop w:val="0"/>
                  <w:marBottom w:val="0"/>
                  <w:divBdr>
                    <w:top w:val="none" w:sz="0" w:space="0" w:color="auto"/>
                    <w:left w:val="none" w:sz="0" w:space="0" w:color="auto"/>
                    <w:bottom w:val="none" w:sz="0" w:space="0" w:color="auto"/>
                    <w:right w:val="none" w:sz="0" w:space="0" w:color="auto"/>
                  </w:divBdr>
                  <w:divsChild>
                    <w:div w:id="66768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992953">
      <w:bodyDiv w:val="1"/>
      <w:marLeft w:val="0"/>
      <w:marRight w:val="0"/>
      <w:marTop w:val="0"/>
      <w:marBottom w:val="0"/>
      <w:divBdr>
        <w:top w:val="none" w:sz="0" w:space="0" w:color="auto"/>
        <w:left w:val="none" w:sz="0" w:space="0" w:color="auto"/>
        <w:bottom w:val="none" w:sz="0" w:space="0" w:color="auto"/>
        <w:right w:val="none" w:sz="0" w:space="0" w:color="auto"/>
      </w:divBdr>
    </w:div>
    <w:div w:id="788277781">
      <w:bodyDiv w:val="1"/>
      <w:marLeft w:val="0"/>
      <w:marRight w:val="0"/>
      <w:marTop w:val="0"/>
      <w:marBottom w:val="0"/>
      <w:divBdr>
        <w:top w:val="none" w:sz="0" w:space="0" w:color="auto"/>
        <w:left w:val="none" w:sz="0" w:space="0" w:color="auto"/>
        <w:bottom w:val="none" w:sz="0" w:space="0" w:color="auto"/>
        <w:right w:val="none" w:sz="0" w:space="0" w:color="auto"/>
      </w:divBdr>
      <w:divsChild>
        <w:div w:id="1474833435">
          <w:marLeft w:val="0"/>
          <w:marRight w:val="0"/>
          <w:marTop w:val="0"/>
          <w:marBottom w:val="0"/>
          <w:divBdr>
            <w:top w:val="none" w:sz="0" w:space="0" w:color="auto"/>
            <w:left w:val="none" w:sz="0" w:space="0" w:color="auto"/>
            <w:bottom w:val="none" w:sz="0" w:space="0" w:color="auto"/>
            <w:right w:val="none" w:sz="0" w:space="0" w:color="auto"/>
          </w:divBdr>
          <w:divsChild>
            <w:div w:id="902449720">
              <w:marLeft w:val="0"/>
              <w:marRight w:val="0"/>
              <w:marTop w:val="0"/>
              <w:marBottom w:val="0"/>
              <w:divBdr>
                <w:top w:val="none" w:sz="0" w:space="0" w:color="auto"/>
                <w:left w:val="none" w:sz="0" w:space="0" w:color="auto"/>
                <w:bottom w:val="none" w:sz="0" w:space="0" w:color="auto"/>
                <w:right w:val="none" w:sz="0" w:space="0" w:color="auto"/>
              </w:divBdr>
              <w:divsChild>
                <w:div w:id="203360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774043">
      <w:bodyDiv w:val="1"/>
      <w:marLeft w:val="0"/>
      <w:marRight w:val="0"/>
      <w:marTop w:val="0"/>
      <w:marBottom w:val="0"/>
      <w:divBdr>
        <w:top w:val="none" w:sz="0" w:space="0" w:color="auto"/>
        <w:left w:val="none" w:sz="0" w:space="0" w:color="auto"/>
        <w:bottom w:val="none" w:sz="0" w:space="0" w:color="auto"/>
        <w:right w:val="none" w:sz="0" w:space="0" w:color="auto"/>
      </w:divBdr>
    </w:div>
    <w:div w:id="1091704681">
      <w:bodyDiv w:val="1"/>
      <w:marLeft w:val="0"/>
      <w:marRight w:val="0"/>
      <w:marTop w:val="0"/>
      <w:marBottom w:val="0"/>
      <w:divBdr>
        <w:top w:val="none" w:sz="0" w:space="0" w:color="auto"/>
        <w:left w:val="none" w:sz="0" w:space="0" w:color="auto"/>
        <w:bottom w:val="none" w:sz="0" w:space="0" w:color="auto"/>
        <w:right w:val="none" w:sz="0" w:space="0" w:color="auto"/>
      </w:divBdr>
      <w:divsChild>
        <w:div w:id="1616790104">
          <w:marLeft w:val="0"/>
          <w:marRight w:val="0"/>
          <w:marTop w:val="0"/>
          <w:marBottom w:val="0"/>
          <w:divBdr>
            <w:top w:val="none" w:sz="0" w:space="0" w:color="auto"/>
            <w:left w:val="none" w:sz="0" w:space="0" w:color="auto"/>
            <w:bottom w:val="none" w:sz="0" w:space="0" w:color="auto"/>
            <w:right w:val="none" w:sz="0" w:space="0" w:color="auto"/>
          </w:divBdr>
          <w:divsChild>
            <w:div w:id="1943756495">
              <w:marLeft w:val="0"/>
              <w:marRight w:val="0"/>
              <w:marTop w:val="0"/>
              <w:marBottom w:val="0"/>
              <w:divBdr>
                <w:top w:val="none" w:sz="0" w:space="0" w:color="auto"/>
                <w:left w:val="none" w:sz="0" w:space="0" w:color="auto"/>
                <w:bottom w:val="none" w:sz="0" w:space="0" w:color="auto"/>
                <w:right w:val="none" w:sz="0" w:space="0" w:color="auto"/>
              </w:divBdr>
              <w:divsChild>
                <w:div w:id="1914658005">
                  <w:marLeft w:val="0"/>
                  <w:marRight w:val="0"/>
                  <w:marTop w:val="0"/>
                  <w:marBottom w:val="0"/>
                  <w:divBdr>
                    <w:top w:val="none" w:sz="0" w:space="0" w:color="auto"/>
                    <w:left w:val="none" w:sz="0" w:space="0" w:color="auto"/>
                    <w:bottom w:val="none" w:sz="0" w:space="0" w:color="auto"/>
                    <w:right w:val="none" w:sz="0" w:space="0" w:color="auto"/>
                  </w:divBdr>
                  <w:divsChild>
                    <w:div w:id="142981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157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2</Pages>
  <Words>1059</Words>
  <Characters>6038</Characters>
  <Application>Microsoft Office Word</Application>
  <DocSecurity>0</DocSecurity>
  <Lines>50</Lines>
  <Paragraphs>14</Paragraphs>
  <ScaleCrop>false</ScaleCrop>
  <Company/>
  <LinksUpToDate>false</LinksUpToDate>
  <CharactersWithSpaces>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Lowri Messer (1702068)</dc:creator>
  <cp:keywords/>
  <dc:description/>
  <cp:lastModifiedBy>Carys Lowri Messer (1702068)</cp:lastModifiedBy>
  <cp:revision>95</cp:revision>
  <dcterms:created xsi:type="dcterms:W3CDTF">2021-05-04T17:42:00Z</dcterms:created>
  <dcterms:modified xsi:type="dcterms:W3CDTF">2021-05-07T12:10:00Z</dcterms:modified>
</cp:coreProperties>
</file>