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553CA" w14:textId="77777777" w:rsidR="00A3084A" w:rsidRDefault="00A3084A" w:rsidP="00A3084A">
      <w:pPr>
        <w:pStyle w:val="Heading1"/>
      </w:pPr>
    </w:p>
    <w:p w14:paraId="35F03896" w14:textId="77777777" w:rsidR="000C7A9F" w:rsidRDefault="000C7A9F" w:rsidP="000C7A9F"/>
    <w:p w14:paraId="2F38B79D" w14:textId="77777777" w:rsidR="000C7A9F" w:rsidRDefault="000C7A9F" w:rsidP="000C7A9F"/>
    <w:p w14:paraId="58595CC8" w14:textId="77777777" w:rsidR="000C7A9F" w:rsidRDefault="000C7A9F" w:rsidP="000C7A9F"/>
    <w:p w14:paraId="4F628625" w14:textId="77777777" w:rsidR="000C7A9F" w:rsidRDefault="000C7A9F" w:rsidP="000C7A9F"/>
    <w:p w14:paraId="38833204" w14:textId="77777777" w:rsidR="000C7A9F" w:rsidRDefault="000C7A9F" w:rsidP="000C7A9F"/>
    <w:p w14:paraId="771B965D" w14:textId="77777777" w:rsidR="000C7A9F" w:rsidRDefault="000C7A9F" w:rsidP="000C7A9F"/>
    <w:p w14:paraId="3E21A893" w14:textId="77777777" w:rsidR="000C7A9F" w:rsidRDefault="000C7A9F" w:rsidP="000C7A9F"/>
    <w:p w14:paraId="1BF91414" w14:textId="77777777" w:rsidR="000C7A9F" w:rsidRDefault="000C7A9F" w:rsidP="000C7A9F"/>
    <w:p w14:paraId="0E7A7C36" w14:textId="77777777" w:rsidR="000C7A9F" w:rsidRDefault="000C7A9F" w:rsidP="000C7A9F"/>
    <w:p w14:paraId="57AB4310" w14:textId="77777777" w:rsidR="000C7A9F" w:rsidRDefault="000C7A9F" w:rsidP="000C7A9F"/>
    <w:p w14:paraId="7648D2B7" w14:textId="77777777" w:rsidR="000C7A9F" w:rsidRDefault="000C7A9F" w:rsidP="000C7A9F"/>
    <w:p w14:paraId="48F86A9D" w14:textId="77777777" w:rsidR="000C7A9F" w:rsidRDefault="000C7A9F" w:rsidP="000C7A9F"/>
    <w:p w14:paraId="2659CCE2" w14:textId="77777777" w:rsidR="000C7A9F" w:rsidRDefault="000C7A9F" w:rsidP="000C7A9F"/>
    <w:p w14:paraId="63C621E5" w14:textId="77777777" w:rsidR="000C7A9F" w:rsidRPr="000D1685" w:rsidRDefault="000C7A9F" w:rsidP="000C7A9F">
      <w:pPr>
        <w:spacing w:line="360" w:lineRule="auto"/>
        <w:jc w:val="center"/>
        <w:rPr>
          <w:rFonts w:ascii="Arial" w:hAnsi="Arial" w:cs="Arial"/>
          <w:lang w:val="en-GB"/>
        </w:rPr>
      </w:pPr>
      <w:r w:rsidRPr="000D1685">
        <w:rPr>
          <w:rFonts w:ascii="Arial" w:hAnsi="Arial" w:cs="Arial"/>
          <w:lang w:val="en-GB"/>
        </w:rPr>
        <w:t>Name: Laura Bardas</w:t>
      </w:r>
    </w:p>
    <w:p w14:paraId="430F32D2" w14:textId="77777777" w:rsidR="000C7A9F" w:rsidRPr="000D1685" w:rsidRDefault="000C7A9F" w:rsidP="000C7A9F">
      <w:pPr>
        <w:spacing w:line="360" w:lineRule="auto"/>
        <w:jc w:val="center"/>
        <w:rPr>
          <w:rFonts w:ascii="Arial" w:hAnsi="Arial" w:cs="Arial"/>
          <w:lang w:val="en-GB"/>
        </w:rPr>
      </w:pPr>
      <w:r w:rsidRPr="000D1685">
        <w:rPr>
          <w:rFonts w:ascii="Arial" w:hAnsi="Arial" w:cs="Arial"/>
          <w:lang w:val="en-GB"/>
        </w:rPr>
        <w:t>Student number: 2128922</w:t>
      </w:r>
    </w:p>
    <w:p w14:paraId="391D79F5" w14:textId="0A801304" w:rsidR="000C7A9F" w:rsidRPr="000D1685" w:rsidRDefault="000C7A9F" w:rsidP="000C7A9F">
      <w:pPr>
        <w:spacing w:line="360" w:lineRule="auto"/>
        <w:jc w:val="center"/>
        <w:rPr>
          <w:rFonts w:ascii="Arial" w:hAnsi="Arial" w:cs="Arial"/>
          <w:lang w:val="en-GB"/>
        </w:rPr>
      </w:pPr>
      <w:r w:rsidRPr="000D1685">
        <w:rPr>
          <w:rFonts w:ascii="Arial" w:hAnsi="Arial" w:cs="Arial"/>
          <w:lang w:val="en-GB"/>
        </w:rPr>
        <w:t>Module code and title: LCBB500</w:t>
      </w:r>
      <w:r>
        <w:rPr>
          <w:rFonts w:ascii="Arial" w:hAnsi="Arial" w:cs="Arial"/>
          <w:lang w:val="en-GB"/>
        </w:rPr>
        <w:t>8 – Management Economics</w:t>
      </w:r>
    </w:p>
    <w:p w14:paraId="3ADC7369" w14:textId="57B33E43" w:rsidR="000C7A9F" w:rsidRPr="000D1685" w:rsidRDefault="000C7A9F" w:rsidP="000C7A9F">
      <w:pPr>
        <w:spacing w:line="360" w:lineRule="auto"/>
        <w:jc w:val="center"/>
        <w:rPr>
          <w:rFonts w:ascii="Arial" w:hAnsi="Arial" w:cs="Arial"/>
          <w:lang w:val="en-GB"/>
        </w:rPr>
      </w:pPr>
      <w:r w:rsidRPr="000D1685">
        <w:rPr>
          <w:rFonts w:ascii="Arial" w:hAnsi="Arial" w:cs="Arial"/>
          <w:lang w:val="en-GB"/>
        </w:rPr>
        <w:t xml:space="preserve">Lecturer’s name: </w:t>
      </w:r>
      <w:proofErr w:type="spellStart"/>
      <w:r>
        <w:rPr>
          <w:rFonts w:ascii="Arial" w:hAnsi="Arial" w:cs="Arial"/>
          <w:lang w:val="en-GB"/>
        </w:rPr>
        <w:t>Muno</w:t>
      </w:r>
      <w:proofErr w:type="spellEnd"/>
      <w:r>
        <w:rPr>
          <w:rFonts w:ascii="Arial" w:hAnsi="Arial" w:cs="Arial"/>
          <w:lang w:val="en-GB"/>
        </w:rPr>
        <w:t xml:space="preserve"> </w:t>
      </w:r>
      <w:proofErr w:type="spellStart"/>
      <w:r>
        <w:rPr>
          <w:rFonts w:ascii="Arial" w:hAnsi="Arial" w:cs="Arial"/>
          <w:lang w:val="en-GB"/>
        </w:rPr>
        <w:t>Zuwirai</w:t>
      </w:r>
      <w:proofErr w:type="spellEnd"/>
    </w:p>
    <w:p w14:paraId="03ECB332" w14:textId="29116E71" w:rsidR="000C7A9F" w:rsidRDefault="000C7A9F" w:rsidP="000C7A9F">
      <w:pPr>
        <w:spacing w:line="360" w:lineRule="auto"/>
        <w:jc w:val="center"/>
      </w:pPr>
      <w:r w:rsidRPr="000D1685">
        <w:rPr>
          <w:rFonts w:ascii="Arial" w:hAnsi="Arial" w:cs="Arial"/>
          <w:lang w:val="en-GB"/>
        </w:rPr>
        <w:t xml:space="preserve">Assignment title: </w:t>
      </w:r>
      <w:r>
        <w:rPr>
          <w:rFonts w:ascii="Arial" w:hAnsi="Arial" w:cs="Arial"/>
          <w:lang w:val="en-GB"/>
        </w:rPr>
        <w:t>Assessment Component 1 – Individual Essay</w:t>
      </w:r>
    </w:p>
    <w:p w14:paraId="530B79E3" w14:textId="77777777" w:rsidR="000C7A9F" w:rsidRDefault="000C7A9F" w:rsidP="000C7A9F"/>
    <w:p w14:paraId="64899C13" w14:textId="77777777" w:rsidR="000C7A9F" w:rsidRDefault="000C7A9F" w:rsidP="000C7A9F"/>
    <w:p w14:paraId="31F06025" w14:textId="77777777" w:rsidR="000C7A9F" w:rsidRDefault="000C7A9F" w:rsidP="000C7A9F"/>
    <w:p w14:paraId="73FE9F43" w14:textId="77777777" w:rsidR="000C7A9F" w:rsidRDefault="000C7A9F" w:rsidP="000C7A9F"/>
    <w:p w14:paraId="0C9DA702" w14:textId="77777777" w:rsidR="000C7A9F" w:rsidRDefault="000C7A9F" w:rsidP="000C7A9F"/>
    <w:p w14:paraId="3FAA750A" w14:textId="77777777" w:rsidR="000C7A9F" w:rsidRDefault="000C7A9F" w:rsidP="000C7A9F"/>
    <w:p w14:paraId="319F7BAC" w14:textId="77777777" w:rsidR="000C7A9F" w:rsidRDefault="000C7A9F" w:rsidP="000C7A9F"/>
    <w:p w14:paraId="2B472794" w14:textId="77777777" w:rsidR="000C7A9F" w:rsidRDefault="000C7A9F" w:rsidP="000C7A9F"/>
    <w:p w14:paraId="76A915A7" w14:textId="77777777" w:rsidR="000C7A9F" w:rsidRDefault="000C7A9F" w:rsidP="000C7A9F"/>
    <w:p w14:paraId="3A13E8FD" w14:textId="77777777" w:rsidR="000C7A9F" w:rsidRDefault="000C7A9F" w:rsidP="000C7A9F"/>
    <w:p w14:paraId="6B080450" w14:textId="77777777" w:rsidR="000C7A9F" w:rsidRDefault="000C7A9F" w:rsidP="000C7A9F"/>
    <w:p w14:paraId="18AD52D1" w14:textId="77777777" w:rsidR="000C7A9F" w:rsidRDefault="000C7A9F" w:rsidP="000C7A9F"/>
    <w:p w14:paraId="0640D68D" w14:textId="77777777" w:rsidR="000C7A9F" w:rsidRDefault="000C7A9F" w:rsidP="000C7A9F"/>
    <w:p w14:paraId="220CAFAE" w14:textId="77777777" w:rsidR="000C7A9F" w:rsidRDefault="000C7A9F" w:rsidP="000C7A9F"/>
    <w:p w14:paraId="11531882" w14:textId="77777777" w:rsidR="000C7A9F" w:rsidRDefault="000C7A9F" w:rsidP="000C7A9F"/>
    <w:p w14:paraId="188B2E97" w14:textId="77777777" w:rsidR="000C7A9F" w:rsidRDefault="000C7A9F" w:rsidP="000C7A9F"/>
    <w:p w14:paraId="0F4ABD8B" w14:textId="77777777" w:rsidR="000C7A9F" w:rsidRDefault="000C7A9F" w:rsidP="000C7A9F"/>
    <w:p w14:paraId="23C3E512" w14:textId="77777777" w:rsidR="000C7A9F" w:rsidRDefault="000C7A9F" w:rsidP="000C7A9F"/>
    <w:p w14:paraId="49755CF1" w14:textId="77777777" w:rsidR="000C7A9F" w:rsidRDefault="000C7A9F" w:rsidP="000C7A9F"/>
    <w:p w14:paraId="38B48D13" w14:textId="77777777" w:rsidR="000C7A9F" w:rsidRDefault="000C7A9F" w:rsidP="000C7A9F"/>
    <w:p w14:paraId="49CE4211" w14:textId="77777777" w:rsidR="000C7A9F" w:rsidRDefault="000C7A9F" w:rsidP="000C7A9F"/>
    <w:p w14:paraId="2E72CDBD" w14:textId="77777777" w:rsidR="000C7A9F" w:rsidRDefault="000C7A9F" w:rsidP="000C7A9F"/>
    <w:p w14:paraId="422470A8" w14:textId="77777777" w:rsidR="000C7A9F" w:rsidRDefault="000C7A9F" w:rsidP="000C7A9F"/>
    <w:p w14:paraId="7FA4B7E8" w14:textId="77777777" w:rsidR="000C7A9F" w:rsidRDefault="000C7A9F" w:rsidP="000C7A9F"/>
    <w:p w14:paraId="70873834" w14:textId="77777777" w:rsidR="000C7A9F" w:rsidRDefault="000C7A9F" w:rsidP="000C7A9F"/>
    <w:p w14:paraId="7BBF3E6E" w14:textId="77777777" w:rsidR="000C7A9F" w:rsidRDefault="000C7A9F" w:rsidP="000C7A9F"/>
    <w:p w14:paraId="7274E7B0" w14:textId="77777777" w:rsidR="000C7A9F" w:rsidRDefault="000C7A9F" w:rsidP="000C7A9F"/>
    <w:p w14:paraId="537C1247" w14:textId="77777777" w:rsidR="000C7A9F" w:rsidRPr="000C7A9F" w:rsidRDefault="000C7A9F" w:rsidP="000C7A9F"/>
    <w:p w14:paraId="5C9D7A9A" w14:textId="77777777" w:rsidR="00A3084A" w:rsidRDefault="00A3084A" w:rsidP="00A3084A">
      <w:pPr>
        <w:pStyle w:val="Heading1"/>
      </w:pPr>
    </w:p>
    <w:p w14:paraId="4C705B73" w14:textId="77777777" w:rsidR="00A3084A" w:rsidRDefault="00A3084A" w:rsidP="00A3084A">
      <w:pPr>
        <w:pStyle w:val="Heading1"/>
      </w:pPr>
    </w:p>
    <w:p w14:paraId="4B14B65C" w14:textId="77777777" w:rsidR="00A3084A" w:rsidRDefault="00A3084A" w:rsidP="00A3084A">
      <w:pPr>
        <w:pStyle w:val="Heading1"/>
      </w:pPr>
    </w:p>
    <w:sdt>
      <w:sdtPr>
        <w:rPr>
          <w:rFonts w:asciiTheme="minorHAnsi" w:eastAsiaTheme="minorHAnsi" w:hAnsiTheme="minorHAnsi" w:cstheme="minorBidi"/>
          <w:b w:val="0"/>
          <w:bCs w:val="0"/>
          <w:color w:val="auto"/>
          <w:kern w:val="2"/>
          <w:sz w:val="24"/>
          <w:szCs w:val="24"/>
          <w:lang w:val="en-RO"/>
          <w14:ligatures w14:val="standardContextual"/>
        </w:rPr>
        <w:id w:val="-161556548"/>
        <w:docPartObj>
          <w:docPartGallery w:val="Table of Contents"/>
          <w:docPartUnique/>
        </w:docPartObj>
      </w:sdtPr>
      <w:sdtEndPr>
        <w:rPr>
          <w:noProof/>
        </w:rPr>
      </w:sdtEndPr>
      <w:sdtContent>
        <w:p w14:paraId="201151E3" w14:textId="5325AF97" w:rsidR="00A3084A" w:rsidRDefault="00A3084A">
          <w:pPr>
            <w:pStyle w:val="TOCHeading"/>
          </w:pPr>
          <w:r>
            <w:t>Table of Contents</w:t>
          </w:r>
        </w:p>
        <w:p w14:paraId="68A6F0E2" w14:textId="359BE89D" w:rsidR="00A3084A" w:rsidRDefault="00A3084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9188815" w:history="1">
            <w:r w:rsidRPr="008F734B">
              <w:rPr>
                <w:rStyle w:val="Hyperlink"/>
                <w:noProof/>
              </w:rPr>
              <w:t>Introduction</w:t>
            </w:r>
            <w:r>
              <w:rPr>
                <w:noProof/>
                <w:webHidden/>
              </w:rPr>
              <w:tab/>
            </w:r>
            <w:r>
              <w:rPr>
                <w:noProof/>
                <w:webHidden/>
              </w:rPr>
              <w:fldChar w:fldCharType="begin"/>
            </w:r>
            <w:r>
              <w:rPr>
                <w:noProof/>
                <w:webHidden/>
              </w:rPr>
              <w:instrText xml:space="preserve"> PAGEREF _Toc159188815 \h </w:instrText>
            </w:r>
            <w:r>
              <w:rPr>
                <w:noProof/>
                <w:webHidden/>
              </w:rPr>
            </w:r>
            <w:r>
              <w:rPr>
                <w:noProof/>
                <w:webHidden/>
              </w:rPr>
              <w:fldChar w:fldCharType="separate"/>
            </w:r>
            <w:r>
              <w:rPr>
                <w:noProof/>
                <w:webHidden/>
              </w:rPr>
              <w:t>2</w:t>
            </w:r>
            <w:r>
              <w:rPr>
                <w:noProof/>
                <w:webHidden/>
              </w:rPr>
              <w:fldChar w:fldCharType="end"/>
            </w:r>
          </w:hyperlink>
        </w:p>
        <w:p w14:paraId="6773F81F" w14:textId="23F2521B" w:rsidR="00A3084A" w:rsidRDefault="00000000">
          <w:pPr>
            <w:pStyle w:val="TOC1"/>
            <w:tabs>
              <w:tab w:val="right" w:leader="dot" w:pos="9016"/>
            </w:tabs>
            <w:rPr>
              <w:noProof/>
            </w:rPr>
          </w:pPr>
          <w:hyperlink w:anchor="_Toc159188816" w:history="1">
            <w:r w:rsidR="00A3084A" w:rsidRPr="008F734B">
              <w:rPr>
                <w:rStyle w:val="Hyperlink"/>
                <w:noProof/>
                <w:lang w:val="en-GB"/>
              </w:rPr>
              <w:t>Navigating the Road Ahead: Challenges and Opportunities in the UK Haulage Industry</w:t>
            </w:r>
            <w:r w:rsidR="00A3084A">
              <w:rPr>
                <w:noProof/>
                <w:webHidden/>
              </w:rPr>
              <w:tab/>
            </w:r>
            <w:r w:rsidR="00A3084A">
              <w:rPr>
                <w:noProof/>
                <w:webHidden/>
              </w:rPr>
              <w:fldChar w:fldCharType="begin"/>
            </w:r>
            <w:r w:rsidR="00A3084A">
              <w:rPr>
                <w:noProof/>
                <w:webHidden/>
              </w:rPr>
              <w:instrText xml:space="preserve"> PAGEREF _Toc159188816 \h </w:instrText>
            </w:r>
            <w:r w:rsidR="00A3084A">
              <w:rPr>
                <w:noProof/>
                <w:webHidden/>
              </w:rPr>
            </w:r>
            <w:r w:rsidR="00A3084A">
              <w:rPr>
                <w:noProof/>
                <w:webHidden/>
              </w:rPr>
              <w:fldChar w:fldCharType="separate"/>
            </w:r>
            <w:r w:rsidR="00A3084A">
              <w:rPr>
                <w:noProof/>
                <w:webHidden/>
              </w:rPr>
              <w:t>2</w:t>
            </w:r>
            <w:r w:rsidR="00A3084A">
              <w:rPr>
                <w:noProof/>
                <w:webHidden/>
              </w:rPr>
              <w:fldChar w:fldCharType="end"/>
            </w:r>
          </w:hyperlink>
        </w:p>
        <w:p w14:paraId="6702BE49" w14:textId="3CCBEABD" w:rsidR="00A3084A" w:rsidRDefault="00000000">
          <w:pPr>
            <w:pStyle w:val="TOC1"/>
            <w:tabs>
              <w:tab w:val="right" w:leader="dot" w:pos="9016"/>
            </w:tabs>
            <w:rPr>
              <w:noProof/>
            </w:rPr>
          </w:pPr>
          <w:hyperlink w:anchor="_Toc159188817" w:history="1">
            <w:r w:rsidR="00A3084A" w:rsidRPr="008F734B">
              <w:rPr>
                <w:rStyle w:val="Hyperlink"/>
                <w:noProof/>
                <w:lang w:val="en-GB"/>
              </w:rPr>
              <w:t>Profit Maximisation Theory in light of the UK Road Haulage &amp; Courier Industries</w:t>
            </w:r>
            <w:r w:rsidR="00A3084A">
              <w:rPr>
                <w:noProof/>
                <w:webHidden/>
              </w:rPr>
              <w:tab/>
            </w:r>
            <w:r w:rsidR="00A3084A">
              <w:rPr>
                <w:noProof/>
                <w:webHidden/>
              </w:rPr>
              <w:fldChar w:fldCharType="begin"/>
            </w:r>
            <w:r w:rsidR="00A3084A">
              <w:rPr>
                <w:noProof/>
                <w:webHidden/>
              </w:rPr>
              <w:instrText xml:space="preserve"> PAGEREF _Toc159188817 \h </w:instrText>
            </w:r>
            <w:r w:rsidR="00A3084A">
              <w:rPr>
                <w:noProof/>
                <w:webHidden/>
              </w:rPr>
            </w:r>
            <w:r w:rsidR="00A3084A">
              <w:rPr>
                <w:noProof/>
                <w:webHidden/>
              </w:rPr>
              <w:fldChar w:fldCharType="separate"/>
            </w:r>
            <w:r w:rsidR="00A3084A">
              <w:rPr>
                <w:noProof/>
                <w:webHidden/>
              </w:rPr>
              <w:t>4</w:t>
            </w:r>
            <w:r w:rsidR="00A3084A">
              <w:rPr>
                <w:noProof/>
                <w:webHidden/>
              </w:rPr>
              <w:fldChar w:fldCharType="end"/>
            </w:r>
          </w:hyperlink>
        </w:p>
        <w:p w14:paraId="6F4AEE7A" w14:textId="7584DEA2" w:rsidR="00A3084A" w:rsidRDefault="00000000">
          <w:pPr>
            <w:pStyle w:val="TOC1"/>
            <w:tabs>
              <w:tab w:val="right" w:leader="dot" w:pos="9016"/>
            </w:tabs>
            <w:rPr>
              <w:noProof/>
            </w:rPr>
          </w:pPr>
          <w:hyperlink w:anchor="_Toc159188818" w:history="1">
            <w:r w:rsidR="00A3084A" w:rsidRPr="008F734B">
              <w:rPr>
                <w:rStyle w:val="Hyperlink"/>
                <w:noProof/>
                <w:lang w:val="en-GB"/>
              </w:rPr>
              <w:t xml:space="preserve">Economic theories, business environment, </w:t>
            </w:r>
            <w:r w:rsidR="00A3084A" w:rsidRPr="008F734B">
              <w:rPr>
                <w:rStyle w:val="Hyperlink"/>
                <w:noProof/>
              </w:rPr>
              <w:t>business</w:t>
            </w:r>
            <w:r w:rsidR="00A3084A" w:rsidRPr="008F734B">
              <w:rPr>
                <w:rStyle w:val="Hyperlink"/>
                <w:noProof/>
                <w:lang w:val="en-GB"/>
              </w:rPr>
              <w:t xml:space="preserve"> objectives, market structure and stakeholder issues</w:t>
            </w:r>
            <w:r w:rsidR="00A3084A">
              <w:rPr>
                <w:noProof/>
                <w:webHidden/>
              </w:rPr>
              <w:tab/>
            </w:r>
            <w:r w:rsidR="00A3084A">
              <w:rPr>
                <w:noProof/>
                <w:webHidden/>
              </w:rPr>
              <w:fldChar w:fldCharType="begin"/>
            </w:r>
            <w:r w:rsidR="00A3084A">
              <w:rPr>
                <w:noProof/>
                <w:webHidden/>
              </w:rPr>
              <w:instrText xml:space="preserve"> PAGEREF _Toc159188818 \h </w:instrText>
            </w:r>
            <w:r w:rsidR="00A3084A">
              <w:rPr>
                <w:noProof/>
                <w:webHidden/>
              </w:rPr>
            </w:r>
            <w:r w:rsidR="00A3084A">
              <w:rPr>
                <w:noProof/>
                <w:webHidden/>
              </w:rPr>
              <w:fldChar w:fldCharType="separate"/>
            </w:r>
            <w:r w:rsidR="00A3084A">
              <w:rPr>
                <w:noProof/>
                <w:webHidden/>
              </w:rPr>
              <w:t>6</w:t>
            </w:r>
            <w:r w:rsidR="00A3084A">
              <w:rPr>
                <w:noProof/>
                <w:webHidden/>
              </w:rPr>
              <w:fldChar w:fldCharType="end"/>
            </w:r>
          </w:hyperlink>
        </w:p>
        <w:p w14:paraId="28ABB71B" w14:textId="7C202913" w:rsidR="00A3084A" w:rsidRDefault="00000000">
          <w:pPr>
            <w:pStyle w:val="TOC1"/>
            <w:tabs>
              <w:tab w:val="right" w:leader="dot" w:pos="9016"/>
            </w:tabs>
            <w:rPr>
              <w:noProof/>
            </w:rPr>
          </w:pPr>
          <w:hyperlink w:anchor="_Toc159188819" w:history="1">
            <w:r w:rsidR="00A3084A" w:rsidRPr="008F734B">
              <w:rPr>
                <w:rStyle w:val="Hyperlink"/>
                <w:noProof/>
                <w:lang w:val="en-GB"/>
              </w:rPr>
              <w:t xml:space="preserve">Recommendations for sustainable </w:t>
            </w:r>
            <w:r w:rsidR="00A3084A" w:rsidRPr="008F734B">
              <w:rPr>
                <w:rStyle w:val="Hyperlink"/>
                <w:noProof/>
              </w:rPr>
              <w:t>growth</w:t>
            </w:r>
            <w:r w:rsidR="00A3084A">
              <w:rPr>
                <w:noProof/>
                <w:webHidden/>
              </w:rPr>
              <w:tab/>
            </w:r>
            <w:r w:rsidR="00A3084A">
              <w:rPr>
                <w:noProof/>
                <w:webHidden/>
              </w:rPr>
              <w:fldChar w:fldCharType="begin"/>
            </w:r>
            <w:r w:rsidR="00A3084A">
              <w:rPr>
                <w:noProof/>
                <w:webHidden/>
              </w:rPr>
              <w:instrText xml:space="preserve"> PAGEREF _Toc159188819 \h </w:instrText>
            </w:r>
            <w:r w:rsidR="00A3084A">
              <w:rPr>
                <w:noProof/>
                <w:webHidden/>
              </w:rPr>
            </w:r>
            <w:r w:rsidR="00A3084A">
              <w:rPr>
                <w:noProof/>
                <w:webHidden/>
              </w:rPr>
              <w:fldChar w:fldCharType="separate"/>
            </w:r>
            <w:r w:rsidR="00A3084A">
              <w:rPr>
                <w:noProof/>
                <w:webHidden/>
              </w:rPr>
              <w:t>8</w:t>
            </w:r>
            <w:r w:rsidR="00A3084A">
              <w:rPr>
                <w:noProof/>
                <w:webHidden/>
              </w:rPr>
              <w:fldChar w:fldCharType="end"/>
            </w:r>
          </w:hyperlink>
        </w:p>
        <w:p w14:paraId="5E9C5927" w14:textId="152BFC85" w:rsidR="00A3084A" w:rsidRDefault="00000000">
          <w:pPr>
            <w:pStyle w:val="TOC1"/>
            <w:tabs>
              <w:tab w:val="right" w:leader="dot" w:pos="9016"/>
            </w:tabs>
            <w:rPr>
              <w:noProof/>
            </w:rPr>
          </w:pPr>
          <w:hyperlink w:anchor="_Toc159188820" w:history="1">
            <w:r w:rsidR="00A3084A" w:rsidRPr="008F734B">
              <w:rPr>
                <w:rStyle w:val="Hyperlink"/>
                <w:noProof/>
                <w:lang w:val="en-GB"/>
              </w:rPr>
              <w:t>Conclusion</w:t>
            </w:r>
            <w:r w:rsidR="00A3084A">
              <w:rPr>
                <w:noProof/>
                <w:webHidden/>
              </w:rPr>
              <w:tab/>
            </w:r>
            <w:r w:rsidR="00A3084A">
              <w:rPr>
                <w:noProof/>
                <w:webHidden/>
              </w:rPr>
              <w:fldChar w:fldCharType="begin"/>
            </w:r>
            <w:r w:rsidR="00A3084A">
              <w:rPr>
                <w:noProof/>
                <w:webHidden/>
              </w:rPr>
              <w:instrText xml:space="preserve"> PAGEREF _Toc159188820 \h </w:instrText>
            </w:r>
            <w:r w:rsidR="00A3084A">
              <w:rPr>
                <w:noProof/>
                <w:webHidden/>
              </w:rPr>
            </w:r>
            <w:r w:rsidR="00A3084A">
              <w:rPr>
                <w:noProof/>
                <w:webHidden/>
              </w:rPr>
              <w:fldChar w:fldCharType="separate"/>
            </w:r>
            <w:r w:rsidR="00A3084A">
              <w:rPr>
                <w:noProof/>
                <w:webHidden/>
              </w:rPr>
              <w:t>10</w:t>
            </w:r>
            <w:r w:rsidR="00A3084A">
              <w:rPr>
                <w:noProof/>
                <w:webHidden/>
              </w:rPr>
              <w:fldChar w:fldCharType="end"/>
            </w:r>
          </w:hyperlink>
        </w:p>
        <w:p w14:paraId="2F151EE9" w14:textId="6D0FF8EE" w:rsidR="00A3084A" w:rsidRDefault="00000000">
          <w:pPr>
            <w:pStyle w:val="TOC1"/>
            <w:tabs>
              <w:tab w:val="right" w:leader="dot" w:pos="9016"/>
            </w:tabs>
            <w:rPr>
              <w:noProof/>
            </w:rPr>
          </w:pPr>
          <w:hyperlink w:anchor="_Toc159188821" w:history="1">
            <w:r w:rsidR="00A3084A" w:rsidRPr="008F734B">
              <w:rPr>
                <w:rStyle w:val="Hyperlink"/>
                <w:noProof/>
                <w:lang w:val="en-GB"/>
              </w:rPr>
              <w:t>References:</w:t>
            </w:r>
            <w:r w:rsidR="00A3084A">
              <w:rPr>
                <w:noProof/>
                <w:webHidden/>
              </w:rPr>
              <w:tab/>
            </w:r>
            <w:r w:rsidR="00A3084A">
              <w:rPr>
                <w:noProof/>
                <w:webHidden/>
              </w:rPr>
              <w:fldChar w:fldCharType="begin"/>
            </w:r>
            <w:r w:rsidR="00A3084A">
              <w:rPr>
                <w:noProof/>
                <w:webHidden/>
              </w:rPr>
              <w:instrText xml:space="preserve"> PAGEREF _Toc159188821 \h </w:instrText>
            </w:r>
            <w:r w:rsidR="00A3084A">
              <w:rPr>
                <w:noProof/>
                <w:webHidden/>
              </w:rPr>
            </w:r>
            <w:r w:rsidR="00A3084A">
              <w:rPr>
                <w:noProof/>
                <w:webHidden/>
              </w:rPr>
              <w:fldChar w:fldCharType="separate"/>
            </w:r>
            <w:r w:rsidR="00A3084A">
              <w:rPr>
                <w:noProof/>
                <w:webHidden/>
              </w:rPr>
              <w:t>11</w:t>
            </w:r>
            <w:r w:rsidR="00A3084A">
              <w:rPr>
                <w:noProof/>
                <w:webHidden/>
              </w:rPr>
              <w:fldChar w:fldCharType="end"/>
            </w:r>
          </w:hyperlink>
        </w:p>
        <w:p w14:paraId="7065EFB3" w14:textId="60247D37" w:rsidR="00A3084A" w:rsidRDefault="00A3084A" w:rsidP="00A3084A">
          <w:r>
            <w:rPr>
              <w:b/>
              <w:bCs/>
              <w:noProof/>
            </w:rPr>
            <w:fldChar w:fldCharType="end"/>
          </w:r>
        </w:p>
      </w:sdtContent>
    </w:sdt>
    <w:p w14:paraId="3016A853" w14:textId="77777777" w:rsidR="00A3084A" w:rsidRDefault="00A3084A" w:rsidP="00A3084A">
      <w:pPr>
        <w:pStyle w:val="Heading1"/>
      </w:pPr>
    </w:p>
    <w:p w14:paraId="6B56D0A9" w14:textId="77777777" w:rsidR="00A3084A" w:rsidRDefault="00A3084A" w:rsidP="00A3084A">
      <w:pPr>
        <w:pStyle w:val="Heading1"/>
      </w:pPr>
    </w:p>
    <w:p w14:paraId="43F2412B" w14:textId="77777777" w:rsidR="00A3084A" w:rsidRDefault="00A3084A" w:rsidP="00A3084A"/>
    <w:p w14:paraId="7EA8DD3A" w14:textId="77777777" w:rsidR="00A3084A" w:rsidRDefault="00A3084A" w:rsidP="00A3084A"/>
    <w:p w14:paraId="2BFFD58A" w14:textId="77777777" w:rsidR="00A3084A" w:rsidRDefault="00A3084A" w:rsidP="00A3084A"/>
    <w:p w14:paraId="44AC6B1B" w14:textId="77777777" w:rsidR="00A3084A" w:rsidRDefault="00A3084A" w:rsidP="00A3084A"/>
    <w:p w14:paraId="7FD66CC1" w14:textId="77777777" w:rsidR="00A3084A" w:rsidRDefault="00A3084A" w:rsidP="00A3084A"/>
    <w:p w14:paraId="73AEDA61" w14:textId="77777777" w:rsidR="00A3084A" w:rsidRDefault="00A3084A" w:rsidP="00A3084A"/>
    <w:p w14:paraId="1A25E198" w14:textId="77777777" w:rsidR="00A3084A" w:rsidRDefault="00A3084A" w:rsidP="00A3084A"/>
    <w:p w14:paraId="196614D0" w14:textId="77777777" w:rsidR="00A3084A" w:rsidRDefault="00A3084A" w:rsidP="00A3084A"/>
    <w:p w14:paraId="3852592D" w14:textId="77777777" w:rsidR="00A3084A" w:rsidRDefault="00A3084A" w:rsidP="00A3084A"/>
    <w:p w14:paraId="41CC4264" w14:textId="77777777" w:rsidR="00A3084A" w:rsidRDefault="00A3084A" w:rsidP="00A3084A"/>
    <w:p w14:paraId="48D1A185" w14:textId="77777777" w:rsidR="00A3084A" w:rsidRPr="00A3084A" w:rsidRDefault="00A3084A" w:rsidP="00A3084A"/>
    <w:p w14:paraId="487A33E2" w14:textId="77777777" w:rsidR="00A3084A" w:rsidRDefault="00A3084A" w:rsidP="00A3084A">
      <w:pPr>
        <w:pStyle w:val="Heading1"/>
      </w:pPr>
    </w:p>
    <w:p w14:paraId="62006E22" w14:textId="77777777" w:rsidR="00A3084A" w:rsidRDefault="00A3084A" w:rsidP="00A3084A"/>
    <w:p w14:paraId="7444811A" w14:textId="77777777" w:rsidR="00A3084A" w:rsidRDefault="00A3084A" w:rsidP="00A3084A"/>
    <w:p w14:paraId="6E3A2642" w14:textId="77777777" w:rsidR="00A3084A" w:rsidRDefault="00A3084A" w:rsidP="00A3084A"/>
    <w:p w14:paraId="5B6A3DBC" w14:textId="77777777" w:rsidR="00A3084A" w:rsidRPr="00A3084A" w:rsidRDefault="00A3084A" w:rsidP="00A3084A"/>
    <w:p w14:paraId="6A21C23B" w14:textId="7A346E59" w:rsidR="0092113D" w:rsidRPr="00A3084A" w:rsidRDefault="0092113D" w:rsidP="00A3084A">
      <w:pPr>
        <w:pStyle w:val="Heading1"/>
        <w:rPr>
          <w:lang w:val="en-GB"/>
        </w:rPr>
      </w:pPr>
      <w:bookmarkStart w:id="0" w:name="_Toc159188815"/>
      <w:r w:rsidRPr="00A3084A">
        <w:lastRenderedPageBreak/>
        <w:t>Introduction</w:t>
      </w:r>
      <w:bookmarkEnd w:id="0"/>
    </w:p>
    <w:p w14:paraId="2A0DE1B0" w14:textId="77777777" w:rsidR="0092113D" w:rsidRPr="00A3084A" w:rsidRDefault="0092113D" w:rsidP="00A3084A">
      <w:pPr>
        <w:spacing w:line="360" w:lineRule="auto"/>
        <w:rPr>
          <w:rFonts w:ascii="Arial" w:hAnsi="Arial" w:cs="Arial"/>
          <w:lang w:val="en-GB"/>
        </w:rPr>
      </w:pPr>
    </w:p>
    <w:p w14:paraId="3E93CC2B" w14:textId="6CF0BA23"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In today's dynamic business landscape, the UK road haulage and courier industries play a vital role in facilitating the movement of goods, serving as integral components of the supply chain. However, amidst evolving economic, technological, and regulatory challenges, achieving sustainable growth and profitability requires a strategic approach. This essay explores the economic theories, business environment dynamics, market structures, and stakeholder considerations relevant to operators in these industries, aiming to provide recommendations for sustainable growth and long-term success.</w:t>
      </w:r>
    </w:p>
    <w:p w14:paraId="40F87667" w14:textId="77777777" w:rsidR="0092113D" w:rsidRPr="00A3084A" w:rsidRDefault="0092113D" w:rsidP="00A3084A">
      <w:pPr>
        <w:spacing w:line="360" w:lineRule="auto"/>
        <w:rPr>
          <w:rFonts w:ascii="Arial" w:hAnsi="Arial" w:cs="Arial"/>
          <w:lang w:val="en-GB"/>
        </w:rPr>
      </w:pPr>
    </w:p>
    <w:p w14:paraId="0476B159" w14:textId="470C612B" w:rsidR="0092113D" w:rsidRPr="00A3084A" w:rsidRDefault="0092113D" w:rsidP="00A3084A">
      <w:pPr>
        <w:pStyle w:val="Heading1"/>
        <w:rPr>
          <w:lang w:val="en-GB"/>
        </w:rPr>
      </w:pPr>
      <w:bookmarkStart w:id="1" w:name="_Toc159188816"/>
      <w:r w:rsidRPr="00A3084A">
        <w:rPr>
          <w:lang w:val="en-GB"/>
        </w:rPr>
        <w:t>Navigating the Road Ahead: Challenges and Opportunities in the UK Haulage Industry</w:t>
      </w:r>
      <w:bookmarkEnd w:id="1"/>
    </w:p>
    <w:p w14:paraId="3A37A702" w14:textId="77777777" w:rsidR="0092113D" w:rsidRPr="00A3084A" w:rsidRDefault="0092113D" w:rsidP="00A3084A">
      <w:pPr>
        <w:spacing w:line="360" w:lineRule="auto"/>
        <w:rPr>
          <w:rFonts w:ascii="Arial" w:hAnsi="Arial" w:cs="Arial"/>
          <w:lang w:val="en-GB"/>
        </w:rPr>
      </w:pPr>
    </w:p>
    <w:p w14:paraId="46F22034" w14:textId="77777777" w:rsidR="0092113D" w:rsidRPr="00A3084A" w:rsidRDefault="0092113D" w:rsidP="00A3084A">
      <w:pPr>
        <w:spacing w:line="360" w:lineRule="auto"/>
        <w:rPr>
          <w:rFonts w:ascii="Arial" w:hAnsi="Arial" w:cs="Arial"/>
          <w:lang w:val="en-GB"/>
        </w:rPr>
      </w:pPr>
    </w:p>
    <w:p w14:paraId="587E4F64" w14:textId="51CA3884"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The United Kingdom's haulage industry plays a pivotal role in facilitating the movement of goods across the country, serving as the backbone of supply chains. However, the sector faces a myriad of challenges and opportunities that shape its profitability and sustainability. This essay explores the industry's structure, demand dynamics, and various factors influencing its profitability while identifying avenues for growth and resilience.</w:t>
      </w:r>
    </w:p>
    <w:p w14:paraId="00B881AE"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Industry Structure: The UK haulage industry encompasses a diverse range of operators, from small family-owned businesses to large multinational corporations. Road transport dominates the sector, accounting for approximately 70% of freight movements within the UK (Department for Transport, 2022). Additionally, the industry relies heavily on a network of independent owner-operators who contribute significantly to its flexibility and capacity (Davies, 2019). However, regulatory requirements, technological advancements, and market dynamics continually reshape the industry landscape, influencing the competitive dynamics among players.</w:t>
      </w:r>
    </w:p>
    <w:p w14:paraId="0BA5409A" w14:textId="77777777" w:rsidR="00A3084A" w:rsidRPr="00A3084A" w:rsidRDefault="00A3084A" w:rsidP="00A3084A">
      <w:pPr>
        <w:spacing w:line="360" w:lineRule="auto"/>
        <w:rPr>
          <w:rFonts w:ascii="Arial" w:hAnsi="Arial" w:cs="Arial"/>
          <w:lang w:val="en-GB"/>
        </w:rPr>
      </w:pPr>
    </w:p>
    <w:p w14:paraId="2E06F07E" w14:textId="77777777" w:rsidR="00A3084A" w:rsidRPr="00A3084A" w:rsidRDefault="0092113D" w:rsidP="00A3084A">
      <w:pPr>
        <w:spacing w:line="360" w:lineRule="auto"/>
        <w:rPr>
          <w:rFonts w:ascii="Arial" w:hAnsi="Arial" w:cs="Arial"/>
          <w:lang w:val="en-GB"/>
        </w:rPr>
      </w:pPr>
      <w:r w:rsidRPr="00A3084A">
        <w:rPr>
          <w:rFonts w:ascii="Arial" w:hAnsi="Arial" w:cs="Arial"/>
          <w:lang w:val="en-GB"/>
        </w:rPr>
        <w:t xml:space="preserve">Challenges: </w:t>
      </w:r>
    </w:p>
    <w:p w14:paraId="4153953A" w14:textId="11752C1A"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lastRenderedPageBreak/>
        <w:t xml:space="preserve">Several challenges confront the UK haulage industry, impacting its profitability and sustainability. One significant challenge is the shortage of skilled drivers, exacerbated by an aging workforce and stringent licensing regulations (Wood, 2020). This shortage not only increases </w:t>
      </w:r>
      <w:r w:rsidR="00A3084A" w:rsidRPr="00A3084A">
        <w:rPr>
          <w:rFonts w:ascii="Arial" w:hAnsi="Arial" w:cs="Arial"/>
          <w:lang w:val="en-GB"/>
        </w:rPr>
        <w:t>labour</w:t>
      </w:r>
      <w:r w:rsidRPr="00A3084A">
        <w:rPr>
          <w:rFonts w:ascii="Arial" w:hAnsi="Arial" w:cs="Arial"/>
          <w:lang w:val="en-GB"/>
        </w:rPr>
        <w:t xml:space="preserve"> costs but also strains capacity, leading to delays and higher operational expenses. Moreover, rising fuel prices and environmental regulations pose additional financial burdens, prompting companies to explore alternative fuel technologies and efficiency measures (McKinsey &amp; Company, 2021).</w:t>
      </w:r>
    </w:p>
    <w:p w14:paraId="3E90A192"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Furthermore, Brexit-related uncertainties, such as customs delays and regulatory changes, have introduced significant disruptions to cross-border operations, affecting trade flows and supply chain reliability (Hoekstra, 2020). Additionally, infrastructure constraints, particularly congestion and inadequate parking facilities, impede operational efficiency and driver welfare (Freight Transport Association, 2021). Addressing these challenges requires collaborative efforts from industry stakeholders and policymakers to ensure the industry's long-term viability.</w:t>
      </w:r>
    </w:p>
    <w:p w14:paraId="3982A3D2" w14:textId="77777777" w:rsidR="00A3084A" w:rsidRPr="00A3084A" w:rsidRDefault="00A3084A" w:rsidP="00A3084A">
      <w:pPr>
        <w:spacing w:line="360" w:lineRule="auto"/>
        <w:rPr>
          <w:rFonts w:ascii="Arial" w:hAnsi="Arial" w:cs="Arial"/>
          <w:lang w:val="en-GB"/>
        </w:rPr>
      </w:pPr>
    </w:p>
    <w:p w14:paraId="4371BD7B" w14:textId="77777777" w:rsidR="00A3084A" w:rsidRPr="00A3084A" w:rsidRDefault="0092113D" w:rsidP="00A3084A">
      <w:pPr>
        <w:spacing w:line="360" w:lineRule="auto"/>
        <w:rPr>
          <w:rFonts w:ascii="Arial" w:hAnsi="Arial" w:cs="Arial"/>
          <w:lang w:val="en-GB"/>
        </w:rPr>
      </w:pPr>
      <w:r w:rsidRPr="00A3084A">
        <w:rPr>
          <w:rFonts w:ascii="Arial" w:hAnsi="Arial" w:cs="Arial"/>
          <w:lang w:val="en-GB"/>
        </w:rPr>
        <w:t xml:space="preserve">Opportunities: </w:t>
      </w:r>
    </w:p>
    <w:p w14:paraId="4D9338A0" w14:textId="63D37D10"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Amidst the challenges, the UK haulage industry also presents various opportunities for growth and innovation. The accelerated adoption of digital technologies offers promising avenues for optimizing operations, improving route planning, and enhancing customer service (Accenture, 2021). Furthermore, the rise of e-commerce and omnichannel retailing has </w:t>
      </w:r>
      <w:r w:rsidR="00A3084A" w:rsidRPr="00A3084A">
        <w:rPr>
          <w:rFonts w:ascii="Arial" w:hAnsi="Arial" w:cs="Arial"/>
          <w:lang w:val="en-GB"/>
        </w:rPr>
        <w:t>fuelled</w:t>
      </w:r>
      <w:r w:rsidRPr="00A3084A">
        <w:rPr>
          <w:rFonts w:ascii="Arial" w:hAnsi="Arial" w:cs="Arial"/>
          <w:lang w:val="en-GB"/>
        </w:rPr>
        <w:t xml:space="preserve"> demand for last-mile delivery services, creating new revenue streams for haulage companies (JLL, 2022). Leveraging data analytics and predictive </w:t>
      </w:r>
      <w:r w:rsidR="00A3084A" w:rsidRPr="00A3084A">
        <w:rPr>
          <w:rFonts w:ascii="Arial" w:hAnsi="Arial" w:cs="Arial"/>
          <w:lang w:val="en-GB"/>
        </w:rPr>
        <w:t>modelling</w:t>
      </w:r>
      <w:r w:rsidRPr="00A3084A">
        <w:rPr>
          <w:rFonts w:ascii="Arial" w:hAnsi="Arial" w:cs="Arial"/>
          <w:lang w:val="en-GB"/>
        </w:rPr>
        <w:t xml:space="preserve"> can enable companies to anticipate demand fluctuations and optimize fleet utilization, thereby improving profitability (McKinsey &amp; Company, 2021).</w:t>
      </w:r>
    </w:p>
    <w:p w14:paraId="23F0431E" w14:textId="7AAE9F9C"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Moreover, sustainability initiatives present an opportunity for haulage firms to differentiate themselves and meet evolving customer expectations. Investing in fuel-efficient vehicles, alternative fuels, and carbon offset programs can not only reduce environmental impact but also lower operating costs over the long term (Green Freight Europe, 2022). Additionally, collaborative partnerships along the supply chain, such as consolidation </w:t>
      </w:r>
      <w:r w:rsidR="00A3084A" w:rsidRPr="00A3084A">
        <w:rPr>
          <w:rFonts w:ascii="Arial" w:hAnsi="Arial" w:cs="Arial"/>
          <w:lang w:val="en-GB"/>
        </w:rPr>
        <w:t>centres</w:t>
      </w:r>
      <w:r w:rsidRPr="00A3084A">
        <w:rPr>
          <w:rFonts w:ascii="Arial" w:hAnsi="Arial" w:cs="Arial"/>
          <w:lang w:val="en-GB"/>
        </w:rPr>
        <w:t xml:space="preserve"> and shared distribution networks, can enhance efficiency and reduce congestion (European Commission, 2020).</w:t>
      </w:r>
    </w:p>
    <w:p w14:paraId="1AD4B50F" w14:textId="77777777" w:rsidR="00A3084A" w:rsidRPr="00A3084A" w:rsidRDefault="00A3084A" w:rsidP="00A3084A">
      <w:pPr>
        <w:spacing w:line="360" w:lineRule="auto"/>
        <w:ind w:firstLine="720"/>
        <w:rPr>
          <w:rFonts w:ascii="Arial" w:hAnsi="Arial" w:cs="Arial"/>
          <w:lang w:val="en-GB"/>
        </w:rPr>
      </w:pPr>
    </w:p>
    <w:p w14:paraId="534BAC71" w14:textId="5C903C3B"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lastRenderedPageBreak/>
        <w:t xml:space="preserve">In conclusion, the UK haulage industry faces a complex landscape of challenges and opportunities that shape its profitability and sustainability. While factors such as driver shortages, regulatory pressures, and infrastructure constraints pose significant hurdles, advancements in technology, shifting consumer </w:t>
      </w:r>
      <w:r w:rsidR="00A3084A" w:rsidRPr="00A3084A">
        <w:rPr>
          <w:rFonts w:ascii="Arial" w:hAnsi="Arial" w:cs="Arial"/>
          <w:lang w:val="en-GB"/>
        </w:rPr>
        <w:t>behaviours</w:t>
      </w:r>
      <w:r w:rsidRPr="00A3084A">
        <w:rPr>
          <w:rFonts w:ascii="Arial" w:hAnsi="Arial" w:cs="Arial"/>
          <w:lang w:val="en-GB"/>
        </w:rPr>
        <w:t>, and sustainability initiatives offer avenues for growth and resilience. By embracing innovation, fostering collaboration, and adapting to changing market dynamics, haulage companies can navigate the road ahead with confidence and drive sustainable success in the long term.</w:t>
      </w:r>
    </w:p>
    <w:p w14:paraId="2DE5CFD8" w14:textId="77777777" w:rsidR="0092113D" w:rsidRPr="00A3084A" w:rsidRDefault="0092113D" w:rsidP="00A3084A">
      <w:pPr>
        <w:spacing w:line="360" w:lineRule="auto"/>
        <w:rPr>
          <w:rFonts w:ascii="Arial" w:hAnsi="Arial" w:cs="Arial"/>
          <w:lang w:val="en-GB"/>
        </w:rPr>
      </w:pPr>
    </w:p>
    <w:p w14:paraId="661917A8" w14:textId="77777777" w:rsidR="0092113D" w:rsidRPr="00A3084A" w:rsidRDefault="0092113D" w:rsidP="00A3084A">
      <w:pPr>
        <w:spacing w:line="360" w:lineRule="auto"/>
        <w:rPr>
          <w:rFonts w:ascii="Arial" w:hAnsi="Arial" w:cs="Arial"/>
          <w:lang w:val="en-GB"/>
        </w:rPr>
      </w:pPr>
    </w:p>
    <w:p w14:paraId="00BC2CE7" w14:textId="37183442" w:rsidR="0092113D" w:rsidRPr="00A3084A" w:rsidRDefault="0092113D" w:rsidP="00A3084A">
      <w:pPr>
        <w:pStyle w:val="Heading1"/>
        <w:rPr>
          <w:lang w:val="en-GB"/>
        </w:rPr>
      </w:pPr>
      <w:bookmarkStart w:id="2" w:name="_Toc159188817"/>
      <w:r w:rsidRPr="00A3084A">
        <w:rPr>
          <w:lang w:val="en-GB"/>
        </w:rPr>
        <w:t xml:space="preserve">Profit Maximisation Theory </w:t>
      </w:r>
      <w:proofErr w:type="gramStart"/>
      <w:r w:rsidRPr="00A3084A">
        <w:rPr>
          <w:lang w:val="en-GB"/>
        </w:rPr>
        <w:t>in light of</w:t>
      </w:r>
      <w:proofErr w:type="gramEnd"/>
      <w:r w:rsidRPr="00A3084A">
        <w:rPr>
          <w:lang w:val="en-GB"/>
        </w:rPr>
        <w:t xml:space="preserve"> the UK Road Haulage &amp; Courier Industries</w:t>
      </w:r>
      <w:bookmarkEnd w:id="2"/>
    </w:p>
    <w:p w14:paraId="4C2F8B76" w14:textId="77777777" w:rsidR="0092113D" w:rsidRPr="00A3084A" w:rsidRDefault="0092113D" w:rsidP="00A3084A">
      <w:pPr>
        <w:spacing w:line="360" w:lineRule="auto"/>
        <w:rPr>
          <w:rFonts w:ascii="Arial" w:hAnsi="Arial" w:cs="Arial"/>
          <w:lang w:val="en-GB"/>
        </w:rPr>
      </w:pPr>
    </w:p>
    <w:p w14:paraId="2239EDA6"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Profit maximization theory posits that businesses aim to achieve the highest possible level of profit within the constraints of their resources and external environment. In the context of the UK road haulage and courier industries, this theory holds significant relevance as companies in these sectors strive to optimize their operations to generate maximum financial returns.</w:t>
      </w:r>
    </w:p>
    <w:p w14:paraId="235EAD3B" w14:textId="41EC3931"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The primary goal of profit maximization theory is to identify the optimal level of output or service provision that allows a company to maximize its revenue while minimizing costs. In the UK road haulage and courier industries, this involves efficiently managing various factors such as fuel expenses, </w:t>
      </w:r>
      <w:r w:rsidR="00A3084A" w:rsidRPr="00A3084A">
        <w:rPr>
          <w:rFonts w:ascii="Arial" w:hAnsi="Arial" w:cs="Arial"/>
          <w:lang w:val="en-GB"/>
        </w:rPr>
        <w:t>labour</w:t>
      </w:r>
      <w:r w:rsidRPr="00A3084A">
        <w:rPr>
          <w:rFonts w:ascii="Arial" w:hAnsi="Arial" w:cs="Arial"/>
          <w:lang w:val="en-GB"/>
        </w:rPr>
        <w:t xml:space="preserve"> costs, vehicle maintenance, and overheads to ensure profitability.</w:t>
      </w:r>
    </w:p>
    <w:p w14:paraId="0228858E"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One of the key drivers of profit maximization in these industries is the effective utilization of resources, particularly fleet assets. Companies must balance factors such as vehicle capacity, route planning, and delivery schedules to minimize idle time and maximize revenue-generating opportunities. By optimizing load factors and route efficiency, haulage and courier firms can enhance their revenue per mile while reducing operating costs (Yuan et al., 2018).</w:t>
      </w:r>
    </w:p>
    <w:p w14:paraId="6798593F"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Moreover, pricing strategies play a crucial role in profit maximization within these industries. Companies must carefully assess market demand, competitor pricing, and cost structures to set competitive yet profitable rates for their services. Dynamic pricing models, which adjust rates based on factors such as demand </w:t>
      </w:r>
      <w:r w:rsidRPr="00A3084A">
        <w:rPr>
          <w:rFonts w:ascii="Arial" w:hAnsi="Arial" w:cs="Arial"/>
          <w:lang w:val="en-GB"/>
        </w:rPr>
        <w:lastRenderedPageBreak/>
        <w:t>fluctuations and fuel prices, can help companies maximize revenue and maintain competitiveness in the market (</w:t>
      </w:r>
      <w:proofErr w:type="spellStart"/>
      <w:r w:rsidRPr="00A3084A">
        <w:rPr>
          <w:rFonts w:ascii="Arial" w:hAnsi="Arial" w:cs="Arial"/>
          <w:lang w:val="en-GB"/>
        </w:rPr>
        <w:t>Adobor</w:t>
      </w:r>
      <w:proofErr w:type="spellEnd"/>
      <w:r w:rsidRPr="00A3084A">
        <w:rPr>
          <w:rFonts w:ascii="Arial" w:hAnsi="Arial" w:cs="Arial"/>
          <w:lang w:val="en-GB"/>
        </w:rPr>
        <w:t>, 2020).</w:t>
      </w:r>
    </w:p>
    <w:p w14:paraId="5AA4BCB9"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Furthermore, investments in technology and innovation are essential </w:t>
      </w:r>
      <w:proofErr w:type="gramStart"/>
      <w:r w:rsidRPr="00A3084A">
        <w:rPr>
          <w:rFonts w:ascii="Arial" w:hAnsi="Arial" w:cs="Arial"/>
          <w:lang w:val="en-GB"/>
        </w:rPr>
        <w:t>for profit</w:t>
      </w:r>
      <w:proofErr w:type="gramEnd"/>
      <w:r w:rsidRPr="00A3084A">
        <w:rPr>
          <w:rFonts w:ascii="Arial" w:hAnsi="Arial" w:cs="Arial"/>
          <w:lang w:val="en-GB"/>
        </w:rPr>
        <w:t xml:space="preserve"> maximization in the UK road haulage and courier sectors. Adopting advanced fleet management systems, route optimization software, and telematics solutions can improve operational efficiency, reduce fuel consumption, and enhance customer service levels (Kara et al., 2019). By leveraging technology, companies can streamline processes, minimize operational inefficiencies, and ultimately boost profitability.</w:t>
      </w:r>
    </w:p>
    <w:p w14:paraId="7CE8F931"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However, it's crucial to recognize that profit maximization should not come at the expense of ethical considerations or long-term sustainability. Companies must balance their pursuit of profits with social responsibility, environmental stewardship, and regulatory compliance to maintain their license to operate and uphold their reputation (Wood, 2021).</w:t>
      </w:r>
    </w:p>
    <w:p w14:paraId="10ACD3E6"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In conclusion, profit maximization theory provides a framework for understanding how companies in the UK road haulage and courier industries strive to optimize their operations and financial performance. By efficiently managing resources, implementing effective pricing strategies, and embracing technological innovation, haulage and courier firms can pursue profit maximization while navigating the challenges of the competitive marketplace.</w:t>
      </w:r>
    </w:p>
    <w:p w14:paraId="77B0668F" w14:textId="77777777" w:rsidR="0092113D" w:rsidRPr="00A3084A" w:rsidRDefault="0092113D" w:rsidP="00A3084A">
      <w:pPr>
        <w:spacing w:line="360" w:lineRule="auto"/>
        <w:rPr>
          <w:rFonts w:ascii="Arial" w:hAnsi="Arial" w:cs="Arial"/>
          <w:lang w:val="en-GB"/>
        </w:rPr>
      </w:pPr>
    </w:p>
    <w:p w14:paraId="1F99B754"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In addition to profit maximization, operators in the UK road haulage and courier industries must consider several other critical factors to thrive and foster sustainable growth.</w:t>
      </w:r>
    </w:p>
    <w:p w14:paraId="671AD70C" w14:textId="77777777" w:rsidR="0092113D" w:rsidRPr="00A3084A" w:rsidRDefault="0092113D" w:rsidP="00A3084A">
      <w:pPr>
        <w:pStyle w:val="ListParagraph"/>
        <w:numPr>
          <w:ilvl w:val="0"/>
          <w:numId w:val="10"/>
        </w:numPr>
        <w:spacing w:line="360" w:lineRule="auto"/>
        <w:rPr>
          <w:sz w:val="24"/>
          <w:szCs w:val="24"/>
          <w:lang w:val="en-GB"/>
        </w:rPr>
      </w:pPr>
      <w:r w:rsidRPr="00A3084A">
        <w:rPr>
          <w:sz w:val="24"/>
          <w:szCs w:val="24"/>
          <w:lang w:val="en-GB"/>
        </w:rPr>
        <w:t>Regulatory Compliance: Compliance with industry regulations and standards is essential for maintaining operational legality and reputation. Operators must stay abreast of changes in regulations related to driver hours, vehicle emissions, safety standards, and employment practices to avoid penalties and maintain customer trust (Department for Transport, 2021).</w:t>
      </w:r>
    </w:p>
    <w:p w14:paraId="0BB8D6C8" w14:textId="6611B5EF" w:rsidR="0092113D" w:rsidRPr="00A3084A" w:rsidRDefault="0092113D" w:rsidP="00A3084A">
      <w:pPr>
        <w:pStyle w:val="ListParagraph"/>
        <w:numPr>
          <w:ilvl w:val="0"/>
          <w:numId w:val="10"/>
        </w:numPr>
        <w:spacing w:line="360" w:lineRule="auto"/>
        <w:rPr>
          <w:sz w:val="24"/>
          <w:szCs w:val="24"/>
          <w:lang w:val="en-GB"/>
        </w:rPr>
      </w:pPr>
      <w:r w:rsidRPr="00A3084A">
        <w:rPr>
          <w:sz w:val="24"/>
          <w:szCs w:val="24"/>
          <w:lang w:val="en-GB"/>
        </w:rPr>
        <w:t xml:space="preserve">Driver Recruitment and Retention: Addressing the ongoing shortage of skilled drivers is crucial for ensuring operational continuity and service quality. Companies need to invest in driver training programs, competitive wages, and employee benefits to attract and retain talent in a competitive </w:t>
      </w:r>
      <w:r w:rsidR="00A3084A" w:rsidRPr="00A3084A">
        <w:rPr>
          <w:sz w:val="24"/>
          <w:szCs w:val="24"/>
          <w:lang w:val="en-GB"/>
        </w:rPr>
        <w:t>labour</w:t>
      </w:r>
      <w:r w:rsidRPr="00A3084A">
        <w:rPr>
          <w:sz w:val="24"/>
          <w:szCs w:val="24"/>
          <w:lang w:val="en-GB"/>
        </w:rPr>
        <w:t xml:space="preserve"> market (Haque et al., 2020).</w:t>
      </w:r>
    </w:p>
    <w:p w14:paraId="4D146DF4" w14:textId="77777777" w:rsidR="0092113D" w:rsidRPr="00A3084A" w:rsidRDefault="0092113D" w:rsidP="00A3084A">
      <w:pPr>
        <w:pStyle w:val="ListParagraph"/>
        <w:numPr>
          <w:ilvl w:val="0"/>
          <w:numId w:val="10"/>
        </w:numPr>
        <w:spacing w:line="360" w:lineRule="auto"/>
        <w:rPr>
          <w:sz w:val="24"/>
          <w:szCs w:val="24"/>
          <w:lang w:val="en-GB"/>
        </w:rPr>
      </w:pPr>
      <w:r w:rsidRPr="00A3084A">
        <w:rPr>
          <w:sz w:val="24"/>
          <w:szCs w:val="24"/>
          <w:lang w:val="en-GB"/>
        </w:rPr>
        <w:lastRenderedPageBreak/>
        <w:t>Technology Adoption: Embracing digital technologies and automation can enhance operational efficiency, customer service, and competitiveness. Operators should invest in telematics systems, fleet management software, and tracking solutions to optimize route planning, monitor vehicle performance, and provide real-time updates to customers (European Transport Safety Council, 2021).</w:t>
      </w:r>
    </w:p>
    <w:p w14:paraId="23CB056E" w14:textId="77777777" w:rsidR="0092113D" w:rsidRPr="00A3084A" w:rsidRDefault="0092113D" w:rsidP="00A3084A">
      <w:pPr>
        <w:pStyle w:val="ListParagraph"/>
        <w:numPr>
          <w:ilvl w:val="0"/>
          <w:numId w:val="10"/>
        </w:numPr>
        <w:spacing w:line="360" w:lineRule="auto"/>
        <w:rPr>
          <w:sz w:val="24"/>
          <w:szCs w:val="24"/>
          <w:lang w:val="en-GB"/>
        </w:rPr>
      </w:pPr>
      <w:r w:rsidRPr="00A3084A">
        <w:rPr>
          <w:sz w:val="24"/>
          <w:szCs w:val="24"/>
          <w:lang w:val="en-GB"/>
        </w:rPr>
        <w:t>Environmental Sustainability: As awareness of environmental issues grows, operators must prioritize sustainability initiatives to reduce their carbon footprint and comply with regulatory requirements. Adopting fuel-efficient vehicles, investing in alternative fuels, and implementing eco-friendly practices can lower emissions and contribute to a greener supply chain (Woodward et al., 2020).</w:t>
      </w:r>
    </w:p>
    <w:p w14:paraId="3E9C13FE" w14:textId="77777777" w:rsidR="0092113D" w:rsidRPr="00A3084A" w:rsidRDefault="0092113D" w:rsidP="00A3084A">
      <w:pPr>
        <w:pStyle w:val="ListParagraph"/>
        <w:numPr>
          <w:ilvl w:val="0"/>
          <w:numId w:val="10"/>
        </w:numPr>
        <w:spacing w:line="360" w:lineRule="auto"/>
        <w:rPr>
          <w:sz w:val="24"/>
          <w:szCs w:val="24"/>
          <w:lang w:val="en-GB"/>
        </w:rPr>
      </w:pPr>
      <w:r w:rsidRPr="00A3084A">
        <w:rPr>
          <w:sz w:val="24"/>
          <w:szCs w:val="24"/>
          <w:lang w:val="en-GB"/>
        </w:rPr>
        <w:t>Customer Service Excellence: Providing exceptional customer service is critical for building loyalty and attracting repeat business. Operators should focus on timely deliveries, communication transparency, and responsiveness to customer inquiries and feedback to enhance the overall customer experience (Lai et al., 2019).</w:t>
      </w:r>
    </w:p>
    <w:p w14:paraId="04B7D89C" w14:textId="77777777" w:rsidR="0092113D" w:rsidRPr="00A3084A" w:rsidRDefault="0092113D" w:rsidP="00A3084A">
      <w:pPr>
        <w:spacing w:line="360" w:lineRule="auto"/>
        <w:ind w:firstLine="360"/>
        <w:rPr>
          <w:rFonts w:ascii="Arial" w:hAnsi="Arial" w:cs="Arial"/>
          <w:lang w:val="en-GB"/>
        </w:rPr>
      </w:pPr>
      <w:r w:rsidRPr="00A3084A">
        <w:rPr>
          <w:rFonts w:ascii="Arial" w:hAnsi="Arial" w:cs="Arial"/>
          <w:lang w:val="en-GB"/>
        </w:rPr>
        <w:t>By addressing these issues in conjunction with profit maximization strategies, operators in the UK road haulage and courier industries can position themselves for sustainable growth and long-term success in a dynamic and competitive marketplace.</w:t>
      </w:r>
    </w:p>
    <w:p w14:paraId="60FEBE31" w14:textId="77777777" w:rsidR="0092113D" w:rsidRPr="00A3084A" w:rsidRDefault="0092113D" w:rsidP="00A3084A">
      <w:pPr>
        <w:spacing w:line="360" w:lineRule="auto"/>
        <w:rPr>
          <w:rFonts w:ascii="Arial" w:hAnsi="Arial" w:cs="Arial"/>
          <w:lang w:val="en-GB"/>
        </w:rPr>
      </w:pPr>
    </w:p>
    <w:p w14:paraId="78B8CE2C" w14:textId="5720060E" w:rsidR="0092113D" w:rsidRPr="00A3084A" w:rsidRDefault="0092113D" w:rsidP="00A3084A">
      <w:pPr>
        <w:pStyle w:val="Heading1"/>
        <w:rPr>
          <w:lang w:val="en-GB"/>
        </w:rPr>
      </w:pPr>
      <w:bookmarkStart w:id="3" w:name="_Toc159188818"/>
      <w:r w:rsidRPr="00A3084A">
        <w:rPr>
          <w:lang w:val="en-GB"/>
        </w:rPr>
        <w:t xml:space="preserve">Economic theories, business environment, </w:t>
      </w:r>
      <w:r w:rsidRPr="00A3084A">
        <w:t>business</w:t>
      </w:r>
      <w:r w:rsidRPr="00A3084A">
        <w:rPr>
          <w:lang w:val="en-GB"/>
        </w:rPr>
        <w:t xml:space="preserve"> objectives, market structure and stakeholder issues</w:t>
      </w:r>
      <w:bookmarkEnd w:id="3"/>
    </w:p>
    <w:p w14:paraId="7F3AFE69" w14:textId="77777777" w:rsidR="0092113D" w:rsidRPr="00A3084A" w:rsidRDefault="0092113D" w:rsidP="00A3084A">
      <w:pPr>
        <w:spacing w:line="360" w:lineRule="auto"/>
        <w:rPr>
          <w:rFonts w:ascii="Arial" w:hAnsi="Arial" w:cs="Arial"/>
          <w:lang w:val="en-GB"/>
        </w:rPr>
      </w:pPr>
    </w:p>
    <w:p w14:paraId="5AFB248E" w14:textId="46B08592"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 xml:space="preserve">Applying economic theories, understanding the business environment, setting appropriate business objectives, </w:t>
      </w:r>
      <w:r w:rsidR="00A3084A" w:rsidRPr="00A3084A">
        <w:rPr>
          <w:rFonts w:ascii="Arial" w:hAnsi="Arial" w:cs="Arial"/>
          <w:lang w:val="en-GB"/>
        </w:rPr>
        <w:t>analysing</w:t>
      </w:r>
      <w:r w:rsidRPr="00A3084A">
        <w:rPr>
          <w:rFonts w:ascii="Arial" w:hAnsi="Arial" w:cs="Arial"/>
          <w:lang w:val="en-GB"/>
        </w:rPr>
        <w:t xml:space="preserve"> market structure, and addressing stakeholder issues are crucial aspects for operators in the UK road haulage and courier industries to thrive and ensure sustainable growth.</w:t>
      </w:r>
    </w:p>
    <w:p w14:paraId="6FB635F2" w14:textId="7A00187F" w:rsidR="0092113D" w:rsidRPr="00A3084A" w:rsidRDefault="0092113D" w:rsidP="00A3084A">
      <w:pPr>
        <w:pStyle w:val="ListParagraph"/>
        <w:numPr>
          <w:ilvl w:val="0"/>
          <w:numId w:val="11"/>
        </w:numPr>
        <w:spacing w:line="360" w:lineRule="auto"/>
        <w:rPr>
          <w:sz w:val="24"/>
          <w:szCs w:val="24"/>
          <w:lang w:val="en-GB"/>
        </w:rPr>
      </w:pPr>
      <w:r w:rsidRPr="00A3084A">
        <w:rPr>
          <w:sz w:val="24"/>
          <w:szCs w:val="24"/>
          <w:lang w:val="en-GB"/>
        </w:rPr>
        <w:t xml:space="preserve">Demand and Supply Analysis: Economic theories of demand and supply are fundamental in understanding market dynamics within the road haulage and courier industries. Demand for transportation services is influenced by factors such as economic growth, consumer spending, and trade activity (Brooks et </w:t>
      </w:r>
      <w:r w:rsidRPr="00A3084A">
        <w:rPr>
          <w:sz w:val="24"/>
          <w:szCs w:val="24"/>
          <w:lang w:val="en-GB"/>
        </w:rPr>
        <w:lastRenderedPageBreak/>
        <w:t xml:space="preserve">al., 2017). Operators must </w:t>
      </w:r>
      <w:r w:rsidR="00A3084A" w:rsidRPr="00A3084A">
        <w:rPr>
          <w:sz w:val="24"/>
          <w:szCs w:val="24"/>
          <w:lang w:val="en-GB"/>
        </w:rPr>
        <w:t>analyse</w:t>
      </w:r>
      <w:r w:rsidRPr="00A3084A">
        <w:rPr>
          <w:sz w:val="24"/>
          <w:szCs w:val="24"/>
          <w:lang w:val="en-GB"/>
        </w:rPr>
        <w:t xml:space="preserve"> demand patterns to anticipate fluctuations and adjust capacity accordingly. Similarly, supply factors such as fuel prices, </w:t>
      </w:r>
      <w:r w:rsidR="00A3084A" w:rsidRPr="00A3084A">
        <w:rPr>
          <w:sz w:val="24"/>
          <w:szCs w:val="24"/>
          <w:lang w:val="en-GB"/>
        </w:rPr>
        <w:t>labour</w:t>
      </w:r>
      <w:r w:rsidRPr="00A3084A">
        <w:rPr>
          <w:sz w:val="24"/>
          <w:szCs w:val="24"/>
          <w:lang w:val="en-GB"/>
        </w:rPr>
        <w:t xml:space="preserve"> availability, and regulatory constraints impact operational costs and service availability. By balancing supply and demand dynamics, operators can optimize resource allocation and pricing strategies to maximize profitability (Wang et al., 2020).</w:t>
      </w:r>
    </w:p>
    <w:p w14:paraId="3C40875D" w14:textId="77777777" w:rsidR="0092113D" w:rsidRPr="00A3084A" w:rsidRDefault="0092113D" w:rsidP="00A3084A">
      <w:pPr>
        <w:pStyle w:val="ListParagraph"/>
        <w:numPr>
          <w:ilvl w:val="0"/>
          <w:numId w:val="11"/>
        </w:numPr>
        <w:spacing w:line="360" w:lineRule="auto"/>
        <w:rPr>
          <w:sz w:val="24"/>
          <w:szCs w:val="24"/>
          <w:lang w:val="en-GB"/>
        </w:rPr>
      </w:pPr>
      <w:r w:rsidRPr="00A3084A">
        <w:rPr>
          <w:sz w:val="24"/>
          <w:szCs w:val="24"/>
          <w:lang w:val="en-GB"/>
        </w:rPr>
        <w:t>Business Environment: The business environment encompasses various external factors, including economic conditions, technological advancements, regulatory frameworks, and competitive forces. Operators must monitor and adapt to changes in the business environment to remain competitive and resilient. For example, advancements in digital technology have transformed logistics operations, enabling real-time tracking, route optimization, and customer engagement (Kara et al., 2019). By embracing innovation and staying abreast of industry trends, operators can enhance operational efficiency and customer satisfaction.</w:t>
      </w:r>
    </w:p>
    <w:p w14:paraId="1295DDC5" w14:textId="77777777" w:rsidR="0092113D" w:rsidRPr="00A3084A" w:rsidRDefault="0092113D" w:rsidP="00A3084A">
      <w:pPr>
        <w:pStyle w:val="ListParagraph"/>
        <w:numPr>
          <w:ilvl w:val="0"/>
          <w:numId w:val="11"/>
        </w:numPr>
        <w:spacing w:line="360" w:lineRule="auto"/>
        <w:rPr>
          <w:sz w:val="24"/>
          <w:szCs w:val="24"/>
          <w:lang w:val="en-GB"/>
        </w:rPr>
      </w:pPr>
      <w:r w:rsidRPr="00A3084A">
        <w:rPr>
          <w:sz w:val="24"/>
          <w:szCs w:val="24"/>
          <w:lang w:val="en-GB"/>
        </w:rPr>
        <w:t>Business Objectives: Clear and achievable business objectives are essential for guiding decision-making and performance evaluation. Operators may set objectives such as revenue growth, cost reduction, market expansion, or environmental sustainability. These objectives should align with the company's mission, values, and stakeholder expectations. For instance, a company committed to sustainability may prioritize investments in fuel-efficient vehicles and carbon reduction initiatives to minimize environmental impact (Woodward et al., 2020). By defining and pursuing strategic objectives, operators can focus resources and efforts towards sustainable growth and value creation.</w:t>
      </w:r>
    </w:p>
    <w:p w14:paraId="1A698006" w14:textId="0B1763F3" w:rsidR="0092113D" w:rsidRPr="00A3084A" w:rsidRDefault="0092113D" w:rsidP="00A3084A">
      <w:pPr>
        <w:pStyle w:val="ListParagraph"/>
        <w:numPr>
          <w:ilvl w:val="0"/>
          <w:numId w:val="11"/>
        </w:numPr>
        <w:spacing w:line="360" w:lineRule="auto"/>
        <w:rPr>
          <w:sz w:val="24"/>
          <w:szCs w:val="24"/>
          <w:lang w:val="en-GB"/>
        </w:rPr>
      </w:pPr>
      <w:r w:rsidRPr="00A3084A">
        <w:rPr>
          <w:sz w:val="24"/>
          <w:szCs w:val="24"/>
          <w:lang w:val="en-GB"/>
        </w:rPr>
        <w:t xml:space="preserve">Market Structure: Understanding the market structure is crucial for assessing competitive dynamics and positioning within the industry. The road haulage and courier sectors exhibit characteristics of an oligopolistic market, with a few large firms dominating the market share alongside numerous smaller players (Yuan et al., 2018). This market structure influences pricing </w:t>
      </w:r>
      <w:r w:rsidR="00A3084A" w:rsidRPr="00A3084A">
        <w:rPr>
          <w:sz w:val="24"/>
          <w:szCs w:val="24"/>
          <w:lang w:val="en-GB"/>
        </w:rPr>
        <w:t>behaviour</w:t>
      </w:r>
      <w:r w:rsidRPr="00A3084A">
        <w:rPr>
          <w:sz w:val="24"/>
          <w:szCs w:val="24"/>
          <w:lang w:val="en-GB"/>
        </w:rPr>
        <w:t xml:space="preserve">, barriers to entry, and competitive strategies. Operators must </w:t>
      </w:r>
      <w:r w:rsidR="00A3084A" w:rsidRPr="00A3084A">
        <w:rPr>
          <w:sz w:val="24"/>
          <w:szCs w:val="24"/>
          <w:lang w:val="en-GB"/>
        </w:rPr>
        <w:t>analyse</w:t>
      </w:r>
      <w:r w:rsidRPr="00A3084A">
        <w:rPr>
          <w:sz w:val="24"/>
          <w:szCs w:val="24"/>
          <w:lang w:val="en-GB"/>
        </w:rPr>
        <w:t xml:space="preserve"> market concentration, customer preferences, and competitor actions to formulate effective market entry and differentiation strategies.</w:t>
      </w:r>
    </w:p>
    <w:p w14:paraId="5C611529" w14:textId="77777777" w:rsidR="0092113D" w:rsidRPr="00A3084A" w:rsidRDefault="0092113D" w:rsidP="00A3084A">
      <w:pPr>
        <w:pStyle w:val="ListParagraph"/>
        <w:numPr>
          <w:ilvl w:val="0"/>
          <w:numId w:val="11"/>
        </w:numPr>
        <w:spacing w:line="360" w:lineRule="auto"/>
        <w:rPr>
          <w:sz w:val="24"/>
          <w:szCs w:val="24"/>
          <w:lang w:val="en-GB"/>
        </w:rPr>
      </w:pPr>
      <w:r w:rsidRPr="00A3084A">
        <w:rPr>
          <w:sz w:val="24"/>
          <w:szCs w:val="24"/>
          <w:lang w:val="en-GB"/>
        </w:rPr>
        <w:t xml:space="preserve">Stakeholder Issues: Stakeholder management is vital for building trust, </w:t>
      </w:r>
      <w:r w:rsidRPr="00A3084A">
        <w:rPr>
          <w:sz w:val="24"/>
          <w:szCs w:val="24"/>
          <w:lang w:val="en-GB"/>
        </w:rPr>
        <w:lastRenderedPageBreak/>
        <w:t>fostering collaboration, and addressing social and environmental concerns. Stakeholders in the road haulage and courier industries include customers, employees, regulators, communities, and environmental advocacy groups. Operators must engage with stakeholders proactively, listen to their feedback, and address their needs and expectations (European Commission, 2020). By demonstrating corporate social responsibility and ethical business practices, operators can enhance their reputation and mitigate risks associated with stakeholder dissatisfaction.</w:t>
      </w:r>
    </w:p>
    <w:p w14:paraId="13759B77" w14:textId="55C968D2" w:rsidR="0092113D" w:rsidRPr="00A3084A" w:rsidRDefault="0092113D" w:rsidP="00A3084A">
      <w:pPr>
        <w:spacing w:line="360" w:lineRule="auto"/>
        <w:ind w:firstLine="360"/>
        <w:rPr>
          <w:rFonts w:ascii="Arial" w:hAnsi="Arial" w:cs="Arial"/>
          <w:lang w:val="en-GB"/>
        </w:rPr>
      </w:pPr>
      <w:r w:rsidRPr="00A3084A">
        <w:rPr>
          <w:rFonts w:ascii="Arial" w:hAnsi="Arial" w:cs="Arial"/>
          <w:lang w:val="en-GB"/>
        </w:rPr>
        <w:t xml:space="preserve">In conclusion, applying appropriate economic theories, understanding the business environment, setting clear objectives, </w:t>
      </w:r>
      <w:r w:rsidR="00A3084A" w:rsidRPr="00A3084A">
        <w:rPr>
          <w:rFonts w:ascii="Arial" w:hAnsi="Arial" w:cs="Arial"/>
          <w:lang w:val="en-GB"/>
        </w:rPr>
        <w:t>analysing</w:t>
      </w:r>
      <w:r w:rsidRPr="00A3084A">
        <w:rPr>
          <w:rFonts w:ascii="Arial" w:hAnsi="Arial" w:cs="Arial"/>
          <w:lang w:val="en-GB"/>
        </w:rPr>
        <w:t xml:space="preserve"> market structure, and addressing stakeholder issues are essential for operators in the UK road haulage and courier industries to thrive and achieve sustainable growth.</w:t>
      </w:r>
    </w:p>
    <w:p w14:paraId="2EC4E5AC" w14:textId="77777777" w:rsidR="0092113D" w:rsidRPr="00A3084A" w:rsidRDefault="0092113D" w:rsidP="00A3084A">
      <w:pPr>
        <w:spacing w:line="360" w:lineRule="auto"/>
        <w:rPr>
          <w:rFonts w:ascii="Arial" w:hAnsi="Arial" w:cs="Arial"/>
          <w:lang w:val="en-GB"/>
        </w:rPr>
      </w:pPr>
    </w:p>
    <w:p w14:paraId="64CA5635" w14:textId="526CFCAE" w:rsidR="0092113D" w:rsidRPr="00A3084A" w:rsidRDefault="0092113D" w:rsidP="00A3084A">
      <w:pPr>
        <w:pStyle w:val="Heading1"/>
        <w:rPr>
          <w:lang w:val="en-GB"/>
        </w:rPr>
      </w:pPr>
      <w:bookmarkStart w:id="4" w:name="_Toc159188819"/>
      <w:r w:rsidRPr="00A3084A">
        <w:rPr>
          <w:lang w:val="en-GB"/>
        </w:rPr>
        <w:t xml:space="preserve">Recommendations for sustainable </w:t>
      </w:r>
      <w:r w:rsidRPr="00A3084A">
        <w:t>growth</w:t>
      </w:r>
      <w:bookmarkEnd w:id="4"/>
    </w:p>
    <w:p w14:paraId="7182F371" w14:textId="77777777" w:rsidR="0092113D" w:rsidRPr="00A3084A" w:rsidRDefault="0092113D" w:rsidP="00A3084A">
      <w:pPr>
        <w:spacing w:line="360" w:lineRule="auto"/>
        <w:rPr>
          <w:rFonts w:ascii="Arial" w:hAnsi="Arial" w:cs="Arial"/>
          <w:lang w:val="en-GB"/>
        </w:rPr>
      </w:pPr>
    </w:p>
    <w:p w14:paraId="2BC5D0DC" w14:textId="77777777" w:rsidR="0092113D" w:rsidRPr="00A3084A" w:rsidRDefault="0092113D" w:rsidP="00A3084A">
      <w:pPr>
        <w:spacing w:line="360" w:lineRule="auto"/>
        <w:ind w:firstLine="720"/>
        <w:rPr>
          <w:rFonts w:ascii="Arial" w:hAnsi="Arial" w:cs="Arial"/>
          <w:lang w:val="en-GB"/>
        </w:rPr>
      </w:pPr>
      <w:r w:rsidRPr="00A3084A">
        <w:rPr>
          <w:rFonts w:ascii="Arial" w:hAnsi="Arial" w:cs="Arial"/>
          <w:lang w:val="en-GB"/>
        </w:rPr>
        <w:t>In conclusion, achieving sustainable growth in the UK road haulage and courier industries requires a multifaceted approach that considers economic theories, business environment dynamics, strategic objectives, market structure, and stakeholder engagement. Building upon the insights discussed, several recommendations can be formulated to guide operators towards sustainable growth and long-term success.</w:t>
      </w:r>
    </w:p>
    <w:p w14:paraId="5EEA4CEE"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Invest in Innovation and Technology: Operators should prioritize investments in digital technologies and innovation to enhance operational efficiency, customer service, and environmental sustainability. Adopting advanced fleet management systems, telematics solutions, and automation technologies can optimize route planning, reduce fuel consumption, and improve overall productivity (Kara et al., 2019).</w:t>
      </w:r>
    </w:p>
    <w:p w14:paraId="5D962B76"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 xml:space="preserve">Embrace Sustainability Initiatives: Environmental sustainability should be integrated into business strategies and operations. Operators can reduce their carbon footprint by investing in fuel-efficient vehicles, alternative fuels, and eco-friendly practices such as route optimization and load consolidation (Woodward et al., 2020). Collaborating with industry partners and regulators to develop and adhere to sustainability standards can also enhance credibility </w:t>
      </w:r>
      <w:r w:rsidRPr="00A3084A">
        <w:rPr>
          <w:sz w:val="24"/>
          <w:szCs w:val="24"/>
          <w:lang w:val="en-GB"/>
        </w:rPr>
        <w:lastRenderedPageBreak/>
        <w:t>and competitiveness.</w:t>
      </w:r>
    </w:p>
    <w:p w14:paraId="650E485F"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Focus on Talent Development and Retention: Addressing the shortage of skilled drivers and nurturing talent within the organization is critical for ensuring operational continuity and service quality. Companies should invest in driver training programs, competitive wages, and employee benefits to attract and retain skilled personnel (Haque et al., 2020). Moreover, fostering a supportive and inclusive work environment can enhance employee satisfaction and performance.</w:t>
      </w:r>
    </w:p>
    <w:p w14:paraId="6FFB6409"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Diversify Service Offerings and Market Expansion: Operators should explore opportunities to diversify their service offerings and expand into new markets to mitigate risks and capitalize on growth opportunities. This may involve providing value-added services such as warehousing, distribution, or specialized logistics solutions to meet evolving customer needs (Brooks et al., 2017). Strategic partnerships and alliances with complementary businesses can also facilitate market expansion and revenue growth.</w:t>
      </w:r>
    </w:p>
    <w:p w14:paraId="1A39B352"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Enhance Stakeholder Engagement and Corporate Responsibility: Building strong relationships with stakeholders, including customers, employees, regulators, and communities, is essential for fostering trust and goodwill. Operators should engage stakeholders proactively, listen to their feedback, and address their concerns and expectations (European Commission, 2020). Demonstrating corporate responsibility through ethical business practices, environmental stewardship, and community involvement can enhance reputation and brand value.</w:t>
      </w:r>
    </w:p>
    <w:p w14:paraId="32A1029E" w14:textId="77777777" w:rsidR="0092113D" w:rsidRPr="00A3084A" w:rsidRDefault="0092113D" w:rsidP="00A3084A">
      <w:pPr>
        <w:pStyle w:val="ListParagraph"/>
        <w:numPr>
          <w:ilvl w:val="0"/>
          <w:numId w:val="12"/>
        </w:numPr>
        <w:spacing w:line="360" w:lineRule="auto"/>
        <w:rPr>
          <w:sz w:val="24"/>
          <w:szCs w:val="24"/>
          <w:lang w:val="en-GB"/>
        </w:rPr>
      </w:pPr>
      <w:r w:rsidRPr="00A3084A">
        <w:rPr>
          <w:sz w:val="24"/>
          <w:szCs w:val="24"/>
          <w:lang w:val="en-GB"/>
        </w:rPr>
        <w:t>Monitor and Adapt to Market Dynamics: The road haulage and courier industries are subject to constant change due to economic, technological, and regulatory factors. Operators must stay vigilant and adapt to evolving market dynamics to remain competitive and resilient. Continuous monitoring of industry trends, competitor actions, and regulatory developments can inform strategic decision-making and risk management (Wang et al., 2020).</w:t>
      </w:r>
    </w:p>
    <w:p w14:paraId="65EE3938" w14:textId="2627BB40" w:rsidR="0092113D" w:rsidRPr="00A3084A" w:rsidRDefault="00A3084A" w:rsidP="00A3084A">
      <w:pPr>
        <w:spacing w:line="360" w:lineRule="auto"/>
        <w:ind w:firstLine="360"/>
        <w:rPr>
          <w:rFonts w:ascii="Arial" w:hAnsi="Arial" w:cs="Arial"/>
          <w:lang w:val="en-GB"/>
        </w:rPr>
      </w:pPr>
      <w:r w:rsidRPr="00A3084A">
        <w:rPr>
          <w:rFonts w:ascii="Arial" w:hAnsi="Arial" w:cs="Arial"/>
          <w:lang w:val="en-GB"/>
        </w:rPr>
        <w:t>S</w:t>
      </w:r>
      <w:r w:rsidR="0092113D" w:rsidRPr="00A3084A">
        <w:rPr>
          <w:rFonts w:ascii="Arial" w:hAnsi="Arial" w:cs="Arial"/>
          <w:lang w:val="en-GB"/>
        </w:rPr>
        <w:t>ustainable growth in the UK road haulage and courier industries requires a holistic approach that integrates economic principles, strategic planning, innovation, and stakeholder engagement. By embracing sustainability, investing in talent development, diversifying services, and adapting to market changes, operators can navigate challenges and capitalize on opportunities for long-term success.</w:t>
      </w:r>
    </w:p>
    <w:p w14:paraId="63EE96A2" w14:textId="30FF9474" w:rsidR="0092113D" w:rsidRDefault="00A3084A" w:rsidP="00A3084A">
      <w:pPr>
        <w:pStyle w:val="Heading1"/>
        <w:rPr>
          <w:lang w:val="en-GB"/>
        </w:rPr>
      </w:pPr>
      <w:bookmarkStart w:id="5" w:name="_Toc159188820"/>
      <w:r>
        <w:rPr>
          <w:lang w:val="en-GB"/>
        </w:rPr>
        <w:lastRenderedPageBreak/>
        <w:t>Conclusion</w:t>
      </w:r>
      <w:bookmarkEnd w:id="5"/>
    </w:p>
    <w:p w14:paraId="04CE29A8" w14:textId="77777777" w:rsidR="00A3084A" w:rsidRPr="00A3084A" w:rsidRDefault="00A3084A" w:rsidP="00A3084A">
      <w:pPr>
        <w:spacing w:line="360" w:lineRule="auto"/>
        <w:rPr>
          <w:rFonts w:ascii="Arial" w:hAnsi="Arial" w:cs="Arial"/>
          <w:lang w:val="en-GB"/>
        </w:rPr>
      </w:pPr>
    </w:p>
    <w:p w14:paraId="01EE2186" w14:textId="10B7E3A9" w:rsidR="0092113D" w:rsidRPr="00A3084A" w:rsidRDefault="0092113D" w:rsidP="00A3084A">
      <w:pPr>
        <w:spacing w:line="360" w:lineRule="auto"/>
        <w:ind w:firstLine="360"/>
        <w:rPr>
          <w:rFonts w:ascii="Arial" w:hAnsi="Arial" w:cs="Arial"/>
          <w:lang w:val="en-GB"/>
        </w:rPr>
      </w:pPr>
      <w:r w:rsidRPr="00A3084A">
        <w:rPr>
          <w:rFonts w:ascii="Arial" w:hAnsi="Arial" w:cs="Arial"/>
          <w:lang w:val="en-GB"/>
        </w:rPr>
        <w:t>In conclusion, sustainable growth in the UK road haulage and courier industries hinges on a comprehensive strategy that incorporates innovation, environmental sustainability, talent development, market adaptation, and stakeholder engagement. By embracing these principles and implementing recommended actions, operators can navigate challenges, capitalize on opportunities, and position themselves for long-term success in a competitive and evolving marketplace. Through a commitment to responsible business practices and strategic planning, the industry can thrive while contributing to economic development, environmental stewardship, and societal well-being.</w:t>
      </w:r>
    </w:p>
    <w:p w14:paraId="470B89AB" w14:textId="77777777" w:rsidR="0092113D" w:rsidRPr="00A3084A" w:rsidRDefault="0092113D" w:rsidP="00A3084A">
      <w:pPr>
        <w:spacing w:line="360" w:lineRule="auto"/>
        <w:rPr>
          <w:rFonts w:ascii="Arial" w:hAnsi="Arial" w:cs="Arial"/>
          <w:lang w:val="en-GB"/>
        </w:rPr>
      </w:pPr>
    </w:p>
    <w:p w14:paraId="318BD295" w14:textId="77777777" w:rsidR="0092113D" w:rsidRDefault="0092113D" w:rsidP="00A3084A">
      <w:pPr>
        <w:spacing w:line="360" w:lineRule="auto"/>
        <w:rPr>
          <w:rFonts w:ascii="Arial" w:hAnsi="Arial" w:cs="Arial"/>
          <w:lang w:val="en-GB"/>
        </w:rPr>
      </w:pPr>
    </w:p>
    <w:p w14:paraId="63EF5FC8" w14:textId="77777777" w:rsidR="00A3084A" w:rsidRDefault="00A3084A" w:rsidP="00A3084A">
      <w:pPr>
        <w:spacing w:line="360" w:lineRule="auto"/>
        <w:rPr>
          <w:rFonts w:ascii="Arial" w:hAnsi="Arial" w:cs="Arial"/>
          <w:lang w:val="en-GB"/>
        </w:rPr>
      </w:pPr>
    </w:p>
    <w:p w14:paraId="07486D8D" w14:textId="77777777" w:rsidR="00A3084A" w:rsidRDefault="00A3084A" w:rsidP="00A3084A">
      <w:pPr>
        <w:spacing w:line="360" w:lineRule="auto"/>
        <w:rPr>
          <w:rFonts w:ascii="Arial" w:hAnsi="Arial" w:cs="Arial"/>
          <w:lang w:val="en-GB"/>
        </w:rPr>
      </w:pPr>
    </w:p>
    <w:p w14:paraId="022E7BF3" w14:textId="77777777" w:rsidR="00A3084A" w:rsidRDefault="00A3084A" w:rsidP="00A3084A">
      <w:pPr>
        <w:spacing w:line="360" w:lineRule="auto"/>
        <w:rPr>
          <w:rFonts w:ascii="Arial" w:hAnsi="Arial" w:cs="Arial"/>
          <w:lang w:val="en-GB"/>
        </w:rPr>
      </w:pPr>
    </w:p>
    <w:p w14:paraId="12550885" w14:textId="77777777" w:rsidR="00A3084A" w:rsidRDefault="00A3084A" w:rsidP="00A3084A">
      <w:pPr>
        <w:spacing w:line="360" w:lineRule="auto"/>
        <w:rPr>
          <w:rFonts w:ascii="Arial" w:hAnsi="Arial" w:cs="Arial"/>
          <w:lang w:val="en-GB"/>
        </w:rPr>
      </w:pPr>
    </w:p>
    <w:p w14:paraId="7437A427" w14:textId="77777777" w:rsidR="00A3084A" w:rsidRDefault="00A3084A" w:rsidP="00A3084A">
      <w:pPr>
        <w:spacing w:line="360" w:lineRule="auto"/>
        <w:rPr>
          <w:rFonts w:ascii="Arial" w:hAnsi="Arial" w:cs="Arial"/>
          <w:lang w:val="en-GB"/>
        </w:rPr>
      </w:pPr>
    </w:p>
    <w:p w14:paraId="6BECD416" w14:textId="77777777" w:rsidR="00A3084A" w:rsidRDefault="00A3084A" w:rsidP="00A3084A">
      <w:pPr>
        <w:spacing w:line="360" w:lineRule="auto"/>
        <w:rPr>
          <w:rFonts w:ascii="Arial" w:hAnsi="Arial" w:cs="Arial"/>
          <w:lang w:val="en-GB"/>
        </w:rPr>
      </w:pPr>
    </w:p>
    <w:p w14:paraId="18EA2C17" w14:textId="77777777" w:rsidR="00A3084A" w:rsidRDefault="00A3084A" w:rsidP="00A3084A">
      <w:pPr>
        <w:spacing w:line="360" w:lineRule="auto"/>
        <w:rPr>
          <w:rFonts w:ascii="Arial" w:hAnsi="Arial" w:cs="Arial"/>
          <w:lang w:val="en-GB"/>
        </w:rPr>
      </w:pPr>
    </w:p>
    <w:p w14:paraId="1BC9BB16" w14:textId="77777777" w:rsidR="00A3084A" w:rsidRDefault="00A3084A" w:rsidP="00A3084A">
      <w:pPr>
        <w:spacing w:line="360" w:lineRule="auto"/>
        <w:rPr>
          <w:rFonts w:ascii="Arial" w:hAnsi="Arial" w:cs="Arial"/>
          <w:lang w:val="en-GB"/>
        </w:rPr>
      </w:pPr>
    </w:p>
    <w:p w14:paraId="1A1ACB24" w14:textId="77777777" w:rsidR="00A3084A" w:rsidRDefault="00A3084A" w:rsidP="00A3084A">
      <w:pPr>
        <w:spacing w:line="360" w:lineRule="auto"/>
        <w:rPr>
          <w:rFonts w:ascii="Arial" w:hAnsi="Arial" w:cs="Arial"/>
          <w:lang w:val="en-GB"/>
        </w:rPr>
      </w:pPr>
    </w:p>
    <w:p w14:paraId="5E499BF1" w14:textId="77777777" w:rsidR="00A3084A" w:rsidRDefault="00A3084A" w:rsidP="00A3084A">
      <w:pPr>
        <w:spacing w:line="360" w:lineRule="auto"/>
        <w:rPr>
          <w:rFonts w:ascii="Arial" w:hAnsi="Arial" w:cs="Arial"/>
          <w:lang w:val="en-GB"/>
        </w:rPr>
      </w:pPr>
    </w:p>
    <w:p w14:paraId="4958477E" w14:textId="77777777" w:rsidR="00A3084A" w:rsidRDefault="00A3084A" w:rsidP="00A3084A">
      <w:pPr>
        <w:spacing w:line="360" w:lineRule="auto"/>
        <w:rPr>
          <w:rFonts w:ascii="Arial" w:hAnsi="Arial" w:cs="Arial"/>
          <w:lang w:val="en-GB"/>
        </w:rPr>
      </w:pPr>
    </w:p>
    <w:p w14:paraId="694FEDE0" w14:textId="77777777" w:rsidR="00A3084A" w:rsidRDefault="00A3084A" w:rsidP="00A3084A">
      <w:pPr>
        <w:spacing w:line="360" w:lineRule="auto"/>
        <w:rPr>
          <w:rFonts w:ascii="Arial" w:hAnsi="Arial" w:cs="Arial"/>
          <w:lang w:val="en-GB"/>
        </w:rPr>
      </w:pPr>
    </w:p>
    <w:p w14:paraId="65A4AB99" w14:textId="77777777" w:rsidR="00A3084A" w:rsidRDefault="00A3084A" w:rsidP="00A3084A">
      <w:pPr>
        <w:spacing w:line="360" w:lineRule="auto"/>
        <w:rPr>
          <w:rFonts w:ascii="Arial" w:hAnsi="Arial" w:cs="Arial"/>
          <w:lang w:val="en-GB"/>
        </w:rPr>
      </w:pPr>
    </w:p>
    <w:p w14:paraId="3C3B0E64" w14:textId="77777777" w:rsidR="00A3084A" w:rsidRDefault="00A3084A" w:rsidP="00A3084A">
      <w:pPr>
        <w:spacing w:line="360" w:lineRule="auto"/>
        <w:rPr>
          <w:rFonts w:ascii="Arial" w:hAnsi="Arial" w:cs="Arial"/>
          <w:lang w:val="en-GB"/>
        </w:rPr>
      </w:pPr>
    </w:p>
    <w:p w14:paraId="69241C42" w14:textId="77777777" w:rsidR="00A3084A" w:rsidRDefault="00A3084A" w:rsidP="00A3084A">
      <w:pPr>
        <w:spacing w:line="360" w:lineRule="auto"/>
        <w:rPr>
          <w:rFonts w:ascii="Arial" w:hAnsi="Arial" w:cs="Arial"/>
          <w:lang w:val="en-GB"/>
        </w:rPr>
      </w:pPr>
    </w:p>
    <w:p w14:paraId="728D4304" w14:textId="77777777" w:rsidR="00A3084A" w:rsidRDefault="00A3084A" w:rsidP="00A3084A">
      <w:pPr>
        <w:spacing w:line="360" w:lineRule="auto"/>
        <w:rPr>
          <w:rFonts w:ascii="Arial" w:hAnsi="Arial" w:cs="Arial"/>
          <w:lang w:val="en-GB"/>
        </w:rPr>
      </w:pPr>
    </w:p>
    <w:p w14:paraId="2D4CA1D9" w14:textId="77777777" w:rsidR="00A3084A" w:rsidRDefault="00A3084A" w:rsidP="00A3084A">
      <w:pPr>
        <w:spacing w:line="360" w:lineRule="auto"/>
        <w:rPr>
          <w:rFonts w:ascii="Arial" w:hAnsi="Arial" w:cs="Arial"/>
          <w:lang w:val="en-GB"/>
        </w:rPr>
      </w:pPr>
    </w:p>
    <w:p w14:paraId="7652ED0C" w14:textId="77777777" w:rsidR="00A3084A" w:rsidRDefault="00A3084A" w:rsidP="00A3084A">
      <w:pPr>
        <w:spacing w:line="360" w:lineRule="auto"/>
        <w:rPr>
          <w:rFonts w:ascii="Arial" w:hAnsi="Arial" w:cs="Arial"/>
          <w:lang w:val="en-GB"/>
        </w:rPr>
      </w:pPr>
    </w:p>
    <w:p w14:paraId="11CBFA7F" w14:textId="77777777" w:rsidR="00A3084A" w:rsidRDefault="00A3084A" w:rsidP="00A3084A">
      <w:pPr>
        <w:spacing w:line="360" w:lineRule="auto"/>
        <w:rPr>
          <w:rFonts w:ascii="Arial" w:hAnsi="Arial" w:cs="Arial"/>
          <w:lang w:val="en-GB"/>
        </w:rPr>
      </w:pPr>
    </w:p>
    <w:p w14:paraId="459EC9BF" w14:textId="77777777" w:rsidR="00A3084A" w:rsidRDefault="00A3084A" w:rsidP="00A3084A">
      <w:pPr>
        <w:spacing w:line="360" w:lineRule="auto"/>
        <w:rPr>
          <w:rFonts w:ascii="Arial" w:hAnsi="Arial" w:cs="Arial"/>
          <w:lang w:val="en-GB"/>
        </w:rPr>
      </w:pPr>
    </w:p>
    <w:p w14:paraId="7AFF7651" w14:textId="77777777" w:rsidR="00A3084A" w:rsidRDefault="00A3084A" w:rsidP="00A3084A">
      <w:pPr>
        <w:spacing w:line="360" w:lineRule="auto"/>
        <w:rPr>
          <w:rFonts w:ascii="Arial" w:hAnsi="Arial" w:cs="Arial"/>
          <w:lang w:val="en-GB"/>
        </w:rPr>
      </w:pPr>
    </w:p>
    <w:p w14:paraId="66B6FD63" w14:textId="77777777" w:rsidR="00A3084A" w:rsidRPr="00A3084A" w:rsidRDefault="00A3084A" w:rsidP="00A3084A">
      <w:pPr>
        <w:spacing w:line="360" w:lineRule="auto"/>
        <w:rPr>
          <w:rFonts w:ascii="Arial" w:hAnsi="Arial" w:cs="Arial"/>
          <w:lang w:val="en-GB"/>
        </w:rPr>
      </w:pPr>
    </w:p>
    <w:p w14:paraId="7F1600AB" w14:textId="20AD4063" w:rsidR="0092113D" w:rsidRPr="00A3084A" w:rsidRDefault="0092113D" w:rsidP="00A3084A">
      <w:pPr>
        <w:pStyle w:val="Heading1"/>
        <w:rPr>
          <w:lang w:val="en-GB"/>
        </w:rPr>
      </w:pPr>
      <w:bookmarkStart w:id="6" w:name="_Toc159188821"/>
      <w:r w:rsidRPr="00A3084A">
        <w:rPr>
          <w:lang w:val="en-GB"/>
        </w:rPr>
        <w:t>References:</w:t>
      </w:r>
      <w:bookmarkEnd w:id="6"/>
    </w:p>
    <w:p w14:paraId="5BEEF049" w14:textId="77777777" w:rsidR="00A3084A" w:rsidRDefault="00A3084A" w:rsidP="00A3084A">
      <w:pPr>
        <w:spacing w:line="360" w:lineRule="auto"/>
        <w:rPr>
          <w:rFonts w:ascii="Arial" w:hAnsi="Arial" w:cs="Arial"/>
          <w:lang w:val="en-GB"/>
        </w:rPr>
      </w:pPr>
    </w:p>
    <w:p w14:paraId="0CE3C047"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Accenture. (2021). Digital Transformation in Transportation and Logistics. Retrieved from </w:t>
      </w:r>
      <w:hyperlink r:id="rId6" w:history="1">
        <w:r w:rsidRPr="00652765">
          <w:rPr>
            <w:rStyle w:val="Hyperlink"/>
            <w:rFonts w:ascii="Arial" w:hAnsi="Arial" w:cs="Arial"/>
            <w:lang w:val="en-GB"/>
          </w:rPr>
          <w:t>https://www.accenture.com/us-en/insights/transportation/digital-transformation-transportation-logistics</w:t>
        </w:r>
      </w:hyperlink>
      <w:r>
        <w:rPr>
          <w:rFonts w:ascii="Arial" w:hAnsi="Arial" w:cs="Arial"/>
          <w:lang w:val="en-GB"/>
        </w:rPr>
        <w:t xml:space="preserve"> </w:t>
      </w:r>
    </w:p>
    <w:p w14:paraId="6686420E" w14:textId="77777777" w:rsidR="00A3084A" w:rsidRPr="00A3084A" w:rsidRDefault="00A3084A" w:rsidP="00A3084A">
      <w:pPr>
        <w:spacing w:line="360" w:lineRule="auto"/>
        <w:rPr>
          <w:rFonts w:ascii="Arial" w:hAnsi="Arial" w:cs="Arial"/>
          <w:lang w:val="en-GB"/>
        </w:rPr>
      </w:pPr>
    </w:p>
    <w:p w14:paraId="33130B4C" w14:textId="77777777" w:rsidR="00A3084A" w:rsidRPr="00A3084A" w:rsidRDefault="00A3084A" w:rsidP="00A3084A">
      <w:pPr>
        <w:spacing w:line="360" w:lineRule="auto"/>
        <w:rPr>
          <w:rFonts w:ascii="Arial" w:hAnsi="Arial" w:cs="Arial"/>
          <w:lang w:val="en-GB"/>
        </w:rPr>
      </w:pPr>
      <w:proofErr w:type="spellStart"/>
      <w:r w:rsidRPr="00A3084A">
        <w:rPr>
          <w:rFonts w:ascii="Arial" w:hAnsi="Arial" w:cs="Arial"/>
          <w:lang w:val="en-GB"/>
        </w:rPr>
        <w:t>Adobor</w:t>
      </w:r>
      <w:proofErr w:type="spellEnd"/>
      <w:r w:rsidRPr="00A3084A">
        <w:rPr>
          <w:rFonts w:ascii="Arial" w:hAnsi="Arial" w:cs="Arial"/>
          <w:lang w:val="en-GB"/>
        </w:rPr>
        <w:t>, H. (2020). Dynamic Pricing Strategy: A Tool for Profit Maximization in Courier and Logistics Companies. International Journal of Scientific &amp; Engineering Research, 11(7), 1369-1377.</w:t>
      </w:r>
    </w:p>
    <w:p w14:paraId="6FB6DC14" w14:textId="77777777" w:rsidR="00A3084A" w:rsidRDefault="00A3084A" w:rsidP="00A3084A">
      <w:pPr>
        <w:spacing w:line="360" w:lineRule="auto"/>
        <w:rPr>
          <w:rFonts w:ascii="Arial" w:hAnsi="Arial" w:cs="Arial"/>
          <w:lang w:val="en-GB"/>
        </w:rPr>
      </w:pPr>
    </w:p>
    <w:p w14:paraId="0A248C79" w14:textId="18542908" w:rsidR="0092113D" w:rsidRPr="00A3084A" w:rsidRDefault="0092113D" w:rsidP="00A3084A">
      <w:pPr>
        <w:spacing w:line="360" w:lineRule="auto"/>
        <w:rPr>
          <w:rFonts w:ascii="Arial" w:hAnsi="Arial" w:cs="Arial"/>
          <w:lang w:val="en-GB"/>
        </w:rPr>
      </w:pPr>
      <w:r w:rsidRPr="00A3084A">
        <w:rPr>
          <w:rFonts w:ascii="Arial" w:hAnsi="Arial" w:cs="Arial"/>
          <w:lang w:val="en-GB"/>
        </w:rPr>
        <w:t xml:space="preserve">Brooks, M. R., Button, K. J., </w:t>
      </w:r>
      <w:proofErr w:type="spellStart"/>
      <w:r w:rsidRPr="00A3084A">
        <w:rPr>
          <w:rFonts w:ascii="Arial" w:hAnsi="Arial" w:cs="Arial"/>
          <w:lang w:val="en-GB"/>
        </w:rPr>
        <w:t>Hensher</w:t>
      </w:r>
      <w:proofErr w:type="spellEnd"/>
      <w:r w:rsidRPr="00A3084A">
        <w:rPr>
          <w:rFonts w:ascii="Arial" w:hAnsi="Arial" w:cs="Arial"/>
          <w:lang w:val="en-GB"/>
        </w:rPr>
        <w:t xml:space="preserve">, D. A., &amp; Li, Z. (2017). Transport economics: Theory, </w:t>
      </w:r>
      <w:proofErr w:type="gramStart"/>
      <w:r w:rsidRPr="00A3084A">
        <w:rPr>
          <w:rFonts w:ascii="Arial" w:hAnsi="Arial" w:cs="Arial"/>
          <w:lang w:val="en-GB"/>
        </w:rPr>
        <w:t>application</w:t>
      </w:r>
      <w:proofErr w:type="gramEnd"/>
      <w:r w:rsidRPr="00A3084A">
        <w:rPr>
          <w:rFonts w:ascii="Arial" w:hAnsi="Arial" w:cs="Arial"/>
          <w:lang w:val="en-GB"/>
        </w:rPr>
        <w:t xml:space="preserve"> and policy. Routledge.</w:t>
      </w:r>
    </w:p>
    <w:p w14:paraId="153B9016" w14:textId="77777777" w:rsidR="00A3084A" w:rsidRDefault="00A3084A" w:rsidP="00A3084A">
      <w:pPr>
        <w:spacing w:line="360" w:lineRule="auto"/>
        <w:rPr>
          <w:rFonts w:ascii="Arial" w:hAnsi="Arial" w:cs="Arial"/>
          <w:lang w:val="en-GB"/>
        </w:rPr>
      </w:pPr>
    </w:p>
    <w:p w14:paraId="6E9F8FDD"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Davies, R. (2019). UK Freight Transport Report. Retrieved from </w:t>
      </w:r>
      <w:hyperlink r:id="rId7" w:history="1">
        <w:r w:rsidRPr="00652765">
          <w:rPr>
            <w:rStyle w:val="Hyperlink"/>
            <w:rFonts w:ascii="Arial" w:hAnsi="Arial" w:cs="Arial"/>
            <w:lang w:val="en-GB"/>
          </w:rPr>
          <w:t>https://www.gov.uk/government/publications/uk-freight-transport-report-2019/uk-freight-transport-report-2019</w:t>
        </w:r>
      </w:hyperlink>
      <w:r>
        <w:rPr>
          <w:rFonts w:ascii="Arial" w:hAnsi="Arial" w:cs="Arial"/>
          <w:lang w:val="en-GB"/>
        </w:rPr>
        <w:t xml:space="preserve"> </w:t>
      </w:r>
    </w:p>
    <w:p w14:paraId="2885A452" w14:textId="77777777" w:rsidR="00A3084A" w:rsidRPr="00A3084A" w:rsidRDefault="00A3084A" w:rsidP="00A3084A">
      <w:pPr>
        <w:spacing w:line="360" w:lineRule="auto"/>
        <w:rPr>
          <w:rFonts w:ascii="Arial" w:hAnsi="Arial" w:cs="Arial"/>
          <w:lang w:val="en-GB"/>
        </w:rPr>
      </w:pPr>
    </w:p>
    <w:p w14:paraId="6F00E87E"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Department for Transport. (2022). Road Freight Statistics. Retrieved from </w:t>
      </w:r>
      <w:hyperlink r:id="rId8" w:history="1">
        <w:r w:rsidRPr="00652765">
          <w:rPr>
            <w:rStyle w:val="Hyperlink"/>
            <w:rFonts w:ascii="Arial" w:hAnsi="Arial" w:cs="Arial"/>
            <w:lang w:val="en-GB"/>
          </w:rPr>
          <w:t>https://www.gov.uk/government/statistics/road-freight-statistics-year-ending-2021</w:t>
        </w:r>
      </w:hyperlink>
      <w:r>
        <w:rPr>
          <w:rFonts w:ascii="Arial" w:hAnsi="Arial" w:cs="Arial"/>
          <w:lang w:val="en-GB"/>
        </w:rPr>
        <w:t xml:space="preserve"> </w:t>
      </w:r>
    </w:p>
    <w:p w14:paraId="17FAFDE2" w14:textId="77777777" w:rsidR="00A3084A" w:rsidRPr="00A3084A" w:rsidRDefault="00A3084A" w:rsidP="00A3084A">
      <w:pPr>
        <w:spacing w:line="360" w:lineRule="auto"/>
        <w:rPr>
          <w:rFonts w:ascii="Arial" w:hAnsi="Arial" w:cs="Arial"/>
          <w:lang w:val="en-GB"/>
        </w:rPr>
      </w:pPr>
    </w:p>
    <w:p w14:paraId="372DA43F" w14:textId="03D35096" w:rsidR="0092113D" w:rsidRPr="00A3084A" w:rsidRDefault="0092113D" w:rsidP="00A3084A">
      <w:pPr>
        <w:spacing w:line="360" w:lineRule="auto"/>
        <w:rPr>
          <w:rFonts w:ascii="Arial" w:hAnsi="Arial" w:cs="Arial"/>
          <w:lang w:val="en-GB"/>
        </w:rPr>
      </w:pPr>
      <w:r w:rsidRPr="00A3084A">
        <w:rPr>
          <w:rFonts w:ascii="Arial" w:hAnsi="Arial" w:cs="Arial"/>
          <w:lang w:val="en-GB"/>
        </w:rPr>
        <w:t xml:space="preserve">European Commission. (2020). Sustainable Transport. Retrieved from </w:t>
      </w:r>
      <w:hyperlink r:id="rId9" w:history="1">
        <w:r w:rsidR="00A3084A" w:rsidRPr="00652765">
          <w:rPr>
            <w:rStyle w:val="Hyperlink"/>
            <w:rFonts w:ascii="Arial" w:hAnsi="Arial" w:cs="Arial"/>
            <w:lang w:val="en-GB"/>
          </w:rPr>
          <w:t>https://ec.europa.eu/transport/themes/sustainable_en</w:t>
        </w:r>
      </w:hyperlink>
      <w:r w:rsidR="00A3084A">
        <w:rPr>
          <w:rFonts w:ascii="Arial" w:hAnsi="Arial" w:cs="Arial"/>
          <w:lang w:val="en-GB"/>
        </w:rPr>
        <w:t xml:space="preserve"> </w:t>
      </w:r>
    </w:p>
    <w:p w14:paraId="3B3D5958" w14:textId="77777777" w:rsidR="00A3084A" w:rsidRDefault="00A3084A" w:rsidP="00A3084A">
      <w:pPr>
        <w:spacing w:line="360" w:lineRule="auto"/>
        <w:rPr>
          <w:rFonts w:ascii="Arial" w:hAnsi="Arial" w:cs="Arial"/>
          <w:lang w:val="en-GB"/>
        </w:rPr>
      </w:pPr>
    </w:p>
    <w:p w14:paraId="64808E7F"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Freight Transport Association. (2021). Haulage Industry Challenges. Retrieved from </w:t>
      </w:r>
      <w:hyperlink r:id="rId10" w:history="1">
        <w:r w:rsidRPr="00652765">
          <w:rPr>
            <w:rStyle w:val="Hyperlink"/>
            <w:rFonts w:ascii="Arial" w:hAnsi="Arial" w:cs="Arial"/>
            <w:lang w:val="en-GB"/>
          </w:rPr>
          <w:t>https://www.fta.co.uk/haulage-industry-challenges</w:t>
        </w:r>
      </w:hyperlink>
      <w:r>
        <w:rPr>
          <w:rFonts w:ascii="Arial" w:hAnsi="Arial" w:cs="Arial"/>
          <w:lang w:val="en-GB"/>
        </w:rPr>
        <w:t xml:space="preserve"> </w:t>
      </w:r>
    </w:p>
    <w:p w14:paraId="33AF238D" w14:textId="77777777" w:rsidR="00A3084A" w:rsidRPr="00A3084A" w:rsidRDefault="00A3084A" w:rsidP="00A3084A">
      <w:pPr>
        <w:spacing w:line="360" w:lineRule="auto"/>
        <w:rPr>
          <w:rFonts w:ascii="Arial" w:hAnsi="Arial" w:cs="Arial"/>
          <w:lang w:val="en-GB"/>
        </w:rPr>
      </w:pPr>
    </w:p>
    <w:p w14:paraId="32E78CF5"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Green Freight Europe. (2022). Sustainable Haulage Practices. Retrieved from </w:t>
      </w:r>
      <w:hyperlink r:id="rId11" w:tgtFrame="_new" w:history="1">
        <w:r w:rsidRPr="00A3084A">
          <w:rPr>
            <w:rStyle w:val="Hyperlink"/>
            <w:rFonts w:ascii="Arial" w:hAnsi="Arial" w:cs="Arial"/>
            <w:lang w:val="en-GB"/>
          </w:rPr>
          <w:t>https://www.greenfreighteurope.eu/</w:t>
        </w:r>
      </w:hyperlink>
    </w:p>
    <w:p w14:paraId="7CC146FC" w14:textId="77777777" w:rsidR="00A3084A" w:rsidRPr="00A3084A" w:rsidRDefault="00A3084A" w:rsidP="00A3084A">
      <w:pPr>
        <w:spacing w:line="360" w:lineRule="auto"/>
        <w:rPr>
          <w:rFonts w:ascii="Arial" w:hAnsi="Arial" w:cs="Arial"/>
          <w:lang w:val="en-GB"/>
        </w:rPr>
      </w:pPr>
    </w:p>
    <w:p w14:paraId="6D02D7C1" w14:textId="5774E9E2" w:rsidR="0092113D" w:rsidRDefault="0092113D" w:rsidP="00A3084A">
      <w:pPr>
        <w:spacing w:line="360" w:lineRule="auto"/>
        <w:rPr>
          <w:rFonts w:ascii="Arial" w:hAnsi="Arial" w:cs="Arial"/>
          <w:lang w:val="en-GB"/>
        </w:rPr>
      </w:pPr>
      <w:r w:rsidRPr="00A3084A">
        <w:rPr>
          <w:rFonts w:ascii="Arial" w:hAnsi="Arial" w:cs="Arial"/>
          <w:lang w:val="en-GB"/>
        </w:rPr>
        <w:t xml:space="preserve">Haque, M. M., </w:t>
      </w:r>
      <w:proofErr w:type="spellStart"/>
      <w:r w:rsidRPr="00A3084A">
        <w:rPr>
          <w:rFonts w:ascii="Arial" w:hAnsi="Arial" w:cs="Arial"/>
          <w:lang w:val="en-GB"/>
        </w:rPr>
        <w:t>Udrea</w:t>
      </w:r>
      <w:proofErr w:type="spellEnd"/>
      <w:r w:rsidRPr="00A3084A">
        <w:rPr>
          <w:rFonts w:ascii="Arial" w:hAnsi="Arial" w:cs="Arial"/>
          <w:lang w:val="en-GB"/>
        </w:rPr>
        <w:t>, A., &amp; Elliott, D. (2020). The Impact of Brexit on the UK Road Haulage Sector: An Analysis Using System Dynamics Approach. Sustainability, 12(16), 6373.</w:t>
      </w:r>
    </w:p>
    <w:p w14:paraId="1E35C63C" w14:textId="77777777" w:rsidR="00A3084A" w:rsidRPr="00A3084A" w:rsidRDefault="00A3084A" w:rsidP="00A3084A">
      <w:pPr>
        <w:spacing w:line="360" w:lineRule="auto"/>
        <w:rPr>
          <w:rFonts w:ascii="Arial" w:hAnsi="Arial" w:cs="Arial"/>
          <w:lang w:val="en-GB"/>
        </w:rPr>
      </w:pPr>
    </w:p>
    <w:p w14:paraId="34905E93" w14:textId="77777777" w:rsidR="00A3084A" w:rsidRPr="00A3084A" w:rsidRDefault="00A3084A" w:rsidP="00A3084A">
      <w:pPr>
        <w:spacing w:line="360" w:lineRule="auto"/>
        <w:rPr>
          <w:rFonts w:ascii="Arial" w:hAnsi="Arial" w:cs="Arial"/>
          <w:lang w:val="en-GB"/>
        </w:rPr>
      </w:pPr>
      <w:r w:rsidRPr="00A3084A">
        <w:rPr>
          <w:rFonts w:ascii="Arial" w:hAnsi="Arial" w:cs="Arial"/>
          <w:lang w:val="en-GB"/>
        </w:rPr>
        <w:t xml:space="preserve">Hoekstra, M. (2020). Brexit Impact on UK Haulage. Retrieved from </w:t>
      </w:r>
      <w:hyperlink r:id="rId12" w:history="1">
        <w:r w:rsidRPr="00652765">
          <w:rPr>
            <w:rStyle w:val="Hyperlink"/>
            <w:rFonts w:ascii="Arial" w:hAnsi="Arial" w:cs="Arial"/>
            <w:lang w:val="en-GB"/>
          </w:rPr>
          <w:t>https://www.supplychaindive.com/news/how-brexit-will-impact-UK-truck-drivers/571408/</w:t>
        </w:r>
      </w:hyperlink>
      <w:r>
        <w:rPr>
          <w:rFonts w:ascii="Arial" w:hAnsi="Arial" w:cs="Arial"/>
          <w:lang w:val="en-GB"/>
        </w:rPr>
        <w:t xml:space="preserve"> </w:t>
      </w:r>
    </w:p>
    <w:p w14:paraId="063B9859" w14:textId="77777777" w:rsidR="00A3084A" w:rsidRDefault="00A3084A" w:rsidP="00A3084A">
      <w:pPr>
        <w:spacing w:line="360" w:lineRule="auto"/>
        <w:rPr>
          <w:rFonts w:ascii="Arial" w:hAnsi="Arial" w:cs="Arial"/>
          <w:lang w:val="en-GB"/>
        </w:rPr>
      </w:pPr>
    </w:p>
    <w:p w14:paraId="05C8D870"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JLL. (2022). Last-Mile Delivery Trends. Retrieved from </w:t>
      </w:r>
      <w:hyperlink r:id="rId13" w:history="1">
        <w:r w:rsidRPr="00652765">
          <w:rPr>
            <w:rStyle w:val="Hyperlink"/>
            <w:rFonts w:ascii="Arial" w:hAnsi="Arial" w:cs="Arial"/>
            <w:lang w:val="en-GB"/>
          </w:rPr>
          <w:t>https://www.us.jll.com/en/trends-and-insights/research/global-last-mile-logistics-report</w:t>
        </w:r>
      </w:hyperlink>
    </w:p>
    <w:p w14:paraId="50D62FDC" w14:textId="77777777" w:rsidR="00A3084A" w:rsidRDefault="00A3084A" w:rsidP="00A3084A">
      <w:pPr>
        <w:spacing w:line="360" w:lineRule="auto"/>
        <w:rPr>
          <w:rFonts w:ascii="Arial" w:hAnsi="Arial" w:cs="Arial"/>
          <w:lang w:val="en-GB"/>
        </w:rPr>
      </w:pPr>
    </w:p>
    <w:p w14:paraId="211C0346" w14:textId="0523FE0F" w:rsidR="0092113D" w:rsidRPr="00A3084A" w:rsidRDefault="0092113D" w:rsidP="00A3084A">
      <w:pPr>
        <w:spacing w:line="360" w:lineRule="auto"/>
        <w:rPr>
          <w:rFonts w:ascii="Arial" w:hAnsi="Arial" w:cs="Arial"/>
          <w:lang w:val="en-GB"/>
        </w:rPr>
      </w:pPr>
      <w:r w:rsidRPr="00A3084A">
        <w:rPr>
          <w:rFonts w:ascii="Arial" w:hAnsi="Arial" w:cs="Arial"/>
          <w:lang w:val="en-GB"/>
        </w:rPr>
        <w:t>Kara, S., Zhang, Z., &amp; Frohlich, D. (2019). Industry 4.0 and the digital transformation of supply chains. Supply Chain Management, 24(3), 317-333.</w:t>
      </w:r>
    </w:p>
    <w:p w14:paraId="7C4074D8" w14:textId="77777777" w:rsidR="00A3084A" w:rsidRDefault="00A3084A" w:rsidP="00A3084A">
      <w:pPr>
        <w:spacing w:line="360" w:lineRule="auto"/>
        <w:rPr>
          <w:rFonts w:ascii="Arial" w:hAnsi="Arial" w:cs="Arial"/>
          <w:lang w:val="en-GB"/>
        </w:rPr>
      </w:pPr>
    </w:p>
    <w:p w14:paraId="54CE570E" w14:textId="0AEE8A68" w:rsidR="00A3084A" w:rsidRDefault="00A3084A" w:rsidP="00A3084A">
      <w:pPr>
        <w:spacing w:line="360" w:lineRule="auto"/>
        <w:rPr>
          <w:rFonts w:ascii="Arial" w:hAnsi="Arial" w:cs="Arial"/>
          <w:lang w:val="en-GB"/>
        </w:rPr>
      </w:pPr>
      <w:r w:rsidRPr="00A3084A">
        <w:rPr>
          <w:rFonts w:ascii="Arial" w:hAnsi="Arial" w:cs="Arial"/>
          <w:lang w:val="en-GB"/>
        </w:rPr>
        <w:t xml:space="preserve">Lai, X., Rao, S., &amp; </w:t>
      </w:r>
      <w:proofErr w:type="spellStart"/>
      <w:r w:rsidRPr="00A3084A">
        <w:rPr>
          <w:rFonts w:ascii="Arial" w:hAnsi="Arial" w:cs="Arial"/>
          <w:lang w:val="en-GB"/>
        </w:rPr>
        <w:t>Xie</w:t>
      </w:r>
      <w:proofErr w:type="spellEnd"/>
      <w:r w:rsidRPr="00A3084A">
        <w:rPr>
          <w:rFonts w:ascii="Arial" w:hAnsi="Arial" w:cs="Arial"/>
          <w:lang w:val="en-GB"/>
        </w:rPr>
        <w:t>, N. (2019). Customer satisfaction, service quality and economic conditions: Evidence from the UK road haulage industry. International Journal of Production Economics, 211, 18-31.</w:t>
      </w:r>
    </w:p>
    <w:p w14:paraId="1E49C4BE" w14:textId="77777777" w:rsidR="00A3084A" w:rsidRDefault="00A3084A" w:rsidP="00A3084A">
      <w:pPr>
        <w:spacing w:line="360" w:lineRule="auto"/>
        <w:rPr>
          <w:rFonts w:ascii="Arial" w:hAnsi="Arial" w:cs="Arial"/>
          <w:lang w:val="en-GB"/>
        </w:rPr>
      </w:pPr>
    </w:p>
    <w:p w14:paraId="11EC150E" w14:textId="77777777" w:rsidR="00A3084A" w:rsidRDefault="00A3084A" w:rsidP="00A3084A">
      <w:pPr>
        <w:spacing w:line="360" w:lineRule="auto"/>
        <w:rPr>
          <w:rFonts w:ascii="Arial" w:hAnsi="Arial" w:cs="Arial"/>
          <w:lang w:val="en-GB"/>
        </w:rPr>
      </w:pPr>
      <w:r w:rsidRPr="00A3084A">
        <w:rPr>
          <w:rFonts w:ascii="Arial" w:hAnsi="Arial" w:cs="Arial"/>
          <w:lang w:val="en-GB"/>
        </w:rPr>
        <w:t xml:space="preserve">McKinsey &amp; Company. (2021). Future Trends in Transport and Logistics. Retrieved from </w:t>
      </w:r>
      <w:hyperlink r:id="rId14" w:history="1">
        <w:r w:rsidRPr="00652765">
          <w:rPr>
            <w:rStyle w:val="Hyperlink"/>
            <w:rFonts w:ascii="Arial" w:hAnsi="Arial" w:cs="Arial"/>
            <w:lang w:val="en-GB"/>
          </w:rPr>
          <w:t>https://www.mckinsey.com/industries/travel-logistics-and-transport-infrastructure/our-insights/transport-logistics-and-infrastructure</w:t>
        </w:r>
      </w:hyperlink>
    </w:p>
    <w:p w14:paraId="299F8AE2" w14:textId="77777777" w:rsidR="00A3084A" w:rsidRDefault="00A3084A" w:rsidP="00A3084A">
      <w:pPr>
        <w:spacing w:line="360" w:lineRule="auto"/>
        <w:rPr>
          <w:rFonts w:ascii="Arial" w:hAnsi="Arial" w:cs="Arial"/>
          <w:lang w:val="en-GB"/>
        </w:rPr>
      </w:pPr>
    </w:p>
    <w:p w14:paraId="4AB64728" w14:textId="28F066AC" w:rsidR="0092113D" w:rsidRDefault="0092113D" w:rsidP="00A3084A">
      <w:pPr>
        <w:spacing w:line="360" w:lineRule="auto"/>
        <w:rPr>
          <w:rFonts w:ascii="Arial" w:hAnsi="Arial" w:cs="Arial"/>
          <w:lang w:val="en-GB"/>
        </w:rPr>
      </w:pPr>
      <w:r w:rsidRPr="00A3084A">
        <w:rPr>
          <w:rFonts w:ascii="Arial" w:hAnsi="Arial" w:cs="Arial"/>
          <w:lang w:val="en-GB"/>
        </w:rPr>
        <w:t>Wang, X., Luo, Y., Guo, D., &amp; Rong, Q. (2020). An empirical study on the influential factors of freight transportation demand in China: A case study of a typical port. Journal of Transport Geography, 85, 102722.</w:t>
      </w:r>
    </w:p>
    <w:p w14:paraId="79D49EDD" w14:textId="77777777" w:rsidR="00A3084A" w:rsidRPr="00A3084A" w:rsidRDefault="00A3084A" w:rsidP="00A3084A">
      <w:pPr>
        <w:spacing w:line="360" w:lineRule="auto"/>
        <w:rPr>
          <w:rFonts w:ascii="Arial" w:hAnsi="Arial" w:cs="Arial"/>
          <w:lang w:val="en-GB"/>
        </w:rPr>
      </w:pPr>
    </w:p>
    <w:p w14:paraId="3BF8DEE7" w14:textId="77777777" w:rsidR="00A3084A" w:rsidRPr="00A3084A" w:rsidRDefault="00A3084A" w:rsidP="00A3084A">
      <w:pPr>
        <w:spacing w:line="360" w:lineRule="auto"/>
        <w:rPr>
          <w:rFonts w:ascii="Arial" w:hAnsi="Arial" w:cs="Arial"/>
          <w:lang w:val="en-GB"/>
        </w:rPr>
      </w:pPr>
      <w:r w:rsidRPr="00A3084A">
        <w:rPr>
          <w:rFonts w:ascii="Arial" w:hAnsi="Arial" w:cs="Arial"/>
          <w:lang w:val="en-GB"/>
        </w:rPr>
        <w:t xml:space="preserve">Wood, J. (2020). Driver Shortage in UK Haulage. Retrieved from </w:t>
      </w:r>
      <w:hyperlink r:id="rId15" w:history="1">
        <w:r w:rsidRPr="00652765">
          <w:rPr>
            <w:rStyle w:val="Hyperlink"/>
            <w:rFonts w:ascii="Arial" w:hAnsi="Arial" w:cs="Arial"/>
            <w:lang w:val="en-GB"/>
          </w:rPr>
          <w:t>https://www.bbc.com/news/uk-54548688</w:t>
        </w:r>
      </w:hyperlink>
      <w:r>
        <w:rPr>
          <w:rFonts w:ascii="Arial" w:hAnsi="Arial" w:cs="Arial"/>
          <w:lang w:val="en-GB"/>
        </w:rPr>
        <w:t xml:space="preserve"> </w:t>
      </w:r>
    </w:p>
    <w:p w14:paraId="11A5E45F" w14:textId="77777777" w:rsidR="00A3084A" w:rsidRDefault="00A3084A" w:rsidP="00A3084A">
      <w:pPr>
        <w:spacing w:line="360" w:lineRule="auto"/>
        <w:rPr>
          <w:rFonts w:ascii="Arial" w:hAnsi="Arial" w:cs="Arial"/>
          <w:lang w:val="en-GB"/>
        </w:rPr>
      </w:pPr>
    </w:p>
    <w:p w14:paraId="395408DE" w14:textId="34B5EBAC" w:rsidR="00A3084A" w:rsidRDefault="00A3084A" w:rsidP="00A3084A">
      <w:pPr>
        <w:spacing w:line="360" w:lineRule="auto"/>
        <w:rPr>
          <w:rFonts w:ascii="Arial" w:hAnsi="Arial" w:cs="Arial"/>
          <w:lang w:val="en-GB"/>
        </w:rPr>
      </w:pPr>
      <w:r w:rsidRPr="00A3084A">
        <w:rPr>
          <w:rFonts w:ascii="Arial" w:hAnsi="Arial" w:cs="Arial"/>
          <w:lang w:val="en-GB"/>
        </w:rPr>
        <w:t xml:space="preserve">Wood, J. (2021). Ethics in the Haulage Industry. Retrieved from </w:t>
      </w:r>
      <w:hyperlink r:id="rId16" w:history="1">
        <w:r w:rsidRPr="00652765">
          <w:rPr>
            <w:rStyle w:val="Hyperlink"/>
            <w:rFonts w:ascii="Arial" w:hAnsi="Arial" w:cs="Arial"/>
            <w:lang w:val="en-GB"/>
          </w:rPr>
          <w:t>https://www.mhwmagazine.co.uk/ethics-in-the-haulage-industry.html</w:t>
        </w:r>
      </w:hyperlink>
      <w:r>
        <w:rPr>
          <w:rFonts w:ascii="Arial" w:hAnsi="Arial" w:cs="Arial"/>
          <w:lang w:val="en-GB"/>
        </w:rPr>
        <w:t xml:space="preserve"> </w:t>
      </w:r>
    </w:p>
    <w:p w14:paraId="2F7CB4D6" w14:textId="77777777" w:rsidR="00A3084A" w:rsidRPr="00A3084A" w:rsidRDefault="00A3084A" w:rsidP="00A3084A">
      <w:pPr>
        <w:spacing w:line="360" w:lineRule="auto"/>
        <w:rPr>
          <w:rFonts w:ascii="Arial" w:hAnsi="Arial" w:cs="Arial"/>
          <w:lang w:val="en-GB"/>
        </w:rPr>
      </w:pPr>
    </w:p>
    <w:p w14:paraId="4DD4A23F" w14:textId="0F0D709D" w:rsidR="0092113D" w:rsidRPr="00A3084A" w:rsidRDefault="0092113D" w:rsidP="00A3084A">
      <w:pPr>
        <w:spacing w:line="360" w:lineRule="auto"/>
        <w:rPr>
          <w:rFonts w:ascii="Arial" w:hAnsi="Arial" w:cs="Arial"/>
          <w:lang w:val="en-GB"/>
        </w:rPr>
      </w:pPr>
      <w:r w:rsidRPr="00A3084A">
        <w:rPr>
          <w:rFonts w:ascii="Arial" w:hAnsi="Arial" w:cs="Arial"/>
          <w:lang w:val="en-GB"/>
        </w:rPr>
        <w:t xml:space="preserve">Woodward, R. T., Persson, U. M., Rietveld, P., &amp; </w:t>
      </w:r>
      <w:proofErr w:type="spellStart"/>
      <w:r w:rsidRPr="00A3084A">
        <w:rPr>
          <w:rFonts w:ascii="Arial" w:hAnsi="Arial" w:cs="Arial"/>
          <w:lang w:val="en-GB"/>
        </w:rPr>
        <w:t>Papathanasopoulou</w:t>
      </w:r>
      <w:proofErr w:type="spellEnd"/>
      <w:r w:rsidRPr="00A3084A">
        <w:rPr>
          <w:rFonts w:ascii="Arial" w:hAnsi="Arial" w:cs="Arial"/>
          <w:lang w:val="en-GB"/>
        </w:rPr>
        <w:t>, E. (2020). Exploring the impact of Brexit on greenhouse gas emissions in the road freight transport sector: An agent-based simulation approach. Transportation Research Part D: Transport and Environment, 83, 102329.</w:t>
      </w:r>
    </w:p>
    <w:p w14:paraId="00ED2A43" w14:textId="77777777" w:rsidR="0092113D" w:rsidRPr="00A3084A" w:rsidRDefault="0092113D" w:rsidP="00A3084A">
      <w:pPr>
        <w:spacing w:line="360" w:lineRule="auto"/>
        <w:rPr>
          <w:rFonts w:ascii="Arial" w:hAnsi="Arial" w:cs="Arial"/>
          <w:lang w:val="en-GB"/>
        </w:rPr>
      </w:pPr>
    </w:p>
    <w:p w14:paraId="14DE669B" w14:textId="77777777" w:rsidR="00A3084A" w:rsidRDefault="00A3084A" w:rsidP="00A3084A">
      <w:pPr>
        <w:spacing w:line="360" w:lineRule="auto"/>
        <w:rPr>
          <w:rFonts w:ascii="Arial" w:hAnsi="Arial" w:cs="Arial"/>
          <w:lang w:val="en-GB"/>
        </w:rPr>
      </w:pPr>
    </w:p>
    <w:p w14:paraId="07CFE22E" w14:textId="77777777" w:rsidR="00A3084A" w:rsidRDefault="00A3084A" w:rsidP="00A3084A">
      <w:pPr>
        <w:spacing w:line="360" w:lineRule="auto"/>
        <w:rPr>
          <w:rFonts w:ascii="Arial" w:hAnsi="Arial" w:cs="Arial"/>
          <w:lang w:val="en-GB"/>
        </w:rPr>
      </w:pPr>
    </w:p>
    <w:p w14:paraId="0E0DE7BE" w14:textId="77777777" w:rsidR="00A3084A" w:rsidRPr="00A3084A" w:rsidRDefault="00A3084A" w:rsidP="00A3084A">
      <w:pPr>
        <w:spacing w:line="360" w:lineRule="auto"/>
        <w:rPr>
          <w:rFonts w:ascii="Arial" w:hAnsi="Arial" w:cs="Arial"/>
          <w:lang w:val="en-GB"/>
        </w:rPr>
      </w:pPr>
      <w:r w:rsidRPr="00A3084A">
        <w:rPr>
          <w:rFonts w:ascii="Arial" w:hAnsi="Arial" w:cs="Arial"/>
          <w:lang w:val="en-GB"/>
        </w:rPr>
        <w:t>Yuan, X., Guo, J., Wu, T., &amp; Liang, L. (2018). Dynamic pricing and order scheduling in courier services with time-dependent delivery quality. Transportation Research Part E: Logistics and Transportation Review, 112, 84-102.</w:t>
      </w:r>
    </w:p>
    <w:p w14:paraId="4F25BF6B" w14:textId="77777777" w:rsidR="00A3084A" w:rsidRDefault="00A3084A" w:rsidP="00A3084A">
      <w:pPr>
        <w:spacing w:line="360" w:lineRule="auto"/>
        <w:rPr>
          <w:rFonts w:ascii="Arial" w:hAnsi="Arial" w:cs="Arial"/>
          <w:lang w:val="en-GB"/>
        </w:rPr>
      </w:pPr>
    </w:p>
    <w:p w14:paraId="5F1EA59F" w14:textId="77777777" w:rsidR="00A3084A" w:rsidRPr="00A3084A" w:rsidRDefault="00A3084A" w:rsidP="00A3084A">
      <w:pPr>
        <w:spacing w:line="360" w:lineRule="auto"/>
        <w:rPr>
          <w:rFonts w:ascii="Arial" w:hAnsi="Arial" w:cs="Arial"/>
          <w:lang w:val="en-GB"/>
        </w:rPr>
      </w:pPr>
    </w:p>
    <w:p w14:paraId="7B812F65" w14:textId="77777777" w:rsidR="00A3084A" w:rsidRPr="00A3084A" w:rsidRDefault="00A3084A" w:rsidP="00A3084A">
      <w:pPr>
        <w:spacing w:line="360" w:lineRule="auto"/>
        <w:rPr>
          <w:rFonts w:ascii="Arial" w:hAnsi="Arial" w:cs="Arial"/>
          <w:lang w:val="en-GB"/>
        </w:rPr>
      </w:pPr>
    </w:p>
    <w:p w14:paraId="0F8B5242" w14:textId="77777777" w:rsidR="00BE0DE3" w:rsidRPr="00A3084A" w:rsidRDefault="00BE0DE3" w:rsidP="00A3084A">
      <w:pPr>
        <w:spacing w:line="360" w:lineRule="auto"/>
        <w:rPr>
          <w:rFonts w:ascii="Arial" w:hAnsi="Arial" w:cs="Arial"/>
          <w:lang w:val="en-GB"/>
        </w:rPr>
      </w:pPr>
    </w:p>
    <w:sectPr w:rsidR="00BE0DE3" w:rsidRPr="00A30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46830"/>
    <w:multiLevelType w:val="multilevel"/>
    <w:tmpl w:val="86D0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87256"/>
    <w:multiLevelType w:val="multilevel"/>
    <w:tmpl w:val="17BE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82F2E"/>
    <w:multiLevelType w:val="multilevel"/>
    <w:tmpl w:val="65608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51A30"/>
    <w:multiLevelType w:val="hybridMultilevel"/>
    <w:tmpl w:val="BFFA5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6E78CB"/>
    <w:multiLevelType w:val="multilevel"/>
    <w:tmpl w:val="BC349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502AD"/>
    <w:multiLevelType w:val="multilevel"/>
    <w:tmpl w:val="C76A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A827EF"/>
    <w:multiLevelType w:val="hybridMultilevel"/>
    <w:tmpl w:val="F9C48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70C38"/>
    <w:multiLevelType w:val="multilevel"/>
    <w:tmpl w:val="FB628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4E4698"/>
    <w:multiLevelType w:val="multilevel"/>
    <w:tmpl w:val="DACC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B5348F"/>
    <w:multiLevelType w:val="hybridMultilevel"/>
    <w:tmpl w:val="76307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61F1E"/>
    <w:multiLevelType w:val="multilevel"/>
    <w:tmpl w:val="CE6A5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366572">
    <w:abstractNumId w:val="6"/>
  </w:num>
  <w:num w:numId="2" w16cid:durableId="457144081">
    <w:abstractNumId w:val="2"/>
  </w:num>
  <w:num w:numId="3" w16cid:durableId="1917205411">
    <w:abstractNumId w:val="5"/>
  </w:num>
  <w:num w:numId="4" w16cid:durableId="1510833885">
    <w:abstractNumId w:val="4"/>
  </w:num>
  <w:num w:numId="5" w16cid:durableId="1247301885">
    <w:abstractNumId w:val="1"/>
  </w:num>
  <w:num w:numId="6" w16cid:durableId="607466093">
    <w:abstractNumId w:val="8"/>
  </w:num>
  <w:num w:numId="7" w16cid:durableId="713575697">
    <w:abstractNumId w:val="9"/>
  </w:num>
  <w:num w:numId="8" w16cid:durableId="1377270545">
    <w:abstractNumId w:val="11"/>
  </w:num>
  <w:num w:numId="9" w16cid:durableId="217324641">
    <w:abstractNumId w:val="0"/>
  </w:num>
  <w:num w:numId="10" w16cid:durableId="1229146214">
    <w:abstractNumId w:val="3"/>
  </w:num>
  <w:num w:numId="11" w16cid:durableId="894122963">
    <w:abstractNumId w:val="7"/>
  </w:num>
  <w:num w:numId="12" w16cid:durableId="15787046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13D"/>
    <w:rsid w:val="000C7A9F"/>
    <w:rsid w:val="0092113D"/>
    <w:rsid w:val="00A3084A"/>
    <w:rsid w:val="00B63662"/>
    <w:rsid w:val="00BE0DE3"/>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AB030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1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2113D"/>
    <w:pPr>
      <w:widowControl w:val="0"/>
      <w:autoSpaceDE w:val="0"/>
      <w:autoSpaceDN w:val="0"/>
      <w:ind w:left="940" w:hanging="361"/>
    </w:pPr>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92113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2113D"/>
    <w:rPr>
      <w:color w:val="0000FF"/>
      <w:u w:val="single"/>
    </w:rPr>
  </w:style>
  <w:style w:type="character" w:styleId="Strong">
    <w:name w:val="Strong"/>
    <w:basedOn w:val="DefaultParagraphFont"/>
    <w:uiPriority w:val="22"/>
    <w:qFormat/>
    <w:rsid w:val="0092113D"/>
    <w:rPr>
      <w:b/>
      <w:bCs/>
    </w:rPr>
  </w:style>
  <w:style w:type="character" w:customStyle="1" w:styleId="Heading1Char">
    <w:name w:val="Heading 1 Char"/>
    <w:basedOn w:val="DefaultParagraphFont"/>
    <w:link w:val="Heading1"/>
    <w:uiPriority w:val="9"/>
    <w:rsid w:val="0092113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3084A"/>
    <w:rPr>
      <w:color w:val="605E5C"/>
      <w:shd w:val="clear" w:color="auto" w:fill="E1DFDD"/>
    </w:rPr>
  </w:style>
  <w:style w:type="paragraph" w:styleId="TOCHeading">
    <w:name w:val="TOC Heading"/>
    <w:basedOn w:val="Heading1"/>
    <w:next w:val="Normal"/>
    <w:uiPriority w:val="39"/>
    <w:unhideWhenUsed/>
    <w:qFormat/>
    <w:rsid w:val="00A3084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3084A"/>
    <w:pPr>
      <w:spacing w:before="120"/>
    </w:pPr>
    <w:rPr>
      <w:rFonts w:cstheme="minorHAnsi"/>
      <w:b/>
      <w:bCs/>
      <w:i/>
      <w:iCs/>
    </w:rPr>
  </w:style>
  <w:style w:type="paragraph" w:styleId="TOC2">
    <w:name w:val="toc 2"/>
    <w:basedOn w:val="Normal"/>
    <w:next w:val="Normal"/>
    <w:autoRedefine/>
    <w:uiPriority w:val="39"/>
    <w:semiHidden/>
    <w:unhideWhenUsed/>
    <w:rsid w:val="00A3084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3084A"/>
    <w:pPr>
      <w:ind w:left="480"/>
    </w:pPr>
    <w:rPr>
      <w:rFonts w:cstheme="minorHAnsi"/>
      <w:sz w:val="20"/>
      <w:szCs w:val="20"/>
    </w:rPr>
  </w:style>
  <w:style w:type="paragraph" w:styleId="TOC4">
    <w:name w:val="toc 4"/>
    <w:basedOn w:val="Normal"/>
    <w:next w:val="Normal"/>
    <w:autoRedefine/>
    <w:uiPriority w:val="39"/>
    <w:semiHidden/>
    <w:unhideWhenUsed/>
    <w:rsid w:val="00A3084A"/>
    <w:pPr>
      <w:ind w:left="720"/>
    </w:pPr>
    <w:rPr>
      <w:rFonts w:cstheme="minorHAnsi"/>
      <w:sz w:val="20"/>
      <w:szCs w:val="20"/>
    </w:rPr>
  </w:style>
  <w:style w:type="paragraph" w:styleId="TOC5">
    <w:name w:val="toc 5"/>
    <w:basedOn w:val="Normal"/>
    <w:next w:val="Normal"/>
    <w:autoRedefine/>
    <w:uiPriority w:val="39"/>
    <w:semiHidden/>
    <w:unhideWhenUsed/>
    <w:rsid w:val="00A3084A"/>
    <w:pPr>
      <w:ind w:left="960"/>
    </w:pPr>
    <w:rPr>
      <w:rFonts w:cstheme="minorHAnsi"/>
      <w:sz w:val="20"/>
      <w:szCs w:val="20"/>
    </w:rPr>
  </w:style>
  <w:style w:type="paragraph" w:styleId="TOC6">
    <w:name w:val="toc 6"/>
    <w:basedOn w:val="Normal"/>
    <w:next w:val="Normal"/>
    <w:autoRedefine/>
    <w:uiPriority w:val="39"/>
    <w:semiHidden/>
    <w:unhideWhenUsed/>
    <w:rsid w:val="00A3084A"/>
    <w:pPr>
      <w:ind w:left="1200"/>
    </w:pPr>
    <w:rPr>
      <w:rFonts w:cstheme="minorHAnsi"/>
      <w:sz w:val="20"/>
      <w:szCs w:val="20"/>
    </w:rPr>
  </w:style>
  <w:style w:type="paragraph" w:styleId="TOC7">
    <w:name w:val="toc 7"/>
    <w:basedOn w:val="Normal"/>
    <w:next w:val="Normal"/>
    <w:autoRedefine/>
    <w:uiPriority w:val="39"/>
    <w:semiHidden/>
    <w:unhideWhenUsed/>
    <w:rsid w:val="00A3084A"/>
    <w:pPr>
      <w:ind w:left="1440"/>
    </w:pPr>
    <w:rPr>
      <w:rFonts w:cstheme="minorHAnsi"/>
      <w:sz w:val="20"/>
      <w:szCs w:val="20"/>
    </w:rPr>
  </w:style>
  <w:style w:type="paragraph" w:styleId="TOC8">
    <w:name w:val="toc 8"/>
    <w:basedOn w:val="Normal"/>
    <w:next w:val="Normal"/>
    <w:autoRedefine/>
    <w:uiPriority w:val="39"/>
    <w:semiHidden/>
    <w:unhideWhenUsed/>
    <w:rsid w:val="00A3084A"/>
    <w:pPr>
      <w:ind w:left="1680"/>
    </w:pPr>
    <w:rPr>
      <w:rFonts w:cstheme="minorHAnsi"/>
      <w:sz w:val="20"/>
      <w:szCs w:val="20"/>
    </w:rPr>
  </w:style>
  <w:style w:type="paragraph" w:styleId="TOC9">
    <w:name w:val="toc 9"/>
    <w:basedOn w:val="Normal"/>
    <w:next w:val="Normal"/>
    <w:autoRedefine/>
    <w:uiPriority w:val="39"/>
    <w:semiHidden/>
    <w:unhideWhenUsed/>
    <w:rsid w:val="00A3084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3213">
      <w:bodyDiv w:val="1"/>
      <w:marLeft w:val="0"/>
      <w:marRight w:val="0"/>
      <w:marTop w:val="0"/>
      <w:marBottom w:val="0"/>
      <w:divBdr>
        <w:top w:val="none" w:sz="0" w:space="0" w:color="auto"/>
        <w:left w:val="none" w:sz="0" w:space="0" w:color="auto"/>
        <w:bottom w:val="none" w:sz="0" w:space="0" w:color="auto"/>
        <w:right w:val="none" w:sz="0" w:space="0" w:color="auto"/>
      </w:divBdr>
    </w:div>
    <w:div w:id="113329989">
      <w:bodyDiv w:val="1"/>
      <w:marLeft w:val="0"/>
      <w:marRight w:val="0"/>
      <w:marTop w:val="0"/>
      <w:marBottom w:val="0"/>
      <w:divBdr>
        <w:top w:val="none" w:sz="0" w:space="0" w:color="auto"/>
        <w:left w:val="none" w:sz="0" w:space="0" w:color="auto"/>
        <w:bottom w:val="none" w:sz="0" w:space="0" w:color="auto"/>
        <w:right w:val="none" w:sz="0" w:space="0" w:color="auto"/>
      </w:divBdr>
    </w:div>
    <w:div w:id="1395085753">
      <w:bodyDiv w:val="1"/>
      <w:marLeft w:val="0"/>
      <w:marRight w:val="0"/>
      <w:marTop w:val="0"/>
      <w:marBottom w:val="0"/>
      <w:divBdr>
        <w:top w:val="none" w:sz="0" w:space="0" w:color="auto"/>
        <w:left w:val="none" w:sz="0" w:space="0" w:color="auto"/>
        <w:bottom w:val="none" w:sz="0" w:space="0" w:color="auto"/>
        <w:right w:val="none" w:sz="0" w:space="0" w:color="auto"/>
      </w:divBdr>
    </w:div>
    <w:div w:id="1437864698">
      <w:bodyDiv w:val="1"/>
      <w:marLeft w:val="0"/>
      <w:marRight w:val="0"/>
      <w:marTop w:val="0"/>
      <w:marBottom w:val="0"/>
      <w:divBdr>
        <w:top w:val="none" w:sz="0" w:space="0" w:color="auto"/>
        <w:left w:val="none" w:sz="0" w:space="0" w:color="auto"/>
        <w:bottom w:val="none" w:sz="0" w:space="0" w:color="auto"/>
        <w:right w:val="none" w:sz="0" w:space="0" w:color="auto"/>
      </w:divBdr>
    </w:div>
    <w:div w:id="170251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road-freight-statistics-year-ending-2021" TargetMode="External"/><Relationship Id="rId13" Type="http://schemas.openxmlformats.org/officeDocument/2006/relationships/hyperlink" Target="https://www.us.jll.com/en/trends-and-insights/research/global-last-mile-logistics-repor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publications/uk-freight-transport-report-2019/uk-freight-transport-report-2019" TargetMode="External"/><Relationship Id="rId12" Type="http://schemas.openxmlformats.org/officeDocument/2006/relationships/hyperlink" Target="https://www.supplychaindive.com/news/how-brexit-will-impact-UK-truck-drivers/5714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hwmagazine.co.uk/ethics-in-the-haulage-industry.html" TargetMode="External"/><Relationship Id="rId1" Type="http://schemas.openxmlformats.org/officeDocument/2006/relationships/customXml" Target="../customXml/item1.xml"/><Relationship Id="rId6" Type="http://schemas.openxmlformats.org/officeDocument/2006/relationships/hyperlink" Target="https://www.accenture.com/us-en/insights/transportation/digital-transformation-transportation-logistics" TargetMode="External"/><Relationship Id="rId11" Type="http://schemas.openxmlformats.org/officeDocument/2006/relationships/hyperlink" Target="https://www.greenfreighteurope.eu/" TargetMode="External"/><Relationship Id="rId5" Type="http://schemas.openxmlformats.org/officeDocument/2006/relationships/webSettings" Target="webSettings.xml"/><Relationship Id="rId15" Type="http://schemas.openxmlformats.org/officeDocument/2006/relationships/hyperlink" Target="https://www.bbc.com/news/uk-54548688" TargetMode="External"/><Relationship Id="rId10" Type="http://schemas.openxmlformats.org/officeDocument/2006/relationships/hyperlink" Target="https://www.fta.co.uk/haulage-industry-challenges" TargetMode="External"/><Relationship Id="rId4" Type="http://schemas.openxmlformats.org/officeDocument/2006/relationships/settings" Target="settings.xml"/><Relationship Id="rId9" Type="http://schemas.openxmlformats.org/officeDocument/2006/relationships/hyperlink" Target="https://ec.europa.eu/transport/themes/sustainable_en" TargetMode="External"/><Relationship Id="rId14" Type="http://schemas.openxmlformats.org/officeDocument/2006/relationships/hyperlink" Target="https://www.mckinsey.com/industries/travel-logistics-and-transport-infrastructure/our-insights/transport-logistics-and-infra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BC2A3-FC77-4F4C-94A5-FBFC9E2BF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2024-02-18T20:25:00Z</dcterms:created>
  <dcterms:modified xsi:type="dcterms:W3CDTF">2024-02-29T08:58:00Z</dcterms:modified>
</cp:coreProperties>
</file>