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1D1E" w:rsidRDefault="004D1D1E" w:rsidP="004D1D1E">
      <w:pPr>
        <w:jc w:val="center"/>
        <w:rPr>
          <w:sz w:val="48"/>
        </w:rPr>
      </w:pPr>
    </w:p>
    <w:p w:rsidR="004D1D1E" w:rsidRDefault="004D1D1E" w:rsidP="004D1D1E">
      <w:pPr>
        <w:jc w:val="center"/>
        <w:rPr>
          <w:sz w:val="48"/>
        </w:rPr>
      </w:pPr>
    </w:p>
    <w:p w:rsidR="004D1D1E" w:rsidRDefault="004D1D1E" w:rsidP="004D1D1E">
      <w:pPr>
        <w:jc w:val="center"/>
        <w:rPr>
          <w:sz w:val="48"/>
        </w:rPr>
      </w:pPr>
    </w:p>
    <w:p w:rsidR="004D1D1E" w:rsidRPr="004D1D1E" w:rsidRDefault="004D1D1E" w:rsidP="004D1D1E">
      <w:pPr>
        <w:jc w:val="center"/>
        <w:rPr>
          <w:sz w:val="72"/>
        </w:rPr>
      </w:pPr>
    </w:p>
    <w:p w:rsidR="007F3F4F" w:rsidRPr="004D1D1E" w:rsidRDefault="004D1D1E" w:rsidP="004D1D1E">
      <w:pPr>
        <w:jc w:val="center"/>
        <w:rPr>
          <w:sz w:val="72"/>
        </w:rPr>
      </w:pPr>
      <w:r w:rsidRPr="004D1D1E">
        <w:rPr>
          <w:sz w:val="72"/>
        </w:rPr>
        <w:t>BA Business Management</w:t>
      </w:r>
    </w:p>
    <w:p w:rsidR="004D1D1E" w:rsidRPr="004D1D1E" w:rsidRDefault="004D1D1E" w:rsidP="004D1D1E">
      <w:pPr>
        <w:jc w:val="center"/>
        <w:rPr>
          <w:sz w:val="72"/>
        </w:rPr>
      </w:pPr>
      <w:r w:rsidRPr="004D1D1E">
        <w:rPr>
          <w:sz w:val="72"/>
        </w:rPr>
        <w:t>Community Engagement</w:t>
      </w:r>
    </w:p>
    <w:p w:rsidR="004D1D1E" w:rsidRDefault="004D1D1E" w:rsidP="004D1D1E">
      <w:pPr>
        <w:jc w:val="center"/>
        <w:rPr>
          <w:sz w:val="72"/>
        </w:rPr>
      </w:pPr>
      <w:r w:rsidRPr="004D1D1E">
        <w:rPr>
          <w:sz w:val="72"/>
        </w:rPr>
        <w:t>Assessment 2</w:t>
      </w:r>
    </w:p>
    <w:p w:rsidR="00C155B3" w:rsidRDefault="00C155B3" w:rsidP="00C155B3">
      <w:pPr>
        <w:rPr>
          <w:sz w:val="72"/>
        </w:rPr>
      </w:pPr>
      <w:bookmarkStart w:id="0" w:name="_GoBack"/>
      <w:bookmarkEnd w:id="0"/>
    </w:p>
    <w:p w:rsidR="00C155B3" w:rsidRPr="00C155B3" w:rsidRDefault="00C155B3" w:rsidP="00C155B3">
      <w:pPr>
        <w:rPr>
          <w:rFonts w:cs="Times New Roman"/>
          <w:b/>
          <w:szCs w:val="24"/>
        </w:rPr>
      </w:pPr>
      <w:r w:rsidRPr="00C155B3">
        <w:rPr>
          <w:rFonts w:cs="Times New Roman"/>
          <w:b/>
          <w:szCs w:val="24"/>
        </w:rPr>
        <w:t>STUDENT ID: 2027759 IULIA FLITA</w:t>
      </w:r>
    </w:p>
    <w:p w:rsidR="00C155B3" w:rsidRDefault="00C155B3" w:rsidP="00C155B3">
      <w:pPr>
        <w:rPr>
          <w:sz w:val="72"/>
        </w:rPr>
      </w:pPr>
    </w:p>
    <w:p w:rsidR="004D1D1E" w:rsidRDefault="004D1D1E">
      <w:pPr>
        <w:spacing w:line="259" w:lineRule="auto"/>
        <w:jc w:val="left"/>
        <w:rPr>
          <w:sz w:val="72"/>
        </w:rPr>
      </w:pPr>
      <w:r>
        <w:rPr>
          <w:sz w:val="72"/>
        </w:rPr>
        <w:br w:type="page"/>
      </w:r>
    </w:p>
    <w:sdt>
      <w:sdtPr>
        <w:rPr>
          <w:rFonts w:ascii="Times New Roman" w:eastAsiaTheme="minorHAnsi" w:hAnsi="Times New Roman" w:cstheme="minorBidi"/>
          <w:color w:val="000000" w:themeColor="text1"/>
          <w:sz w:val="24"/>
          <w:szCs w:val="22"/>
        </w:rPr>
        <w:id w:val="2024581242"/>
        <w:docPartObj>
          <w:docPartGallery w:val="Table of Contents"/>
          <w:docPartUnique/>
        </w:docPartObj>
      </w:sdtPr>
      <w:sdtEndPr>
        <w:rPr>
          <w:b/>
          <w:bCs/>
          <w:noProof/>
        </w:rPr>
      </w:sdtEndPr>
      <w:sdtContent>
        <w:p w:rsidR="00D51770" w:rsidRPr="00D51770" w:rsidRDefault="00D51770" w:rsidP="00D51770">
          <w:pPr>
            <w:pStyle w:val="TOCHeading"/>
            <w:spacing w:line="360" w:lineRule="auto"/>
            <w:rPr>
              <w:rFonts w:ascii="Times New Roman" w:hAnsi="Times New Roman" w:cs="Times New Roman"/>
              <w:color w:val="000000" w:themeColor="text1"/>
            </w:rPr>
          </w:pPr>
          <w:r w:rsidRPr="00D51770">
            <w:rPr>
              <w:rFonts w:ascii="Times New Roman" w:hAnsi="Times New Roman" w:cs="Times New Roman"/>
              <w:color w:val="000000" w:themeColor="text1"/>
            </w:rPr>
            <w:t>Contents</w:t>
          </w:r>
        </w:p>
        <w:p w:rsidR="00AB0283" w:rsidRDefault="00D51770">
          <w:pPr>
            <w:pStyle w:val="TOC1"/>
            <w:tabs>
              <w:tab w:val="right" w:leader="dot" w:pos="9350"/>
            </w:tabs>
            <w:rPr>
              <w:rFonts w:asciiTheme="minorHAnsi" w:eastAsiaTheme="minorEastAsia" w:hAnsiTheme="minorHAnsi"/>
              <w:noProof/>
              <w:color w:val="auto"/>
              <w:sz w:val="22"/>
            </w:rPr>
          </w:pPr>
          <w:r>
            <w:rPr>
              <w:b/>
              <w:bCs/>
              <w:noProof/>
            </w:rPr>
            <w:fldChar w:fldCharType="begin"/>
          </w:r>
          <w:r>
            <w:rPr>
              <w:b/>
              <w:bCs/>
              <w:noProof/>
            </w:rPr>
            <w:instrText xml:space="preserve"> TOC \o "1-3" \h \z \u </w:instrText>
          </w:r>
          <w:r>
            <w:rPr>
              <w:b/>
              <w:bCs/>
              <w:noProof/>
            </w:rPr>
            <w:fldChar w:fldCharType="separate"/>
          </w:r>
          <w:hyperlink w:anchor="_Toc103206034" w:history="1">
            <w:r w:rsidR="00AB0283" w:rsidRPr="00D71156">
              <w:rPr>
                <w:rStyle w:val="Hyperlink"/>
                <w:noProof/>
              </w:rPr>
              <w:t>Introduction</w:t>
            </w:r>
            <w:r w:rsidR="00AB0283">
              <w:rPr>
                <w:noProof/>
                <w:webHidden/>
              </w:rPr>
              <w:tab/>
            </w:r>
            <w:r w:rsidR="00AB0283">
              <w:rPr>
                <w:noProof/>
                <w:webHidden/>
              </w:rPr>
              <w:fldChar w:fldCharType="begin"/>
            </w:r>
            <w:r w:rsidR="00AB0283">
              <w:rPr>
                <w:noProof/>
                <w:webHidden/>
              </w:rPr>
              <w:instrText xml:space="preserve"> PAGEREF _Toc103206034 \h </w:instrText>
            </w:r>
            <w:r w:rsidR="00AB0283">
              <w:rPr>
                <w:noProof/>
                <w:webHidden/>
              </w:rPr>
            </w:r>
            <w:r w:rsidR="00AB0283">
              <w:rPr>
                <w:noProof/>
                <w:webHidden/>
              </w:rPr>
              <w:fldChar w:fldCharType="separate"/>
            </w:r>
            <w:r w:rsidR="00AB0283">
              <w:rPr>
                <w:noProof/>
                <w:webHidden/>
              </w:rPr>
              <w:t>3</w:t>
            </w:r>
            <w:r w:rsidR="00AB0283">
              <w:rPr>
                <w:noProof/>
                <w:webHidden/>
              </w:rPr>
              <w:fldChar w:fldCharType="end"/>
            </w:r>
          </w:hyperlink>
        </w:p>
        <w:p w:rsidR="00AB0283" w:rsidRDefault="0062702E">
          <w:pPr>
            <w:pStyle w:val="TOC1"/>
            <w:tabs>
              <w:tab w:val="right" w:leader="dot" w:pos="9350"/>
            </w:tabs>
            <w:rPr>
              <w:rFonts w:asciiTheme="minorHAnsi" w:eastAsiaTheme="minorEastAsia" w:hAnsiTheme="minorHAnsi"/>
              <w:noProof/>
              <w:color w:val="auto"/>
              <w:sz w:val="22"/>
            </w:rPr>
          </w:pPr>
          <w:hyperlink w:anchor="_Toc103206035" w:history="1">
            <w:r w:rsidR="00AB0283" w:rsidRPr="00D71156">
              <w:rPr>
                <w:rStyle w:val="Hyperlink"/>
                <w:noProof/>
              </w:rPr>
              <w:t>Coordination of a community engagement programme effectively</w:t>
            </w:r>
            <w:r w:rsidR="00AB0283">
              <w:rPr>
                <w:noProof/>
                <w:webHidden/>
              </w:rPr>
              <w:tab/>
            </w:r>
            <w:r w:rsidR="00AB0283">
              <w:rPr>
                <w:noProof/>
                <w:webHidden/>
              </w:rPr>
              <w:fldChar w:fldCharType="begin"/>
            </w:r>
            <w:r w:rsidR="00AB0283">
              <w:rPr>
                <w:noProof/>
                <w:webHidden/>
              </w:rPr>
              <w:instrText xml:space="preserve"> PAGEREF _Toc103206035 \h </w:instrText>
            </w:r>
            <w:r w:rsidR="00AB0283">
              <w:rPr>
                <w:noProof/>
                <w:webHidden/>
              </w:rPr>
            </w:r>
            <w:r w:rsidR="00AB0283">
              <w:rPr>
                <w:noProof/>
                <w:webHidden/>
              </w:rPr>
              <w:fldChar w:fldCharType="separate"/>
            </w:r>
            <w:r w:rsidR="00AB0283">
              <w:rPr>
                <w:noProof/>
                <w:webHidden/>
              </w:rPr>
              <w:t>4</w:t>
            </w:r>
            <w:r w:rsidR="00AB0283">
              <w:rPr>
                <w:noProof/>
                <w:webHidden/>
              </w:rPr>
              <w:fldChar w:fldCharType="end"/>
            </w:r>
          </w:hyperlink>
        </w:p>
        <w:p w:rsidR="00AB0283" w:rsidRDefault="0062702E">
          <w:pPr>
            <w:pStyle w:val="TOC1"/>
            <w:tabs>
              <w:tab w:val="right" w:leader="dot" w:pos="9350"/>
            </w:tabs>
            <w:rPr>
              <w:rFonts w:asciiTheme="minorHAnsi" w:eastAsiaTheme="minorEastAsia" w:hAnsiTheme="minorHAnsi"/>
              <w:noProof/>
              <w:color w:val="auto"/>
              <w:sz w:val="22"/>
            </w:rPr>
          </w:pPr>
          <w:hyperlink w:anchor="_Toc103206036" w:history="1">
            <w:r w:rsidR="00AB0283" w:rsidRPr="00D71156">
              <w:rPr>
                <w:rStyle w:val="Hyperlink"/>
                <w:noProof/>
              </w:rPr>
              <w:t>Beyond Youth Custody</w:t>
            </w:r>
            <w:r w:rsidR="00AB0283">
              <w:rPr>
                <w:noProof/>
                <w:webHidden/>
              </w:rPr>
              <w:tab/>
            </w:r>
            <w:r w:rsidR="00AB0283">
              <w:rPr>
                <w:noProof/>
                <w:webHidden/>
              </w:rPr>
              <w:fldChar w:fldCharType="begin"/>
            </w:r>
            <w:r w:rsidR="00AB0283">
              <w:rPr>
                <w:noProof/>
                <w:webHidden/>
              </w:rPr>
              <w:instrText xml:space="preserve"> PAGEREF _Toc103206036 \h </w:instrText>
            </w:r>
            <w:r w:rsidR="00AB0283">
              <w:rPr>
                <w:noProof/>
                <w:webHidden/>
              </w:rPr>
            </w:r>
            <w:r w:rsidR="00AB0283">
              <w:rPr>
                <w:noProof/>
                <w:webHidden/>
              </w:rPr>
              <w:fldChar w:fldCharType="separate"/>
            </w:r>
            <w:r w:rsidR="00AB0283">
              <w:rPr>
                <w:noProof/>
                <w:webHidden/>
              </w:rPr>
              <w:t>4</w:t>
            </w:r>
            <w:r w:rsidR="00AB0283">
              <w:rPr>
                <w:noProof/>
                <w:webHidden/>
              </w:rPr>
              <w:fldChar w:fldCharType="end"/>
            </w:r>
          </w:hyperlink>
        </w:p>
        <w:p w:rsidR="00AB0283" w:rsidRDefault="0062702E">
          <w:pPr>
            <w:pStyle w:val="TOC1"/>
            <w:tabs>
              <w:tab w:val="right" w:leader="dot" w:pos="9350"/>
            </w:tabs>
            <w:rPr>
              <w:rFonts w:asciiTheme="minorHAnsi" w:eastAsiaTheme="minorEastAsia" w:hAnsiTheme="minorHAnsi"/>
              <w:noProof/>
              <w:color w:val="auto"/>
              <w:sz w:val="22"/>
            </w:rPr>
          </w:pPr>
          <w:hyperlink w:anchor="_Toc103206037" w:history="1">
            <w:r w:rsidR="00AB0283" w:rsidRPr="00D71156">
              <w:rPr>
                <w:rStyle w:val="Hyperlink"/>
                <w:noProof/>
              </w:rPr>
              <w:t>Practices of Beyond Youth Custody</w:t>
            </w:r>
            <w:r w:rsidR="00AB0283">
              <w:rPr>
                <w:noProof/>
                <w:webHidden/>
              </w:rPr>
              <w:tab/>
            </w:r>
            <w:r w:rsidR="00AB0283">
              <w:rPr>
                <w:noProof/>
                <w:webHidden/>
              </w:rPr>
              <w:fldChar w:fldCharType="begin"/>
            </w:r>
            <w:r w:rsidR="00AB0283">
              <w:rPr>
                <w:noProof/>
                <w:webHidden/>
              </w:rPr>
              <w:instrText xml:space="preserve"> PAGEREF _Toc103206037 \h </w:instrText>
            </w:r>
            <w:r w:rsidR="00AB0283">
              <w:rPr>
                <w:noProof/>
                <w:webHidden/>
              </w:rPr>
            </w:r>
            <w:r w:rsidR="00AB0283">
              <w:rPr>
                <w:noProof/>
                <w:webHidden/>
              </w:rPr>
              <w:fldChar w:fldCharType="separate"/>
            </w:r>
            <w:r w:rsidR="00AB0283">
              <w:rPr>
                <w:noProof/>
                <w:webHidden/>
              </w:rPr>
              <w:t>5</w:t>
            </w:r>
            <w:r w:rsidR="00AB0283">
              <w:rPr>
                <w:noProof/>
                <w:webHidden/>
              </w:rPr>
              <w:fldChar w:fldCharType="end"/>
            </w:r>
          </w:hyperlink>
        </w:p>
        <w:p w:rsidR="00AB0283" w:rsidRDefault="0062702E">
          <w:pPr>
            <w:pStyle w:val="TOC1"/>
            <w:tabs>
              <w:tab w:val="right" w:leader="dot" w:pos="9350"/>
            </w:tabs>
            <w:rPr>
              <w:rFonts w:asciiTheme="minorHAnsi" w:eastAsiaTheme="minorEastAsia" w:hAnsiTheme="minorHAnsi"/>
              <w:noProof/>
              <w:color w:val="auto"/>
              <w:sz w:val="22"/>
            </w:rPr>
          </w:pPr>
          <w:hyperlink w:anchor="_Toc103206038" w:history="1">
            <w:r w:rsidR="00AB0283" w:rsidRPr="00D71156">
              <w:rPr>
                <w:rStyle w:val="Hyperlink"/>
                <w:noProof/>
              </w:rPr>
              <w:t>Beyond Youth Custody and Ben Kinsella Trust</w:t>
            </w:r>
            <w:r w:rsidR="00AB0283">
              <w:rPr>
                <w:noProof/>
                <w:webHidden/>
              </w:rPr>
              <w:tab/>
            </w:r>
            <w:r w:rsidR="00AB0283">
              <w:rPr>
                <w:noProof/>
                <w:webHidden/>
              </w:rPr>
              <w:fldChar w:fldCharType="begin"/>
            </w:r>
            <w:r w:rsidR="00AB0283">
              <w:rPr>
                <w:noProof/>
                <w:webHidden/>
              </w:rPr>
              <w:instrText xml:space="preserve"> PAGEREF _Toc103206038 \h </w:instrText>
            </w:r>
            <w:r w:rsidR="00AB0283">
              <w:rPr>
                <w:noProof/>
                <w:webHidden/>
              </w:rPr>
            </w:r>
            <w:r w:rsidR="00AB0283">
              <w:rPr>
                <w:noProof/>
                <w:webHidden/>
              </w:rPr>
              <w:fldChar w:fldCharType="separate"/>
            </w:r>
            <w:r w:rsidR="00AB0283">
              <w:rPr>
                <w:noProof/>
                <w:webHidden/>
              </w:rPr>
              <w:t>6</w:t>
            </w:r>
            <w:r w:rsidR="00AB0283">
              <w:rPr>
                <w:noProof/>
                <w:webHidden/>
              </w:rPr>
              <w:fldChar w:fldCharType="end"/>
            </w:r>
          </w:hyperlink>
        </w:p>
        <w:p w:rsidR="00AB0283" w:rsidRDefault="0062702E">
          <w:pPr>
            <w:pStyle w:val="TOC1"/>
            <w:tabs>
              <w:tab w:val="right" w:leader="dot" w:pos="9350"/>
            </w:tabs>
            <w:rPr>
              <w:rFonts w:asciiTheme="minorHAnsi" w:eastAsiaTheme="minorEastAsia" w:hAnsiTheme="minorHAnsi"/>
              <w:noProof/>
              <w:color w:val="auto"/>
              <w:sz w:val="22"/>
            </w:rPr>
          </w:pPr>
          <w:hyperlink w:anchor="_Toc103206039" w:history="1">
            <w:r w:rsidR="00AB0283" w:rsidRPr="00D71156">
              <w:rPr>
                <w:rStyle w:val="Hyperlink"/>
                <w:noProof/>
              </w:rPr>
              <w:t>Consultation, communication, participation of stakeholders, and inclusion</w:t>
            </w:r>
            <w:r w:rsidR="00AB0283">
              <w:rPr>
                <w:noProof/>
                <w:webHidden/>
              </w:rPr>
              <w:tab/>
            </w:r>
            <w:r w:rsidR="00AB0283">
              <w:rPr>
                <w:noProof/>
                <w:webHidden/>
              </w:rPr>
              <w:fldChar w:fldCharType="begin"/>
            </w:r>
            <w:r w:rsidR="00AB0283">
              <w:rPr>
                <w:noProof/>
                <w:webHidden/>
              </w:rPr>
              <w:instrText xml:space="preserve"> PAGEREF _Toc103206039 \h </w:instrText>
            </w:r>
            <w:r w:rsidR="00AB0283">
              <w:rPr>
                <w:noProof/>
                <w:webHidden/>
              </w:rPr>
            </w:r>
            <w:r w:rsidR="00AB0283">
              <w:rPr>
                <w:noProof/>
                <w:webHidden/>
              </w:rPr>
              <w:fldChar w:fldCharType="separate"/>
            </w:r>
            <w:r w:rsidR="00AB0283">
              <w:rPr>
                <w:noProof/>
                <w:webHidden/>
              </w:rPr>
              <w:t>7</w:t>
            </w:r>
            <w:r w:rsidR="00AB0283">
              <w:rPr>
                <w:noProof/>
                <w:webHidden/>
              </w:rPr>
              <w:fldChar w:fldCharType="end"/>
            </w:r>
          </w:hyperlink>
        </w:p>
        <w:p w:rsidR="00AB0283" w:rsidRDefault="0062702E">
          <w:pPr>
            <w:pStyle w:val="TOC1"/>
            <w:tabs>
              <w:tab w:val="right" w:leader="dot" w:pos="9350"/>
            </w:tabs>
            <w:rPr>
              <w:rFonts w:asciiTheme="minorHAnsi" w:eastAsiaTheme="minorEastAsia" w:hAnsiTheme="minorHAnsi"/>
              <w:noProof/>
              <w:color w:val="auto"/>
              <w:sz w:val="22"/>
            </w:rPr>
          </w:pPr>
          <w:hyperlink w:anchor="_Toc103206040" w:history="1">
            <w:r w:rsidR="00AB0283" w:rsidRPr="00D71156">
              <w:rPr>
                <w:rStyle w:val="Hyperlink"/>
                <w:noProof/>
              </w:rPr>
              <w:t>Conclusion</w:t>
            </w:r>
            <w:r w:rsidR="00AB0283">
              <w:rPr>
                <w:noProof/>
                <w:webHidden/>
              </w:rPr>
              <w:tab/>
            </w:r>
            <w:r w:rsidR="00AB0283">
              <w:rPr>
                <w:noProof/>
                <w:webHidden/>
              </w:rPr>
              <w:fldChar w:fldCharType="begin"/>
            </w:r>
            <w:r w:rsidR="00AB0283">
              <w:rPr>
                <w:noProof/>
                <w:webHidden/>
              </w:rPr>
              <w:instrText xml:space="preserve"> PAGEREF _Toc103206040 \h </w:instrText>
            </w:r>
            <w:r w:rsidR="00AB0283">
              <w:rPr>
                <w:noProof/>
                <w:webHidden/>
              </w:rPr>
            </w:r>
            <w:r w:rsidR="00AB0283">
              <w:rPr>
                <w:noProof/>
                <w:webHidden/>
              </w:rPr>
              <w:fldChar w:fldCharType="separate"/>
            </w:r>
            <w:r w:rsidR="00AB0283">
              <w:rPr>
                <w:noProof/>
                <w:webHidden/>
              </w:rPr>
              <w:t>8</w:t>
            </w:r>
            <w:r w:rsidR="00AB0283">
              <w:rPr>
                <w:noProof/>
                <w:webHidden/>
              </w:rPr>
              <w:fldChar w:fldCharType="end"/>
            </w:r>
          </w:hyperlink>
        </w:p>
        <w:p w:rsidR="00AB0283" w:rsidRDefault="0062702E">
          <w:pPr>
            <w:pStyle w:val="TOC1"/>
            <w:tabs>
              <w:tab w:val="right" w:leader="dot" w:pos="9350"/>
            </w:tabs>
            <w:rPr>
              <w:rFonts w:asciiTheme="minorHAnsi" w:eastAsiaTheme="minorEastAsia" w:hAnsiTheme="minorHAnsi"/>
              <w:noProof/>
              <w:color w:val="auto"/>
              <w:sz w:val="22"/>
            </w:rPr>
          </w:pPr>
          <w:hyperlink w:anchor="_Toc103206041" w:history="1">
            <w:r w:rsidR="00AB0283" w:rsidRPr="00D71156">
              <w:rPr>
                <w:rStyle w:val="Hyperlink"/>
                <w:noProof/>
              </w:rPr>
              <w:t>References</w:t>
            </w:r>
            <w:r w:rsidR="00AB0283">
              <w:rPr>
                <w:noProof/>
                <w:webHidden/>
              </w:rPr>
              <w:tab/>
            </w:r>
            <w:r w:rsidR="00AB0283">
              <w:rPr>
                <w:noProof/>
                <w:webHidden/>
              </w:rPr>
              <w:fldChar w:fldCharType="begin"/>
            </w:r>
            <w:r w:rsidR="00AB0283">
              <w:rPr>
                <w:noProof/>
                <w:webHidden/>
              </w:rPr>
              <w:instrText xml:space="preserve"> PAGEREF _Toc103206041 \h </w:instrText>
            </w:r>
            <w:r w:rsidR="00AB0283">
              <w:rPr>
                <w:noProof/>
                <w:webHidden/>
              </w:rPr>
            </w:r>
            <w:r w:rsidR="00AB0283">
              <w:rPr>
                <w:noProof/>
                <w:webHidden/>
              </w:rPr>
              <w:fldChar w:fldCharType="separate"/>
            </w:r>
            <w:r w:rsidR="00AB0283">
              <w:rPr>
                <w:noProof/>
                <w:webHidden/>
              </w:rPr>
              <w:t>9</w:t>
            </w:r>
            <w:r w:rsidR="00AB0283">
              <w:rPr>
                <w:noProof/>
                <w:webHidden/>
              </w:rPr>
              <w:fldChar w:fldCharType="end"/>
            </w:r>
          </w:hyperlink>
        </w:p>
        <w:p w:rsidR="00D51770" w:rsidRDefault="00D51770">
          <w:r>
            <w:rPr>
              <w:b/>
              <w:bCs/>
              <w:noProof/>
            </w:rPr>
            <w:fldChar w:fldCharType="end"/>
          </w:r>
        </w:p>
      </w:sdtContent>
    </w:sdt>
    <w:p w:rsidR="005E2421" w:rsidRDefault="005E2421">
      <w:pPr>
        <w:spacing w:line="259" w:lineRule="auto"/>
        <w:jc w:val="left"/>
      </w:pPr>
      <w:r>
        <w:br w:type="page"/>
      </w:r>
    </w:p>
    <w:p w:rsidR="004D1D1E" w:rsidRDefault="005E2421" w:rsidP="005E2421">
      <w:pPr>
        <w:pStyle w:val="Heading1"/>
      </w:pPr>
      <w:bookmarkStart w:id="1" w:name="_Toc103206034"/>
      <w:r>
        <w:lastRenderedPageBreak/>
        <w:t>Introduction</w:t>
      </w:r>
      <w:bookmarkEnd w:id="1"/>
    </w:p>
    <w:p w:rsidR="002B374B" w:rsidRPr="003C3C34" w:rsidRDefault="000B7B99" w:rsidP="003E27A8">
      <w:r w:rsidRPr="000B7B99">
        <w:t>The Community Engagement Program focuses and intended to maintain racial and religious peace, encourages diversity, and emphasizes the need of being connected. All social activities focus on the concept of community (</w:t>
      </w:r>
      <w:proofErr w:type="spellStart"/>
      <w:r w:rsidRPr="000B7B99">
        <w:t>Life@SP</w:t>
      </w:r>
      <w:proofErr w:type="spellEnd"/>
      <w:r w:rsidRPr="000B7B99">
        <w:t xml:space="preserve">, 2020). There is no one meaning of the term that is applicable in all circumstances. Community is the teaming all together individuals who are linked together by physical proximity, a common interest, or a common circumstance in order to resolve issues that impact the welfare and growth of those individuals. From a developmental standpoint, community involvement serves a greater collective goal than the individual. The government, companies, and non-profit organizations are the primary forces of societal change today. Communities are engaged when these important individuals and different community stakeholders get all together to have substantive interactions, adopt powerful strategies, create and execute plans and programs collaboratively around shared </w:t>
      </w:r>
      <w:r w:rsidRPr="009F18B0">
        <w:t>ideas, objectives and goals. This is when the notion of Community Engagement comes into action (</w:t>
      </w:r>
      <w:proofErr w:type="spellStart"/>
      <w:r w:rsidRPr="009F18B0">
        <w:t>Shrivastava</w:t>
      </w:r>
      <w:proofErr w:type="spellEnd"/>
      <w:r w:rsidRPr="009F18B0">
        <w:t>, 2021</w:t>
      </w:r>
      <w:r w:rsidRPr="000B7B99">
        <w:t>). In the assessment 1, I have discussed about the activities of Ben Kinsella Trust. Ben Kinsella Trust is a foundation which works to control knife crime in U</w:t>
      </w:r>
      <w:r w:rsidR="00D46A24">
        <w:t>K. B</w:t>
      </w:r>
      <w:r w:rsidRPr="000B7B99">
        <w:t xml:space="preserve">est practices and activities regarding knife crimes committed by young people on various streets in many areas were described in detail in Assessment 1 also. </w:t>
      </w:r>
      <w:r w:rsidR="00090FCD">
        <w:t xml:space="preserve">Nevertheless, in assessment 2, </w:t>
      </w:r>
      <w:r w:rsidRPr="000B7B99">
        <w:t>I am going to discuss about another community engagement program, charitable organization</w:t>
      </w:r>
      <w:r w:rsidR="00A1383C">
        <w:t xml:space="preserve"> named ‘Beyond Youth Custody’</w:t>
      </w:r>
      <w:r w:rsidRPr="000B7B99">
        <w:t xml:space="preserve"> which is focused to the reunification of young people who have been released from detention centers (</w:t>
      </w:r>
      <w:r w:rsidR="00977DF8" w:rsidRPr="00A11512">
        <w:rPr>
          <w:szCs w:val="24"/>
          <w:shd w:val="clear" w:color="auto" w:fill="FFFFFF"/>
        </w:rPr>
        <w:t>GOODFELLOW</w:t>
      </w:r>
      <w:r w:rsidR="00835A0E">
        <w:t xml:space="preserve"> </w:t>
      </w:r>
      <w:r w:rsidRPr="000B7B99">
        <w:t>et al., 2015). </w:t>
      </w:r>
      <w:r w:rsidR="00500803">
        <w:t xml:space="preserve">I have also discussed about the compare and contrasts of both projects and </w:t>
      </w:r>
      <w:r w:rsidR="003C3C34">
        <w:t>also discussed about what differences might have carried out in the program</w:t>
      </w:r>
      <w:r w:rsidR="006F3E35">
        <w:t>s</w:t>
      </w:r>
      <w:r w:rsidR="003C3C34">
        <w:t xml:space="preserve">.  </w:t>
      </w:r>
    </w:p>
    <w:p w:rsidR="006354F6" w:rsidRDefault="006354F6">
      <w:pPr>
        <w:spacing w:line="259" w:lineRule="auto"/>
        <w:jc w:val="left"/>
        <w:rPr>
          <w:rFonts w:eastAsiaTheme="majorEastAsia" w:cstheme="majorBidi"/>
          <w:b/>
          <w:sz w:val="32"/>
          <w:szCs w:val="32"/>
        </w:rPr>
      </w:pPr>
      <w:r>
        <w:br w:type="page"/>
      </w:r>
    </w:p>
    <w:p w:rsidR="003408F1" w:rsidRDefault="00B868C7" w:rsidP="005E2421">
      <w:pPr>
        <w:pStyle w:val="Heading1"/>
      </w:pPr>
      <w:bookmarkStart w:id="2" w:name="_Toc103206035"/>
      <w:r>
        <w:lastRenderedPageBreak/>
        <w:t>Coordination of</w:t>
      </w:r>
      <w:r w:rsidR="005E2421">
        <w:t xml:space="preserve"> a community engagement </w:t>
      </w:r>
      <w:proofErr w:type="spellStart"/>
      <w:r w:rsidR="005E2421">
        <w:t>programme</w:t>
      </w:r>
      <w:proofErr w:type="spellEnd"/>
      <w:r>
        <w:t xml:space="preserve"> effectively</w:t>
      </w:r>
      <w:bookmarkEnd w:id="2"/>
    </w:p>
    <w:p w:rsidR="00FE460D" w:rsidRDefault="00AE4CA2" w:rsidP="003E27A8">
      <w:pPr>
        <w:rPr>
          <w:shd w:val="clear" w:color="auto" w:fill="FFFFFF"/>
        </w:rPr>
      </w:pPr>
      <w:r w:rsidRPr="009F18B0">
        <w:t>Communities engage</w:t>
      </w:r>
      <w:r w:rsidR="006354F6" w:rsidRPr="009F18B0">
        <w:t xml:space="preserve"> for a purpose whenever they see leaders and specialists with a clear vision and a clear desire to make a difference</w:t>
      </w:r>
      <w:r w:rsidR="00B933CB" w:rsidRPr="009F18B0">
        <w:t xml:space="preserve"> (Hussey, 2021)</w:t>
      </w:r>
      <w:r w:rsidR="006354F6" w:rsidRPr="009F18B0">
        <w:t>. A strong foundation of beliefs, values, and action plans must underpin effective community involvement, and the method of engagement must be attentive to the society and include representatives</w:t>
      </w:r>
      <w:r w:rsidR="006354F6" w:rsidRPr="006354F6">
        <w:rPr>
          <w:shd w:val="clear" w:color="auto" w:fill="FFFFFF"/>
        </w:rPr>
        <w:t xml:space="preserve"> from a varied variety of organizations within a community.</w:t>
      </w:r>
    </w:p>
    <w:p w:rsidR="00E92957" w:rsidRDefault="00E92957" w:rsidP="00E92957">
      <w:pPr>
        <w:pStyle w:val="Heading1"/>
      </w:pPr>
      <w:bookmarkStart w:id="3" w:name="_Toc81508926"/>
      <w:bookmarkStart w:id="4" w:name="_Toc103206036"/>
      <w:r>
        <w:t>Beyond Youth Custody</w:t>
      </w:r>
      <w:bookmarkEnd w:id="3"/>
      <w:bookmarkEnd w:id="4"/>
    </w:p>
    <w:p w:rsidR="003147C3" w:rsidRDefault="00023AE3" w:rsidP="00E92957">
      <w:r w:rsidRPr="00023AE3">
        <w:t xml:space="preserve">Beyond Youth Custody is a charity organization that is administered by the well-known organization Big Lottery Fund. Through this program, several efforts were launched to promote better thinking policy in order to ensure that young people who are leaving custody get appropriate resettlement. Beyond Youth Custody has conducted a study to determine why resettlement methods have not improved despite the fact that we recognize how they function and have the necessary information to provide suitable shelter and educational placements. This initiative is supported by the National Crops Research Institute, the ARCS, and also the University of Bedfordshire, in additional to BLF. Because of the severity of the situation, the charity initiative has been operating for nearly 6 years running. Over the course of the program, it has been determined that although not entirely unsuccessful, the orientation program is effective in certain circumstances if the activities </w:t>
      </w:r>
      <w:r w:rsidRPr="009F18B0">
        <w:t xml:space="preserve">include a young person's </w:t>
      </w:r>
      <w:r w:rsidR="003147C3" w:rsidRPr="009F18B0">
        <w:t>self-development</w:t>
      </w:r>
      <w:r w:rsidRPr="009F18B0">
        <w:t xml:space="preserve"> on</w:t>
      </w:r>
      <w:r w:rsidR="003147C3" w:rsidRPr="009F18B0">
        <w:t xml:space="preserve"> the</w:t>
      </w:r>
      <w:r w:rsidRPr="009F18B0">
        <w:t> journey. Furthermore, the program initially started continue providing support to ensure positive child justice, and in collaboration with this program , the Ministry of Justice became involved directly with the program because the BYC model appeared to be positive and they placed a high value on bringing change, which they have emphasized</w:t>
      </w:r>
      <w:r w:rsidR="00C2544D" w:rsidRPr="009F18B0">
        <w:t xml:space="preserve"> (</w:t>
      </w:r>
      <w:proofErr w:type="spellStart"/>
      <w:r w:rsidR="00C2544D" w:rsidRPr="009F18B0">
        <w:t>Nacro</w:t>
      </w:r>
      <w:proofErr w:type="spellEnd"/>
      <w:r w:rsidR="00C2544D" w:rsidRPr="009F18B0">
        <w:t>, 2017)</w:t>
      </w:r>
      <w:r w:rsidRPr="009F18B0">
        <w:t>. In order to help young people develop a pro-social identity, the charity highlighted their skills and talents</w:t>
      </w:r>
      <w:r w:rsidRPr="00023AE3">
        <w:t xml:space="preserve">, which assisted </w:t>
      </w:r>
      <w:r w:rsidR="009457C4">
        <w:t>them in doing so.</w:t>
      </w:r>
    </w:p>
    <w:p w:rsidR="009802F9" w:rsidRPr="00123787" w:rsidRDefault="00E71360" w:rsidP="00123787">
      <w:r w:rsidRPr="00E71360">
        <w:rPr>
          <w:rFonts w:eastAsia="Times New Roman" w:cs="Times New Roman"/>
          <w:color w:val="FF0000"/>
          <w:szCs w:val="24"/>
        </w:rPr>
        <w:t>‌</w:t>
      </w:r>
      <w:bookmarkStart w:id="5" w:name="_Toc81508927"/>
      <w:r w:rsidR="002F339A" w:rsidRPr="00123787">
        <w:t xml:space="preserve">The program has really been designed in a manner that it will have a bigger impact on the lives of thousands of children than it would otherwise have. In order to better understand what needs to change in order to further promote post-YOI resettlement, the task's evidence will be based on youths' experiences, and youths will be involved in the task's examination, exchanges, and venture the board. Investigating and exchanging are designed to build on each other. Firstly, investigation will be influenced by the need to communicate effectively with the project's </w:t>
      </w:r>
      <w:r w:rsidR="002F339A" w:rsidRPr="00123787">
        <w:lastRenderedPageBreak/>
        <w:t>partners and audiences, and correspondences will be founded on outstanding and critical evidence</w:t>
      </w:r>
      <w:r w:rsidR="009B778A" w:rsidRPr="00123787">
        <w:t xml:space="preserve"> (GOODFELLOW et al., 2022)</w:t>
      </w:r>
      <w:r w:rsidR="002F339A" w:rsidRPr="00123787">
        <w:t>. It provides a comprehensive evaluation of YIF initiatives as a whole, with the</w:t>
      </w:r>
      <w:r w:rsidR="002F339A" w:rsidRPr="002F339A">
        <w:t xml:space="preserve"> purpose of comparing and differentiating distinct approaches of the projects.</w:t>
      </w:r>
    </w:p>
    <w:p w:rsidR="0086659F" w:rsidRDefault="00E92957" w:rsidP="0086659F">
      <w:pPr>
        <w:pStyle w:val="Heading1"/>
      </w:pPr>
      <w:bookmarkStart w:id="6" w:name="_Toc103206037"/>
      <w:r>
        <w:t xml:space="preserve">Practices of </w:t>
      </w:r>
      <w:bookmarkStart w:id="7" w:name="_Toc81508928"/>
      <w:bookmarkEnd w:id="5"/>
      <w:r w:rsidR="0086659F">
        <w:t>Beyond Youth Custody</w:t>
      </w:r>
      <w:bookmarkEnd w:id="6"/>
    </w:p>
    <w:p w:rsidR="008E1CFD" w:rsidRDefault="002A58D8" w:rsidP="0086659F">
      <w:r w:rsidRPr="002A58D8">
        <w:t>As previously said, the initiative is primarily concerned with bringing about improvements in the resettlement activities for young people, and as a result, they have developed several best practices in this area. Their goal should be to id</w:t>
      </w:r>
      <w:r w:rsidRPr="00123787">
        <w:t xml:space="preserve">entify </w:t>
      </w:r>
      <w:r w:rsidRPr="002A58D8">
        <w:t xml:space="preserve">what approaches are most effective under what conditions and for what types of young people. After obtaining this information, they must determine what actions they must do in order to resolve the problem for a certain juvenile population. Furthermore, they start research and </w:t>
      </w:r>
      <w:r w:rsidRPr="00C1259F">
        <w:t>publicize their resources, both of which are critical to bringing about change in the world</w:t>
      </w:r>
      <w:r w:rsidR="00123787" w:rsidRPr="00C1259F">
        <w:t xml:space="preserve"> (</w:t>
      </w:r>
      <w:proofErr w:type="spellStart"/>
      <w:r w:rsidR="00123787" w:rsidRPr="00C1259F">
        <w:t>Creaney</w:t>
      </w:r>
      <w:proofErr w:type="spellEnd"/>
      <w:r w:rsidR="00123787" w:rsidRPr="00C1259F">
        <w:t xml:space="preserve"> and Case, 2017)</w:t>
      </w:r>
      <w:r w:rsidRPr="00C1259F">
        <w:t>. The</w:t>
      </w:r>
      <w:r w:rsidRPr="002A58D8">
        <w:t xml:space="preserve"> charity program will have to operate in a situation where they'll have to bringing about reforms in the youth, child and criminal justice areas, and they would not be able to rely on lower-quality information in order to achieve those goals.</w:t>
      </w:r>
    </w:p>
    <w:bookmarkEnd w:id="7"/>
    <w:p w:rsidR="007C35CA" w:rsidRDefault="000C4426" w:rsidP="00E92957">
      <w:pPr>
        <w:pStyle w:val="ListParagraph"/>
        <w:numPr>
          <w:ilvl w:val="0"/>
          <w:numId w:val="3"/>
        </w:numPr>
      </w:pPr>
      <w:r>
        <w:t>Personal support</w:t>
      </w:r>
      <w:r w:rsidR="008E1CFD" w:rsidRPr="008E1CFD">
        <w:t xml:space="preserve"> is the most crucial of the Beyond Youth Custody's best practices, and it is in this area that the charity initiates programs to help the youth's developmental process. Here, the organization creates a supportive atmosphere for the youngsters by providing socializing and supervision well with assistance of a professional who can lead their </w:t>
      </w:r>
      <w:r w:rsidR="00AD2CE0" w:rsidRPr="008E1CFD">
        <w:t>self-development</w:t>
      </w:r>
      <w:r w:rsidR="008E1CFD" w:rsidRPr="008E1CFD">
        <w:t>. The organization is working on developing certain hooks that will allow the youngsters to establish a sense o</w:t>
      </w:r>
      <w:r w:rsidR="00B933CB">
        <w:t>f self - identity</w:t>
      </w:r>
      <w:r w:rsidR="008E1CFD" w:rsidRPr="008E1CFD">
        <w:t>.</w:t>
      </w:r>
      <w:r w:rsidR="00E92957">
        <w:t xml:space="preserve"> </w:t>
      </w:r>
      <w:bookmarkStart w:id="8" w:name="_Toc81508929"/>
      <w:r w:rsidR="00495173" w:rsidRPr="00495173">
        <w:t xml:space="preserve">A notable age, for example, 15 years or 18 years old. In </w:t>
      </w:r>
      <w:proofErr w:type="gramStart"/>
      <w:r w:rsidR="00495173" w:rsidRPr="00495173">
        <w:t>this stages</w:t>
      </w:r>
      <w:proofErr w:type="gramEnd"/>
      <w:r w:rsidR="00495173" w:rsidRPr="00495173">
        <w:t xml:space="preserve">, young people have a different thinking process. Such as, the person is adult </w:t>
      </w:r>
      <w:proofErr w:type="gramStart"/>
      <w:r w:rsidR="00495173" w:rsidRPr="00495173">
        <w:t>now,</w:t>
      </w:r>
      <w:proofErr w:type="gramEnd"/>
      <w:r w:rsidR="00495173" w:rsidRPr="00495173">
        <w:t xml:space="preserve"> and s/he growing more mature as a responsible </w:t>
      </w:r>
      <w:r w:rsidR="00495173" w:rsidRPr="00C1259F">
        <w:t>person</w:t>
      </w:r>
      <w:r w:rsidR="00CF09D5" w:rsidRPr="00C1259F">
        <w:t xml:space="preserve"> (Bateman, 2020).</w:t>
      </w:r>
      <w:r w:rsidR="00495173" w:rsidRPr="00495173">
        <w:t>  Other hooks include things like moving away from home, new relation, having new phase, taking on a new career and responsibilities, and many others.</w:t>
      </w:r>
      <w:bookmarkStart w:id="9" w:name="_Toc81508930"/>
      <w:bookmarkEnd w:id="8"/>
    </w:p>
    <w:p w:rsidR="002B659B" w:rsidRDefault="002B79D6" w:rsidP="00E92957">
      <w:pPr>
        <w:pStyle w:val="ListParagraph"/>
        <w:numPr>
          <w:ilvl w:val="0"/>
          <w:numId w:val="3"/>
        </w:numPr>
      </w:pPr>
      <w:r w:rsidRPr="007C35CA">
        <w:t xml:space="preserve">The charitable organization's primary objective under this method is to assist the youth in their search for self. Here, the program gives some vital and practical help that is quite important for the adolescents, such as housing, schooling, and even practice facilities. This is the phase of setting personal support in place that is known as the project implementation. They begin this structural assistance on basis of four frequent inquiries that were discussed </w:t>
      </w:r>
      <w:r w:rsidRPr="007C35CA">
        <w:lastRenderedPageBreak/>
        <w:t>previously mostly in personal support part of this manu</w:t>
      </w:r>
      <w:r w:rsidR="00B933CB">
        <w:t>al</w:t>
      </w:r>
      <w:r w:rsidRPr="007C35CA">
        <w:t xml:space="preserve">. All Structural Support provided should be continuously changed and tailored to the plans developed in the context of Personal Support. Professionals should be able to </w:t>
      </w:r>
      <w:r w:rsidRPr="00C1259F">
        <w:t>demonstrate to the youth how any effective plans will aid them in becoming the person they want to be</w:t>
      </w:r>
      <w:r w:rsidR="00F516C3" w:rsidRPr="00C1259F">
        <w:t xml:space="preserve"> (Bateman, 2020).</w:t>
      </w:r>
      <w:r w:rsidRPr="007C35CA">
        <w:t xml:space="preserve"> In the case that effective game plans are established that are unrelated to where the child sees themselves heading, they are less likely to want to join in with them. For instance, a good-natured YOT representative may have identified an instructional session to be a door in growth; yet, this is unlikely to attract a youngster with Personal Support has supported them in recognizing a vision and as programs to b</w:t>
      </w:r>
      <w:r w:rsidR="00B933CB">
        <w:t>e an entrepreneur</w:t>
      </w:r>
      <w:r w:rsidRPr="007C35CA">
        <w:t>.</w:t>
      </w:r>
    </w:p>
    <w:p w:rsidR="00E92957" w:rsidRDefault="0077416E" w:rsidP="00E92957">
      <w:pPr>
        <w:pStyle w:val="Heading1"/>
      </w:pPr>
      <w:bookmarkStart w:id="10" w:name="_Toc103206038"/>
      <w:r>
        <w:t xml:space="preserve">Beyond Youth Custody and </w:t>
      </w:r>
      <w:r w:rsidR="00E92957">
        <w:t>Ben Kinsella Trust</w:t>
      </w:r>
      <w:bookmarkEnd w:id="9"/>
      <w:bookmarkEnd w:id="10"/>
    </w:p>
    <w:p w:rsidR="00AA7F54" w:rsidRPr="009F18B0" w:rsidRDefault="008906A4" w:rsidP="009F18B0">
      <w:r w:rsidRPr="008906A4">
        <w:t xml:space="preserve">In assessment 1 of this module, I have carried out my research and analysis about Ben Kinsella Trust. </w:t>
      </w:r>
      <w:proofErr w:type="gramStart"/>
      <w:r w:rsidRPr="008906A4">
        <w:t xml:space="preserve">Their programs and activities to control knife crime among young people on the streets of many cities, </w:t>
      </w:r>
      <w:r w:rsidR="00C571C4" w:rsidRPr="008906A4">
        <w:t>especially</w:t>
      </w:r>
      <w:r w:rsidRPr="008906A4">
        <w:t xml:space="preserve"> on London.</w:t>
      </w:r>
      <w:proofErr w:type="gramEnd"/>
      <w:r w:rsidRPr="008906A4">
        <w:t xml:space="preserve"> In order to aware people about the seriousness of knife crimes, the initiative organized a variety of seminars in a large number of schools, universities, and community-based organizations. Nevertheless, in the case of assessment 2, I have carried out my research on Beyond Youth Custody, which does not operate in this manner like Ben Kinsella Trust. Beyond Youth </w:t>
      </w:r>
      <w:r w:rsidRPr="009F18B0">
        <w:t>Custody takes custody of the young people through nurturing their personal and structural development</w:t>
      </w:r>
      <w:r w:rsidR="00437921" w:rsidRPr="009F18B0">
        <w:t xml:space="preserve"> (Hazel and Bateman, 2020)</w:t>
      </w:r>
      <w:r w:rsidRPr="009F18B0">
        <w:t>. It was via two different approaches that I discussed in the last evaluation that the Ben Kinsella Trust began implementing its best practices, which are socio-cultural integration, and multi-</w:t>
      </w:r>
      <w:proofErr w:type="spellStart"/>
      <w:r w:rsidRPr="009F18B0">
        <w:t>culturalism</w:t>
      </w:r>
      <w:proofErr w:type="spellEnd"/>
      <w:r w:rsidRPr="009F18B0">
        <w:t>. Among the most important aspects of socio-cultural integration are policy consideration, empowerment, equality, and engagement by the local community. Beyond Youth Custody may readily include this best practice since the major goal is to assist teenagers in reintegrating into society by empowering them, assuring their equal rights, and allowing them to engage in com</w:t>
      </w:r>
      <w:r w:rsidR="00B933CB" w:rsidRPr="009F18B0">
        <w:t>munity activities</w:t>
      </w:r>
      <w:r w:rsidR="00554DAF" w:rsidRPr="009F18B0">
        <w:t xml:space="preserve"> (Hazel and Bateman, 2020).</w:t>
      </w:r>
      <w:r w:rsidRPr="009F18B0">
        <w:t xml:space="preserve"> Although multi-</w:t>
      </w:r>
      <w:proofErr w:type="spellStart"/>
      <w:r w:rsidRPr="009F18B0">
        <w:t>culturalism</w:t>
      </w:r>
      <w:proofErr w:type="spellEnd"/>
      <w:r w:rsidRPr="009F18B0">
        <w:t xml:space="preserve"> is a recommended practice, it is both significant and relevant to the program Beyond Youth Custody. It may be used to benefit youngsters</w:t>
      </w:r>
      <w:r w:rsidRPr="008906A4">
        <w:t xml:space="preserve"> who are from diverse cultural backgrounds. Because various cultural adolescents need distinct norms and behaviors in order to begin their growth, this best practice might be simply adapted to fit their circumstances. But this approach is primarily intended to help reduce drunkenness, streets crimes, and other criminal offences which are not directly related to the objectives of the </w:t>
      </w:r>
      <w:r w:rsidRPr="008906A4">
        <w:lastRenderedPageBreak/>
        <w:t xml:space="preserve">BYC program. On the other hand, the program </w:t>
      </w:r>
      <w:r w:rsidRPr="009F18B0">
        <w:t>of assessment 1,</w:t>
      </w:r>
      <w:r w:rsidR="005F500C" w:rsidRPr="009F18B0">
        <w:t> t</w:t>
      </w:r>
      <w:r w:rsidR="00DB5ABD" w:rsidRPr="009F18B0">
        <w:t>he</w:t>
      </w:r>
      <w:r w:rsidRPr="009F18B0">
        <w:t xml:space="preserve"> Ben Kinsella Trust is intended to raising awareness among parents and young people about the consequences of knife crime and helping them avoid being involved in it</w:t>
      </w:r>
      <w:r w:rsidR="00554DAF" w:rsidRPr="009F18B0">
        <w:t xml:space="preserve"> (‌Thompson, 2021)</w:t>
      </w:r>
      <w:r w:rsidRPr="009F18B0">
        <w:t>. As</w:t>
      </w:r>
      <w:r w:rsidRPr="008906A4">
        <w:t xml:space="preserve"> a result, there is a fundamental difference between the two programs: one is concerned with developing activities, while the other is concerned with promoting awareness.</w:t>
      </w:r>
    </w:p>
    <w:p w:rsidR="00E86C84" w:rsidRDefault="00E86C84" w:rsidP="00E92957">
      <w:pPr>
        <w:pStyle w:val="Heading1"/>
      </w:pPr>
      <w:bookmarkStart w:id="11" w:name="_Toc103206039"/>
      <w:bookmarkStart w:id="12" w:name="_Toc81508931"/>
      <w:r>
        <w:t>Consultation, communication, participation of stakeholders, and inclusion</w:t>
      </w:r>
      <w:bookmarkEnd w:id="11"/>
    </w:p>
    <w:bookmarkEnd w:id="12"/>
    <w:p w:rsidR="003408F1" w:rsidRPr="004B04B5" w:rsidRDefault="00C571C4" w:rsidP="004B04B5">
      <w:r w:rsidRPr="00C571C4">
        <w:t>A number of programs are being organized by the Ben Kinsella Trust, including many schools and institutions around the country. This will result in a safer environment for all parties involved, as they will be able to travel more freely around the streets. As a result, they are in constant communication with their children's parents and college administrators in order to ensure that they complete the program effectively. As a result, the charity program makes use of social media sites, including </w:t>
      </w:r>
      <w:proofErr w:type="spellStart"/>
      <w:r w:rsidRPr="009F18B0">
        <w:t>Instagram</w:t>
      </w:r>
      <w:proofErr w:type="spellEnd"/>
      <w:r w:rsidRPr="009F18B0">
        <w:t xml:space="preserve">, Facebook, </w:t>
      </w:r>
      <w:proofErr w:type="spellStart"/>
      <w:r w:rsidRPr="009F18B0">
        <w:t>Instagram</w:t>
      </w:r>
      <w:proofErr w:type="spellEnd"/>
      <w:r w:rsidRPr="009F18B0">
        <w:t>, Twitter, and other online mediums. On the other hand,</w:t>
      </w:r>
      <w:r w:rsidR="00F653F9" w:rsidRPr="009F18B0">
        <w:t> Beyond</w:t>
      </w:r>
      <w:r w:rsidRPr="009F18B0">
        <w:t xml:space="preserve"> Youth Custody is concerned mainly with interacting with stakeholders who are the most inclined to make charitable contributions. They have a large number of kids that need relocation, and the organization does not engage in any public education or awareness campaigns</w:t>
      </w:r>
      <w:r w:rsidR="007C598A" w:rsidRPr="009F18B0">
        <w:t xml:space="preserve"> (Hazel and Bateman, 2020).</w:t>
      </w:r>
      <w:r w:rsidRPr="009F18B0">
        <w:t xml:space="preserve"> The organization primarily focuses on initiating personal and structural growth in at-risk kids. This is advantageous to all parties involved since these teenagers will be in charge of the country in the future and therefore will bringing about prosperity for c</w:t>
      </w:r>
      <w:r w:rsidR="00B933CB" w:rsidRPr="009F18B0">
        <w:t>ountry</w:t>
      </w:r>
      <w:r w:rsidRPr="009F18B0">
        <w:t xml:space="preserve">. There are some connections between </w:t>
      </w:r>
      <w:r w:rsidR="00F653F9" w:rsidRPr="009F18B0">
        <w:t>the approaches</w:t>
      </w:r>
      <w:r w:rsidRPr="009F18B0">
        <w:t xml:space="preserve"> of the programs because they both strive to bring about positive</w:t>
      </w:r>
      <w:r w:rsidRPr="00C571C4">
        <w:t xml:space="preserve"> change in the society through interacting with youngsters who are engaged in criminal activity. In order to safeguard the stakeholders, the </w:t>
      </w:r>
      <w:proofErr w:type="gramStart"/>
      <w:r w:rsidRPr="00C571C4">
        <w:t>programs of Ben Kinsella Trust aims</w:t>
      </w:r>
      <w:proofErr w:type="gramEnd"/>
      <w:r w:rsidRPr="00C571C4">
        <w:t> to raise awareness among young people, their parents and the general public. BYC put the effect of their activities by launching a resettlement program for young peoples who already committed the crime and wasted their important time in prison. BYC is defending the interests of all parties involved. Given the fact that both charities rely on donations and volunteer activities, both programs need more engagement from stakeholders.</w:t>
      </w:r>
    </w:p>
    <w:p w:rsidR="009F18B0" w:rsidRDefault="009F18B0">
      <w:pPr>
        <w:spacing w:line="259" w:lineRule="auto"/>
        <w:jc w:val="left"/>
        <w:rPr>
          <w:rFonts w:eastAsiaTheme="majorEastAsia" w:cstheme="majorBidi"/>
          <w:b/>
          <w:sz w:val="32"/>
          <w:szCs w:val="32"/>
        </w:rPr>
      </w:pPr>
      <w:r>
        <w:br w:type="page"/>
      </w:r>
    </w:p>
    <w:p w:rsidR="003408F1" w:rsidRDefault="003408F1" w:rsidP="005E2421">
      <w:pPr>
        <w:pStyle w:val="Heading1"/>
      </w:pPr>
      <w:bookmarkStart w:id="13" w:name="_Toc103206040"/>
      <w:r>
        <w:lastRenderedPageBreak/>
        <w:t>Conclusion</w:t>
      </w:r>
      <w:bookmarkEnd w:id="13"/>
    </w:p>
    <w:p w:rsidR="003408F1" w:rsidRDefault="0056502F" w:rsidP="00870F65">
      <w:pPr>
        <w:rPr>
          <w:rFonts w:eastAsiaTheme="majorEastAsia" w:cstheme="majorBidi"/>
          <w:b/>
          <w:sz w:val="32"/>
          <w:szCs w:val="32"/>
        </w:rPr>
      </w:pPr>
      <w:r w:rsidRPr="0056502F">
        <w:rPr>
          <w:shd w:val="clear" w:color="auto" w:fill="FFFFFF"/>
        </w:rPr>
        <w:t xml:space="preserve">Community engagement is seen to benefit the community and it is a humbling and learning process for the professionals and change agents involved. Even while research, </w:t>
      </w:r>
      <w:proofErr w:type="gramStart"/>
      <w:r w:rsidRPr="0056502F">
        <w:rPr>
          <w:shd w:val="clear" w:color="auto" w:fill="FFFFFF"/>
        </w:rPr>
        <w:t>skill, as well as professional judgment are</w:t>
      </w:r>
      <w:proofErr w:type="gramEnd"/>
      <w:r w:rsidRPr="0056502F">
        <w:rPr>
          <w:shd w:val="clear" w:color="auto" w:fill="FFFFFF"/>
        </w:rPr>
        <w:t xml:space="preserve"> required for effective community involvement, it is the goal, the linkage of theories with impact, and the correlation of possibilities and opportunities with their respective contexts that engage with the people of the community.  BYC works to contact with the stakeholders who have a tendency to make charitable contributions, which helps the organization's operations by increasing their visibility. The majority of their gift is used to fund juvenile resettlement programs for those who have been released from jail after serving their regular term, and the programs are designed in such a manner that they are unlikely to participate in additional criminal activity in the future. </w:t>
      </w:r>
      <w:r w:rsidR="002910FC" w:rsidRPr="0056502F">
        <w:rPr>
          <w:shd w:val="clear" w:color="auto" w:fill="FFFFFF"/>
        </w:rPr>
        <w:t>Organizations</w:t>
      </w:r>
      <w:r w:rsidRPr="0056502F">
        <w:rPr>
          <w:shd w:val="clear" w:color="auto" w:fill="FFFFFF"/>
        </w:rPr>
        <w:t xml:space="preserve"> have their own websites that they use to run their operations, and they both have a large number of volunteers who give their time to help improve society.</w:t>
      </w:r>
      <w:r w:rsidR="003408F1">
        <w:br w:type="page"/>
      </w:r>
    </w:p>
    <w:p w:rsidR="005E2421" w:rsidRDefault="003408F1" w:rsidP="005E2421">
      <w:pPr>
        <w:pStyle w:val="Heading1"/>
      </w:pPr>
      <w:bookmarkStart w:id="14" w:name="_Toc103206041"/>
      <w:r>
        <w:lastRenderedPageBreak/>
        <w:t>References</w:t>
      </w:r>
      <w:bookmarkEnd w:id="14"/>
    </w:p>
    <w:p w:rsidR="00CE515C" w:rsidRPr="00A11512" w:rsidRDefault="00CE515C" w:rsidP="00A11512">
      <w:pPr>
        <w:rPr>
          <w:szCs w:val="24"/>
          <w:shd w:val="clear" w:color="auto" w:fill="FFFFFF"/>
        </w:rPr>
      </w:pPr>
      <w:proofErr w:type="gramStart"/>
      <w:r w:rsidRPr="00A11512">
        <w:rPr>
          <w:szCs w:val="24"/>
          <w:shd w:val="clear" w:color="auto" w:fill="FFFFFF"/>
        </w:rPr>
        <w:t>Bateman, T. (2020).</w:t>
      </w:r>
      <w:proofErr w:type="gramEnd"/>
      <w:r w:rsidRPr="00A11512">
        <w:rPr>
          <w:szCs w:val="24"/>
          <w:shd w:val="clear" w:color="auto" w:fill="FFFFFF"/>
        </w:rPr>
        <w:t xml:space="preserve"> </w:t>
      </w:r>
      <w:proofErr w:type="gramStart"/>
      <w:r w:rsidRPr="00A11512">
        <w:rPr>
          <w:szCs w:val="24"/>
          <w:shd w:val="clear" w:color="auto" w:fill="FFFFFF"/>
        </w:rPr>
        <w:t>The state of youth justice 2020.</w:t>
      </w:r>
      <w:proofErr w:type="gramEnd"/>
      <w:r w:rsidRPr="00A11512">
        <w:rPr>
          <w:szCs w:val="24"/>
          <w:shd w:val="clear" w:color="auto" w:fill="FFFFFF"/>
        </w:rPr>
        <w:t xml:space="preserve"> </w:t>
      </w:r>
      <w:proofErr w:type="gramStart"/>
      <w:r w:rsidRPr="00A11512">
        <w:rPr>
          <w:szCs w:val="24"/>
          <w:shd w:val="clear" w:color="auto" w:fill="FFFFFF"/>
        </w:rPr>
        <w:t>Report, National Association for Youth Justice, London.</w:t>
      </w:r>
      <w:proofErr w:type="gramEnd"/>
    </w:p>
    <w:p w:rsidR="00CE515C" w:rsidRPr="00A11512" w:rsidRDefault="00CE515C" w:rsidP="00A11512">
      <w:pPr>
        <w:rPr>
          <w:rFonts w:eastAsia="Times New Roman" w:cs="Times New Roman"/>
          <w:szCs w:val="24"/>
        </w:rPr>
      </w:pPr>
      <w:proofErr w:type="spellStart"/>
      <w:proofErr w:type="gramStart"/>
      <w:r w:rsidRPr="00A11512">
        <w:rPr>
          <w:rFonts w:eastAsia="Times New Roman" w:cs="Times New Roman"/>
          <w:szCs w:val="24"/>
        </w:rPr>
        <w:t>Creaney</w:t>
      </w:r>
      <w:proofErr w:type="spellEnd"/>
      <w:r w:rsidRPr="00A11512">
        <w:rPr>
          <w:rFonts w:eastAsia="Times New Roman" w:cs="Times New Roman"/>
          <w:szCs w:val="24"/>
        </w:rPr>
        <w:t>, S. and Case, S. (2017).</w:t>
      </w:r>
      <w:proofErr w:type="gramEnd"/>
      <w:r w:rsidRPr="00A11512">
        <w:rPr>
          <w:rFonts w:eastAsia="Times New Roman" w:cs="Times New Roman"/>
          <w:szCs w:val="24"/>
        </w:rPr>
        <w:t> </w:t>
      </w:r>
      <w:r w:rsidRPr="00A11512">
        <w:rPr>
          <w:rFonts w:eastAsia="Times New Roman" w:cs="Times New Roman"/>
          <w:i/>
          <w:iCs/>
          <w:szCs w:val="24"/>
        </w:rPr>
        <w:t>Constructive approaches – putting children first in the Youth Justice System - Beyond Youth Custody</w:t>
      </w:r>
      <w:r w:rsidRPr="00A11512">
        <w:rPr>
          <w:rFonts w:eastAsia="Times New Roman" w:cs="Times New Roman"/>
          <w:szCs w:val="24"/>
        </w:rPr>
        <w:t>. [</w:t>
      </w:r>
      <w:proofErr w:type="gramStart"/>
      <w:r w:rsidRPr="00A11512">
        <w:rPr>
          <w:rFonts w:eastAsia="Times New Roman" w:cs="Times New Roman"/>
          <w:szCs w:val="24"/>
        </w:rPr>
        <w:t>online</w:t>
      </w:r>
      <w:proofErr w:type="gramEnd"/>
      <w:r w:rsidRPr="00A11512">
        <w:rPr>
          <w:rFonts w:eastAsia="Times New Roman" w:cs="Times New Roman"/>
          <w:szCs w:val="24"/>
        </w:rPr>
        <w:t xml:space="preserve">] </w:t>
      </w:r>
      <w:proofErr w:type="gramStart"/>
      <w:r w:rsidRPr="00A11512">
        <w:rPr>
          <w:rFonts w:eastAsia="Times New Roman" w:cs="Times New Roman"/>
          <w:szCs w:val="24"/>
        </w:rPr>
        <w:t>Beyond Youth Custody.</w:t>
      </w:r>
      <w:proofErr w:type="gramEnd"/>
      <w:r w:rsidRPr="00A11512">
        <w:rPr>
          <w:rFonts w:eastAsia="Times New Roman" w:cs="Times New Roman"/>
          <w:szCs w:val="24"/>
        </w:rPr>
        <w:t xml:space="preserve"> Available at: http://www.beyondyouthcustody.net/blog/constructive-approaches-putting-children-first-yo</w:t>
      </w:r>
      <w:r w:rsidR="009401AC">
        <w:rPr>
          <w:rFonts w:eastAsia="Times New Roman" w:cs="Times New Roman"/>
          <w:szCs w:val="24"/>
        </w:rPr>
        <w:t>uth-justice-system/ [Accessed 7</w:t>
      </w:r>
      <w:r w:rsidRPr="00A11512">
        <w:rPr>
          <w:rFonts w:eastAsia="Times New Roman" w:cs="Times New Roman"/>
          <w:szCs w:val="24"/>
        </w:rPr>
        <w:t xml:space="preserve"> May 2022].</w:t>
      </w:r>
    </w:p>
    <w:p w:rsidR="00CE515C" w:rsidRPr="00A11512" w:rsidRDefault="00CE515C" w:rsidP="00A11512">
      <w:pPr>
        <w:rPr>
          <w:szCs w:val="24"/>
        </w:rPr>
      </w:pPr>
      <w:r w:rsidRPr="00A11512">
        <w:rPr>
          <w:szCs w:val="24"/>
          <w:shd w:val="clear" w:color="auto" w:fill="FFFFFF"/>
        </w:rPr>
        <w:t>GOODFELLOW, P., WILKINSON, S., HAZEL, N., BATEMAN, T., LIDDLE, M. and WRIGHT, S., 2022. </w:t>
      </w:r>
      <w:r w:rsidRPr="00A11512">
        <w:rPr>
          <w:i/>
          <w:iCs/>
          <w:szCs w:val="24"/>
          <w:shd w:val="clear" w:color="auto" w:fill="FFFFFF"/>
        </w:rPr>
        <w:t xml:space="preserve">Effective resettlement of young people: lessons from Beyond Youth Custody - </w:t>
      </w:r>
      <w:proofErr w:type="spellStart"/>
      <w:r w:rsidRPr="00A11512">
        <w:rPr>
          <w:i/>
          <w:iCs/>
          <w:szCs w:val="24"/>
          <w:shd w:val="clear" w:color="auto" w:fill="FFFFFF"/>
        </w:rPr>
        <w:t>IRep</w:t>
      </w:r>
      <w:proofErr w:type="spellEnd"/>
      <w:r w:rsidRPr="00A11512">
        <w:rPr>
          <w:i/>
          <w:iCs/>
          <w:szCs w:val="24"/>
          <w:shd w:val="clear" w:color="auto" w:fill="FFFFFF"/>
        </w:rPr>
        <w:t xml:space="preserve"> - Nottingham Trent University</w:t>
      </w:r>
      <w:r w:rsidRPr="00A11512">
        <w:rPr>
          <w:szCs w:val="24"/>
          <w:shd w:val="clear" w:color="auto" w:fill="FFFFFF"/>
        </w:rPr>
        <w:t>. [</w:t>
      </w:r>
      <w:proofErr w:type="gramStart"/>
      <w:r w:rsidRPr="00A11512">
        <w:rPr>
          <w:szCs w:val="24"/>
          <w:shd w:val="clear" w:color="auto" w:fill="FFFFFF"/>
        </w:rPr>
        <w:t>online</w:t>
      </w:r>
      <w:proofErr w:type="gramEnd"/>
      <w:r w:rsidRPr="00A11512">
        <w:rPr>
          <w:szCs w:val="24"/>
          <w:shd w:val="clear" w:color="auto" w:fill="FFFFFF"/>
        </w:rPr>
        <w:t>] Irep.ntu.ac.uk. Available at: &lt;https://irep.ntu.ac.u</w:t>
      </w:r>
      <w:r w:rsidR="009401AC">
        <w:rPr>
          <w:szCs w:val="24"/>
          <w:shd w:val="clear" w:color="auto" w:fill="FFFFFF"/>
        </w:rPr>
        <w:t>k/id/eprint/32949/&gt; [Accessed 7</w:t>
      </w:r>
      <w:r w:rsidRPr="00A11512">
        <w:rPr>
          <w:szCs w:val="24"/>
          <w:shd w:val="clear" w:color="auto" w:fill="FFFFFF"/>
        </w:rPr>
        <w:t xml:space="preserve"> May 2022].</w:t>
      </w:r>
    </w:p>
    <w:p w:rsidR="00CE515C" w:rsidRPr="00A11512" w:rsidRDefault="00CE515C" w:rsidP="00A11512">
      <w:pPr>
        <w:rPr>
          <w:rFonts w:eastAsia="Times New Roman" w:cs="Times New Roman"/>
          <w:szCs w:val="24"/>
        </w:rPr>
      </w:pPr>
      <w:proofErr w:type="gramStart"/>
      <w:r w:rsidRPr="00A11512">
        <w:rPr>
          <w:rFonts w:eastAsia="Times New Roman" w:cs="Times New Roman"/>
          <w:szCs w:val="24"/>
        </w:rPr>
        <w:t>Hazel, N. and Bateman, T. (2020).</w:t>
      </w:r>
      <w:proofErr w:type="gramEnd"/>
      <w:r w:rsidRPr="00A11512">
        <w:rPr>
          <w:rFonts w:eastAsia="Times New Roman" w:cs="Times New Roman"/>
          <w:szCs w:val="24"/>
        </w:rPr>
        <w:t xml:space="preserve"> </w:t>
      </w:r>
      <w:proofErr w:type="gramStart"/>
      <w:r w:rsidRPr="00A11512">
        <w:rPr>
          <w:rFonts w:eastAsia="Times New Roman" w:cs="Times New Roman"/>
          <w:szCs w:val="24"/>
        </w:rPr>
        <w:t>Supporting Children’s Resettlement (‘Reentry’) After Custody: Beyond the Risk Paradigm.</w:t>
      </w:r>
      <w:proofErr w:type="gramEnd"/>
      <w:r w:rsidRPr="00A11512">
        <w:rPr>
          <w:rFonts w:eastAsia="Times New Roman" w:cs="Times New Roman"/>
          <w:szCs w:val="24"/>
        </w:rPr>
        <w:t> </w:t>
      </w:r>
      <w:proofErr w:type="gramStart"/>
      <w:r w:rsidRPr="00A11512">
        <w:rPr>
          <w:rFonts w:eastAsia="Times New Roman" w:cs="Times New Roman"/>
          <w:i/>
          <w:iCs/>
          <w:szCs w:val="24"/>
        </w:rPr>
        <w:t>Youth Justice</w:t>
      </w:r>
      <w:r w:rsidRPr="00A11512">
        <w:rPr>
          <w:rFonts w:eastAsia="Times New Roman" w:cs="Times New Roman"/>
          <w:szCs w:val="24"/>
        </w:rPr>
        <w:t>, [online] 21(1), pp.71–89.</w:t>
      </w:r>
      <w:proofErr w:type="gramEnd"/>
      <w:r w:rsidRPr="00A11512">
        <w:rPr>
          <w:rFonts w:eastAsia="Times New Roman" w:cs="Times New Roman"/>
          <w:szCs w:val="24"/>
        </w:rPr>
        <w:t xml:space="preserve"> </w:t>
      </w:r>
      <w:proofErr w:type="gramStart"/>
      <w:r w:rsidRPr="00A11512">
        <w:rPr>
          <w:rFonts w:eastAsia="Times New Roman" w:cs="Times New Roman"/>
          <w:szCs w:val="24"/>
        </w:rPr>
        <w:t>doi:</w:t>
      </w:r>
      <w:proofErr w:type="gramEnd"/>
      <w:r w:rsidRPr="00A11512">
        <w:rPr>
          <w:rFonts w:eastAsia="Times New Roman" w:cs="Times New Roman"/>
          <w:szCs w:val="24"/>
        </w:rPr>
        <w:t>10.1177/1473225420923761.</w:t>
      </w:r>
    </w:p>
    <w:p w:rsidR="00CE515C" w:rsidRPr="00A11512" w:rsidRDefault="00CE515C" w:rsidP="00A11512">
      <w:pPr>
        <w:rPr>
          <w:rFonts w:eastAsia="Times New Roman" w:cs="Times New Roman"/>
          <w:szCs w:val="24"/>
        </w:rPr>
      </w:pPr>
      <w:r w:rsidRPr="00A11512">
        <w:rPr>
          <w:rFonts w:eastAsia="Times New Roman" w:cs="Times New Roman"/>
          <w:szCs w:val="24"/>
        </w:rPr>
        <w:t>Hussey, S. (2021). </w:t>
      </w:r>
      <w:r w:rsidRPr="00A11512">
        <w:rPr>
          <w:rFonts w:eastAsia="Times New Roman" w:cs="Times New Roman"/>
          <w:i/>
          <w:iCs/>
          <w:szCs w:val="24"/>
        </w:rPr>
        <w:t>Why is Community Engagement Important? - Bang The Table</w:t>
      </w:r>
      <w:r w:rsidRPr="00A11512">
        <w:rPr>
          <w:rFonts w:eastAsia="Times New Roman" w:cs="Times New Roman"/>
          <w:szCs w:val="24"/>
        </w:rPr>
        <w:t>. [</w:t>
      </w:r>
      <w:proofErr w:type="gramStart"/>
      <w:r w:rsidRPr="00A11512">
        <w:rPr>
          <w:rFonts w:eastAsia="Times New Roman" w:cs="Times New Roman"/>
          <w:szCs w:val="24"/>
        </w:rPr>
        <w:t>online</w:t>
      </w:r>
      <w:proofErr w:type="gramEnd"/>
      <w:r w:rsidRPr="00A11512">
        <w:rPr>
          <w:rFonts w:eastAsia="Times New Roman" w:cs="Times New Roman"/>
          <w:szCs w:val="24"/>
        </w:rPr>
        <w:t>] Bang the Table. Available at: https://www.bangthetable.com/why-is-community-engagement-important/#:~:text=It%20promotes%20sustainable%20decisions%20by,and%20creates%20inclusive%2C%20eff</w:t>
      </w:r>
      <w:r w:rsidR="009401AC">
        <w:rPr>
          <w:rFonts w:eastAsia="Times New Roman" w:cs="Times New Roman"/>
          <w:szCs w:val="24"/>
        </w:rPr>
        <w:t xml:space="preserve">ective%20solutions. </w:t>
      </w:r>
      <w:proofErr w:type="gramStart"/>
      <w:r w:rsidR="009401AC">
        <w:rPr>
          <w:rFonts w:eastAsia="Times New Roman" w:cs="Times New Roman"/>
          <w:szCs w:val="24"/>
        </w:rPr>
        <w:t>[Accessed 7</w:t>
      </w:r>
      <w:r w:rsidRPr="00A11512">
        <w:rPr>
          <w:rFonts w:eastAsia="Times New Roman" w:cs="Times New Roman"/>
          <w:szCs w:val="24"/>
        </w:rPr>
        <w:t xml:space="preserve"> May 2022].</w:t>
      </w:r>
      <w:proofErr w:type="gramEnd"/>
    </w:p>
    <w:p w:rsidR="00CE515C" w:rsidRPr="00A11512" w:rsidRDefault="00CE515C" w:rsidP="00A11512">
      <w:pPr>
        <w:rPr>
          <w:szCs w:val="24"/>
        </w:rPr>
      </w:pPr>
      <w:proofErr w:type="spellStart"/>
      <w:r w:rsidRPr="00A11512">
        <w:rPr>
          <w:szCs w:val="24"/>
        </w:rPr>
        <w:t>Life@SP</w:t>
      </w:r>
      <w:proofErr w:type="spellEnd"/>
      <w:r w:rsidRPr="00A11512">
        <w:rPr>
          <w:szCs w:val="24"/>
        </w:rPr>
        <w:t xml:space="preserve"> (2020). </w:t>
      </w:r>
      <w:proofErr w:type="spellStart"/>
      <w:r w:rsidRPr="00A11512">
        <w:rPr>
          <w:i/>
          <w:iCs/>
          <w:szCs w:val="24"/>
        </w:rPr>
        <w:t>Life@SP</w:t>
      </w:r>
      <w:proofErr w:type="spellEnd"/>
      <w:r w:rsidRPr="00A11512">
        <w:rPr>
          <w:i/>
          <w:iCs/>
          <w:szCs w:val="24"/>
        </w:rPr>
        <w:t xml:space="preserve"> - Department of Student Development - Community Engagement </w:t>
      </w:r>
      <w:proofErr w:type="spellStart"/>
      <w:r w:rsidRPr="00A11512">
        <w:rPr>
          <w:i/>
          <w:iCs/>
          <w:szCs w:val="24"/>
        </w:rPr>
        <w:t>Programme</w:t>
      </w:r>
      <w:proofErr w:type="spellEnd"/>
      <w:r w:rsidRPr="00A11512">
        <w:rPr>
          <w:i/>
          <w:iCs/>
          <w:szCs w:val="24"/>
        </w:rPr>
        <w:t xml:space="preserve"> (CEP)</w:t>
      </w:r>
      <w:r w:rsidRPr="00A11512">
        <w:rPr>
          <w:szCs w:val="24"/>
        </w:rPr>
        <w:t>. [</w:t>
      </w:r>
      <w:proofErr w:type="gramStart"/>
      <w:r w:rsidRPr="00A11512">
        <w:rPr>
          <w:szCs w:val="24"/>
        </w:rPr>
        <w:t>online</w:t>
      </w:r>
      <w:proofErr w:type="gramEnd"/>
      <w:r w:rsidRPr="00A11512">
        <w:rPr>
          <w:szCs w:val="24"/>
        </w:rPr>
        <w:t xml:space="preserve">] </w:t>
      </w:r>
      <w:proofErr w:type="spellStart"/>
      <w:r w:rsidRPr="00A11512">
        <w:rPr>
          <w:szCs w:val="24"/>
        </w:rPr>
        <w:t>Life@SP</w:t>
      </w:r>
      <w:proofErr w:type="spellEnd"/>
      <w:r w:rsidRPr="00A11512">
        <w:rPr>
          <w:szCs w:val="24"/>
        </w:rPr>
        <w:t xml:space="preserve"> - Department of Student Development - To DEVELOP SP STUDENTS holistically through Co-Curricular Activities. Available at: https://life.sp.edu.sg/our-programmes/community-en</w:t>
      </w:r>
      <w:r w:rsidR="009401AC">
        <w:rPr>
          <w:szCs w:val="24"/>
        </w:rPr>
        <w:t>gagement-programme/ [Accessed 7</w:t>
      </w:r>
      <w:r w:rsidRPr="00A11512">
        <w:rPr>
          <w:szCs w:val="24"/>
        </w:rPr>
        <w:t xml:space="preserve"> May 2022].</w:t>
      </w:r>
    </w:p>
    <w:p w:rsidR="00C6448A" w:rsidRPr="00A11512" w:rsidRDefault="00C6448A" w:rsidP="00A11512">
      <w:pPr>
        <w:rPr>
          <w:rFonts w:eastAsia="Times New Roman" w:cs="Times New Roman"/>
          <w:szCs w:val="24"/>
        </w:rPr>
      </w:pPr>
      <w:proofErr w:type="spellStart"/>
      <w:proofErr w:type="gramStart"/>
      <w:r w:rsidRPr="00A11512">
        <w:rPr>
          <w:rFonts w:eastAsia="Times New Roman" w:cs="Times New Roman"/>
          <w:szCs w:val="24"/>
        </w:rPr>
        <w:t>Nacro</w:t>
      </w:r>
      <w:proofErr w:type="spellEnd"/>
      <w:r w:rsidRPr="00A11512">
        <w:rPr>
          <w:rFonts w:eastAsia="Times New Roman" w:cs="Times New Roman"/>
          <w:szCs w:val="24"/>
        </w:rPr>
        <w:t>.</w:t>
      </w:r>
      <w:proofErr w:type="gramEnd"/>
      <w:r w:rsidRPr="00A11512">
        <w:rPr>
          <w:rFonts w:eastAsia="Times New Roman" w:cs="Times New Roman"/>
          <w:szCs w:val="24"/>
        </w:rPr>
        <w:t xml:space="preserve"> </w:t>
      </w:r>
      <w:proofErr w:type="gramStart"/>
      <w:r w:rsidRPr="00A11512">
        <w:rPr>
          <w:rFonts w:eastAsia="Times New Roman" w:cs="Times New Roman"/>
          <w:szCs w:val="24"/>
        </w:rPr>
        <w:t>(2017). </w:t>
      </w:r>
      <w:r w:rsidRPr="00A11512">
        <w:rPr>
          <w:rFonts w:eastAsia="Times New Roman" w:cs="Times New Roman"/>
          <w:i/>
          <w:iCs/>
          <w:szCs w:val="24"/>
        </w:rPr>
        <w:t xml:space="preserve">Beyond Youth Custody - </w:t>
      </w:r>
      <w:proofErr w:type="spellStart"/>
      <w:r w:rsidRPr="00A11512">
        <w:rPr>
          <w:rFonts w:eastAsia="Times New Roman" w:cs="Times New Roman"/>
          <w:i/>
          <w:iCs/>
          <w:szCs w:val="24"/>
        </w:rPr>
        <w:t>Nacro</w:t>
      </w:r>
      <w:proofErr w:type="spellEnd"/>
      <w:r w:rsidRPr="00A11512">
        <w:rPr>
          <w:rFonts w:eastAsia="Times New Roman" w:cs="Times New Roman"/>
          <w:szCs w:val="24"/>
        </w:rPr>
        <w:t>.</w:t>
      </w:r>
      <w:proofErr w:type="gramEnd"/>
      <w:r w:rsidRPr="00A11512">
        <w:rPr>
          <w:rFonts w:eastAsia="Times New Roman" w:cs="Times New Roman"/>
          <w:szCs w:val="24"/>
        </w:rPr>
        <w:t xml:space="preserve"> [</w:t>
      </w:r>
      <w:proofErr w:type="gramStart"/>
      <w:r w:rsidRPr="00A11512">
        <w:rPr>
          <w:rFonts w:eastAsia="Times New Roman" w:cs="Times New Roman"/>
          <w:szCs w:val="24"/>
        </w:rPr>
        <w:t>online</w:t>
      </w:r>
      <w:proofErr w:type="gramEnd"/>
      <w:r w:rsidRPr="00A11512">
        <w:rPr>
          <w:rFonts w:eastAsia="Times New Roman" w:cs="Times New Roman"/>
          <w:szCs w:val="24"/>
        </w:rPr>
        <w:t>] Available at: https://www.nacro.org.uk/policy-and-research/be</w:t>
      </w:r>
      <w:r w:rsidR="009401AC">
        <w:rPr>
          <w:rFonts w:eastAsia="Times New Roman" w:cs="Times New Roman"/>
          <w:szCs w:val="24"/>
        </w:rPr>
        <w:t>yond-youth-custody/ [Accessed 7</w:t>
      </w:r>
      <w:r w:rsidRPr="00A11512">
        <w:rPr>
          <w:rFonts w:eastAsia="Times New Roman" w:cs="Times New Roman"/>
          <w:szCs w:val="24"/>
        </w:rPr>
        <w:t xml:space="preserve"> May 2022].</w:t>
      </w:r>
    </w:p>
    <w:p w:rsidR="00CE515C" w:rsidRPr="00A11512" w:rsidRDefault="00CE515C" w:rsidP="00A11512">
      <w:pPr>
        <w:rPr>
          <w:rFonts w:eastAsia="Times New Roman" w:cs="Times New Roman"/>
          <w:szCs w:val="24"/>
        </w:rPr>
      </w:pPr>
      <w:proofErr w:type="spellStart"/>
      <w:r w:rsidRPr="00A11512">
        <w:rPr>
          <w:rFonts w:eastAsia="Times New Roman" w:cs="Times New Roman"/>
          <w:szCs w:val="24"/>
        </w:rPr>
        <w:t>Shrivastava</w:t>
      </w:r>
      <w:proofErr w:type="spellEnd"/>
      <w:r w:rsidRPr="00A11512">
        <w:rPr>
          <w:rFonts w:eastAsia="Times New Roman" w:cs="Times New Roman"/>
          <w:szCs w:val="24"/>
        </w:rPr>
        <w:t>, A. (2021). </w:t>
      </w:r>
      <w:proofErr w:type="spellStart"/>
      <w:proofErr w:type="gramStart"/>
      <w:r w:rsidRPr="00A11512">
        <w:rPr>
          <w:rFonts w:eastAsia="Times New Roman" w:cs="Times New Roman"/>
          <w:i/>
          <w:iCs/>
          <w:szCs w:val="24"/>
        </w:rPr>
        <w:t>Skillseed</w:t>
      </w:r>
      <w:proofErr w:type="spellEnd"/>
      <w:r w:rsidRPr="00A11512">
        <w:rPr>
          <w:rFonts w:eastAsia="Times New Roman" w:cs="Times New Roman"/>
          <w:szCs w:val="24"/>
        </w:rPr>
        <w:t>.</w:t>
      </w:r>
      <w:proofErr w:type="gramEnd"/>
      <w:r w:rsidRPr="00A11512">
        <w:rPr>
          <w:rFonts w:eastAsia="Times New Roman" w:cs="Times New Roman"/>
          <w:szCs w:val="24"/>
        </w:rPr>
        <w:t xml:space="preserve"> [</w:t>
      </w:r>
      <w:proofErr w:type="gramStart"/>
      <w:r w:rsidRPr="00A11512">
        <w:rPr>
          <w:rFonts w:eastAsia="Times New Roman" w:cs="Times New Roman"/>
          <w:szCs w:val="24"/>
        </w:rPr>
        <w:t>online</w:t>
      </w:r>
      <w:proofErr w:type="gramEnd"/>
      <w:r w:rsidRPr="00A11512">
        <w:rPr>
          <w:rFonts w:eastAsia="Times New Roman" w:cs="Times New Roman"/>
          <w:szCs w:val="24"/>
        </w:rPr>
        <w:t xml:space="preserve">] </w:t>
      </w:r>
      <w:proofErr w:type="spellStart"/>
      <w:proofErr w:type="gramStart"/>
      <w:r w:rsidRPr="00A11512">
        <w:rPr>
          <w:rFonts w:eastAsia="Times New Roman" w:cs="Times New Roman"/>
          <w:szCs w:val="24"/>
        </w:rPr>
        <w:t>Skillseed</w:t>
      </w:r>
      <w:proofErr w:type="spellEnd"/>
      <w:r w:rsidRPr="00A11512">
        <w:rPr>
          <w:rFonts w:eastAsia="Times New Roman" w:cs="Times New Roman"/>
          <w:szCs w:val="24"/>
        </w:rPr>
        <w:t>.</w:t>
      </w:r>
      <w:proofErr w:type="gramEnd"/>
      <w:r w:rsidRPr="00A11512">
        <w:rPr>
          <w:rFonts w:eastAsia="Times New Roman" w:cs="Times New Roman"/>
          <w:szCs w:val="24"/>
        </w:rPr>
        <w:t xml:space="preserve"> Available at: https://www.skillseed.sg/journal/2021/5/11/community-engagement-is-not-just-a-good-to-h</w:t>
      </w:r>
      <w:r w:rsidR="009401AC">
        <w:rPr>
          <w:rFonts w:eastAsia="Times New Roman" w:cs="Times New Roman"/>
          <w:szCs w:val="24"/>
        </w:rPr>
        <w:t>ave-its-a-must-have [Accessed 7</w:t>
      </w:r>
      <w:r w:rsidRPr="00A11512">
        <w:rPr>
          <w:rFonts w:eastAsia="Times New Roman" w:cs="Times New Roman"/>
          <w:szCs w:val="24"/>
        </w:rPr>
        <w:t xml:space="preserve"> May 2022].</w:t>
      </w:r>
    </w:p>
    <w:p w:rsidR="00CE515C" w:rsidRPr="00A11512" w:rsidRDefault="00CE515C" w:rsidP="00A11512">
      <w:pPr>
        <w:rPr>
          <w:szCs w:val="24"/>
        </w:rPr>
      </w:pPr>
      <w:proofErr w:type="gramStart"/>
      <w:r w:rsidRPr="00A11512">
        <w:rPr>
          <w:rFonts w:eastAsia="Times New Roman" w:cs="Times New Roman"/>
          <w:szCs w:val="24"/>
        </w:rPr>
        <w:lastRenderedPageBreak/>
        <w:t>‌</w:t>
      </w:r>
      <w:r w:rsidRPr="00A11512">
        <w:rPr>
          <w:szCs w:val="24"/>
        </w:rPr>
        <w:t>Thompson, K. (2021).</w:t>
      </w:r>
      <w:proofErr w:type="gramEnd"/>
      <w:r w:rsidRPr="00A11512">
        <w:rPr>
          <w:szCs w:val="24"/>
        </w:rPr>
        <w:t> </w:t>
      </w:r>
      <w:r w:rsidRPr="00A11512">
        <w:rPr>
          <w:i/>
          <w:iCs/>
          <w:szCs w:val="24"/>
        </w:rPr>
        <w:t>The Ben Kinsella Trust – A Useful Resource for Knife Crime Teaching Resources</w:t>
      </w:r>
      <w:r w:rsidRPr="00A11512">
        <w:rPr>
          <w:szCs w:val="24"/>
        </w:rPr>
        <w:t>. [</w:t>
      </w:r>
      <w:proofErr w:type="gramStart"/>
      <w:r w:rsidRPr="00A11512">
        <w:rPr>
          <w:szCs w:val="24"/>
        </w:rPr>
        <w:t>online</w:t>
      </w:r>
      <w:proofErr w:type="gramEnd"/>
      <w:r w:rsidRPr="00A11512">
        <w:rPr>
          <w:szCs w:val="24"/>
        </w:rPr>
        <w:t xml:space="preserve">] </w:t>
      </w:r>
      <w:proofErr w:type="spellStart"/>
      <w:proofErr w:type="gramStart"/>
      <w:r w:rsidRPr="00A11512">
        <w:rPr>
          <w:szCs w:val="24"/>
        </w:rPr>
        <w:t>ReviseSociology</w:t>
      </w:r>
      <w:proofErr w:type="spellEnd"/>
      <w:r w:rsidRPr="00A11512">
        <w:rPr>
          <w:szCs w:val="24"/>
        </w:rPr>
        <w:t>.</w:t>
      </w:r>
      <w:proofErr w:type="gramEnd"/>
      <w:r w:rsidRPr="00A11512">
        <w:rPr>
          <w:szCs w:val="24"/>
        </w:rPr>
        <w:t xml:space="preserve"> Available at: https://revisesociology.com/2021/11/24/the-ben-kinsella-trust-a-useful-resource-for-knife-crime-</w:t>
      </w:r>
      <w:r w:rsidR="009401AC">
        <w:rPr>
          <w:szCs w:val="24"/>
        </w:rPr>
        <w:t>teaching-resources/ [Accessed 8</w:t>
      </w:r>
      <w:r w:rsidRPr="00A11512">
        <w:rPr>
          <w:szCs w:val="24"/>
        </w:rPr>
        <w:t xml:space="preserve"> May 2022].</w:t>
      </w:r>
    </w:p>
    <w:p w:rsidR="00CE515C" w:rsidRPr="00CE515C" w:rsidRDefault="00CE515C" w:rsidP="00CE515C"/>
    <w:sectPr w:rsidR="00CE515C" w:rsidRPr="00CE515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2702E" w:rsidRDefault="0062702E" w:rsidP="00513C1A">
      <w:pPr>
        <w:spacing w:after="0" w:line="240" w:lineRule="auto"/>
      </w:pPr>
      <w:r>
        <w:separator/>
      </w:r>
    </w:p>
  </w:endnote>
  <w:endnote w:type="continuationSeparator" w:id="0">
    <w:p w:rsidR="0062702E" w:rsidRDefault="0062702E" w:rsidP="00513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6037446"/>
      <w:docPartObj>
        <w:docPartGallery w:val="Page Numbers (Bottom of Page)"/>
        <w:docPartUnique/>
      </w:docPartObj>
    </w:sdtPr>
    <w:sdtEndPr>
      <w:rPr>
        <w:color w:val="7F7F7F" w:themeColor="background1" w:themeShade="7F"/>
        <w:spacing w:val="60"/>
      </w:rPr>
    </w:sdtEndPr>
    <w:sdtContent>
      <w:p w:rsidR="00513C1A" w:rsidRDefault="00513C1A">
        <w:pPr>
          <w:pStyle w:val="Footer"/>
          <w:pBdr>
            <w:top w:val="single" w:sz="4" w:space="1" w:color="D9D9D9" w:themeColor="background1" w:themeShade="D9"/>
          </w:pBdr>
          <w:jc w:val="right"/>
        </w:pPr>
        <w:r>
          <w:fldChar w:fldCharType="begin"/>
        </w:r>
        <w:r>
          <w:instrText xml:space="preserve"> PAGE   \* MERGEFORMAT </w:instrText>
        </w:r>
        <w:r>
          <w:fldChar w:fldCharType="separate"/>
        </w:r>
        <w:r w:rsidR="00C155B3">
          <w:rPr>
            <w:noProof/>
          </w:rPr>
          <w:t>1</w:t>
        </w:r>
        <w:r>
          <w:rPr>
            <w:noProof/>
          </w:rPr>
          <w:fldChar w:fldCharType="end"/>
        </w:r>
        <w:r>
          <w:t xml:space="preserve"> | </w:t>
        </w:r>
        <w:r>
          <w:rPr>
            <w:color w:val="7F7F7F" w:themeColor="background1" w:themeShade="7F"/>
            <w:spacing w:val="60"/>
          </w:rPr>
          <w:t>Page</w:t>
        </w:r>
      </w:p>
    </w:sdtContent>
  </w:sdt>
  <w:p w:rsidR="00513C1A" w:rsidRDefault="00513C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2702E" w:rsidRDefault="0062702E" w:rsidP="00513C1A">
      <w:pPr>
        <w:spacing w:after="0" w:line="240" w:lineRule="auto"/>
      </w:pPr>
      <w:r>
        <w:separator/>
      </w:r>
    </w:p>
  </w:footnote>
  <w:footnote w:type="continuationSeparator" w:id="0">
    <w:p w:rsidR="0062702E" w:rsidRDefault="0062702E" w:rsidP="00513C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C60788"/>
    <w:multiLevelType w:val="multilevel"/>
    <w:tmpl w:val="54A4B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24B3CDB"/>
    <w:multiLevelType w:val="hybridMultilevel"/>
    <w:tmpl w:val="AC4C949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57577BF0"/>
    <w:multiLevelType w:val="hybridMultilevel"/>
    <w:tmpl w:val="E320CF5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28A8"/>
    <w:rsid w:val="00017B1A"/>
    <w:rsid w:val="00023AE3"/>
    <w:rsid w:val="00090FCD"/>
    <w:rsid w:val="000A34C1"/>
    <w:rsid w:val="000B7B99"/>
    <w:rsid w:val="000C4426"/>
    <w:rsid w:val="00123787"/>
    <w:rsid w:val="001C41EB"/>
    <w:rsid w:val="001C4893"/>
    <w:rsid w:val="002463C8"/>
    <w:rsid w:val="002910FC"/>
    <w:rsid w:val="00296756"/>
    <w:rsid w:val="002A58D8"/>
    <w:rsid w:val="002B374B"/>
    <w:rsid w:val="002B659B"/>
    <w:rsid w:val="002B79D6"/>
    <w:rsid w:val="002F339A"/>
    <w:rsid w:val="003147C3"/>
    <w:rsid w:val="0032248F"/>
    <w:rsid w:val="003408F1"/>
    <w:rsid w:val="003C3C34"/>
    <w:rsid w:val="003E27A8"/>
    <w:rsid w:val="00437921"/>
    <w:rsid w:val="00481728"/>
    <w:rsid w:val="00495173"/>
    <w:rsid w:val="004B04B5"/>
    <w:rsid w:val="004D1D1E"/>
    <w:rsid w:val="004F6670"/>
    <w:rsid w:val="00500803"/>
    <w:rsid w:val="0050199B"/>
    <w:rsid w:val="00513C1A"/>
    <w:rsid w:val="00554DAF"/>
    <w:rsid w:val="0056502F"/>
    <w:rsid w:val="005E2421"/>
    <w:rsid w:val="005F500C"/>
    <w:rsid w:val="0062702E"/>
    <w:rsid w:val="006354F6"/>
    <w:rsid w:val="006508D4"/>
    <w:rsid w:val="00676EF6"/>
    <w:rsid w:val="006A479A"/>
    <w:rsid w:val="006E0EB3"/>
    <w:rsid w:val="006E6B8E"/>
    <w:rsid w:val="006F3E35"/>
    <w:rsid w:val="0077416E"/>
    <w:rsid w:val="007A1B67"/>
    <w:rsid w:val="007C35CA"/>
    <w:rsid w:val="007C598A"/>
    <w:rsid w:val="007F3F4F"/>
    <w:rsid w:val="00835A0E"/>
    <w:rsid w:val="008410F8"/>
    <w:rsid w:val="00860AF1"/>
    <w:rsid w:val="0086659F"/>
    <w:rsid w:val="00870F65"/>
    <w:rsid w:val="008906A4"/>
    <w:rsid w:val="008E1CFD"/>
    <w:rsid w:val="009401AC"/>
    <w:rsid w:val="009457C4"/>
    <w:rsid w:val="00977DF8"/>
    <w:rsid w:val="009802F9"/>
    <w:rsid w:val="009B2860"/>
    <w:rsid w:val="009B778A"/>
    <w:rsid w:val="009F18B0"/>
    <w:rsid w:val="00A11512"/>
    <w:rsid w:val="00A1383C"/>
    <w:rsid w:val="00AA4FA4"/>
    <w:rsid w:val="00AA7F54"/>
    <w:rsid w:val="00AB0283"/>
    <w:rsid w:val="00AD2CE0"/>
    <w:rsid w:val="00AE4CA2"/>
    <w:rsid w:val="00B2611C"/>
    <w:rsid w:val="00B868C7"/>
    <w:rsid w:val="00B933CB"/>
    <w:rsid w:val="00B94944"/>
    <w:rsid w:val="00BA36EE"/>
    <w:rsid w:val="00BA3B0D"/>
    <w:rsid w:val="00C1259F"/>
    <w:rsid w:val="00C155B3"/>
    <w:rsid w:val="00C2544D"/>
    <w:rsid w:val="00C571C4"/>
    <w:rsid w:val="00C6448A"/>
    <w:rsid w:val="00CE515C"/>
    <w:rsid w:val="00CF09D5"/>
    <w:rsid w:val="00CF218A"/>
    <w:rsid w:val="00D428A8"/>
    <w:rsid w:val="00D46A24"/>
    <w:rsid w:val="00D51770"/>
    <w:rsid w:val="00DB5ABD"/>
    <w:rsid w:val="00DC5874"/>
    <w:rsid w:val="00E71360"/>
    <w:rsid w:val="00E86C84"/>
    <w:rsid w:val="00E92957"/>
    <w:rsid w:val="00EE14B7"/>
    <w:rsid w:val="00F516C3"/>
    <w:rsid w:val="00F653F9"/>
    <w:rsid w:val="00FE46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D1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E242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929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21"/>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D5177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51770"/>
    <w:pPr>
      <w:spacing w:after="100"/>
    </w:pPr>
  </w:style>
  <w:style w:type="character" w:styleId="Hyperlink">
    <w:name w:val="Hyperlink"/>
    <w:basedOn w:val="DefaultParagraphFont"/>
    <w:uiPriority w:val="99"/>
    <w:unhideWhenUsed/>
    <w:rsid w:val="00D51770"/>
    <w:rPr>
      <w:color w:val="0563C1" w:themeColor="hyperlink"/>
      <w:u w:val="single"/>
    </w:rPr>
  </w:style>
  <w:style w:type="paragraph" w:styleId="NormalWeb">
    <w:name w:val="Normal (Web)"/>
    <w:basedOn w:val="Normal"/>
    <w:uiPriority w:val="99"/>
    <w:unhideWhenUsed/>
    <w:rsid w:val="00860AF1"/>
    <w:pPr>
      <w:spacing w:before="100" w:beforeAutospacing="1" w:after="100" w:afterAutospacing="1" w:line="240" w:lineRule="auto"/>
      <w:jc w:val="left"/>
    </w:pPr>
    <w:rPr>
      <w:rFonts w:eastAsia="Times New Roman" w:cs="Times New Roman"/>
      <w:color w:val="auto"/>
      <w:szCs w:val="24"/>
    </w:rPr>
  </w:style>
  <w:style w:type="paragraph" w:styleId="ListParagraph">
    <w:name w:val="List Paragraph"/>
    <w:basedOn w:val="Normal"/>
    <w:uiPriority w:val="34"/>
    <w:qFormat/>
    <w:rsid w:val="00017B1A"/>
    <w:pPr>
      <w:ind w:left="720"/>
      <w:contextualSpacing/>
    </w:pPr>
  </w:style>
  <w:style w:type="character" w:styleId="Strong">
    <w:name w:val="Strong"/>
    <w:basedOn w:val="DefaultParagraphFont"/>
    <w:uiPriority w:val="22"/>
    <w:qFormat/>
    <w:rsid w:val="00B2611C"/>
    <w:rPr>
      <w:b/>
      <w:bCs/>
    </w:rPr>
  </w:style>
  <w:style w:type="character" w:customStyle="1" w:styleId="Heading2Char">
    <w:name w:val="Heading 2 Char"/>
    <w:basedOn w:val="DefaultParagraphFont"/>
    <w:link w:val="Heading2"/>
    <w:uiPriority w:val="9"/>
    <w:rsid w:val="00E9295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E27A8"/>
    <w:pPr>
      <w:spacing w:after="100"/>
      <w:ind w:left="240"/>
    </w:pPr>
  </w:style>
  <w:style w:type="paragraph" w:styleId="Header">
    <w:name w:val="header"/>
    <w:basedOn w:val="Normal"/>
    <w:link w:val="HeaderChar"/>
    <w:uiPriority w:val="99"/>
    <w:unhideWhenUsed/>
    <w:rsid w:val="00513C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3C1A"/>
    <w:rPr>
      <w:rFonts w:ascii="Times New Roman" w:hAnsi="Times New Roman"/>
      <w:color w:val="000000" w:themeColor="text1"/>
      <w:sz w:val="24"/>
    </w:rPr>
  </w:style>
  <w:style w:type="paragraph" w:styleId="Footer">
    <w:name w:val="footer"/>
    <w:basedOn w:val="Normal"/>
    <w:link w:val="FooterChar"/>
    <w:uiPriority w:val="99"/>
    <w:unhideWhenUsed/>
    <w:rsid w:val="00513C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3C1A"/>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C155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55B3"/>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D1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E242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929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21"/>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D5177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51770"/>
    <w:pPr>
      <w:spacing w:after="100"/>
    </w:pPr>
  </w:style>
  <w:style w:type="character" w:styleId="Hyperlink">
    <w:name w:val="Hyperlink"/>
    <w:basedOn w:val="DefaultParagraphFont"/>
    <w:uiPriority w:val="99"/>
    <w:unhideWhenUsed/>
    <w:rsid w:val="00D51770"/>
    <w:rPr>
      <w:color w:val="0563C1" w:themeColor="hyperlink"/>
      <w:u w:val="single"/>
    </w:rPr>
  </w:style>
  <w:style w:type="paragraph" w:styleId="NormalWeb">
    <w:name w:val="Normal (Web)"/>
    <w:basedOn w:val="Normal"/>
    <w:uiPriority w:val="99"/>
    <w:unhideWhenUsed/>
    <w:rsid w:val="00860AF1"/>
    <w:pPr>
      <w:spacing w:before="100" w:beforeAutospacing="1" w:after="100" w:afterAutospacing="1" w:line="240" w:lineRule="auto"/>
      <w:jc w:val="left"/>
    </w:pPr>
    <w:rPr>
      <w:rFonts w:eastAsia="Times New Roman" w:cs="Times New Roman"/>
      <w:color w:val="auto"/>
      <w:szCs w:val="24"/>
    </w:rPr>
  </w:style>
  <w:style w:type="paragraph" w:styleId="ListParagraph">
    <w:name w:val="List Paragraph"/>
    <w:basedOn w:val="Normal"/>
    <w:uiPriority w:val="34"/>
    <w:qFormat/>
    <w:rsid w:val="00017B1A"/>
    <w:pPr>
      <w:ind w:left="720"/>
      <w:contextualSpacing/>
    </w:pPr>
  </w:style>
  <w:style w:type="character" w:styleId="Strong">
    <w:name w:val="Strong"/>
    <w:basedOn w:val="DefaultParagraphFont"/>
    <w:uiPriority w:val="22"/>
    <w:qFormat/>
    <w:rsid w:val="00B2611C"/>
    <w:rPr>
      <w:b/>
      <w:bCs/>
    </w:rPr>
  </w:style>
  <w:style w:type="character" w:customStyle="1" w:styleId="Heading2Char">
    <w:name w:val="Heading 2 Char"/>
    <w:basedOn w:val="DefaultParagraphFont"/>
    <w:link w:val="Heading2"/>
    <w:uiPriority w:val="9"/>
    <w:rsid w:val="00E9295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E27A8"/>
    <w:pPr>
      <w:spacing w:after="100"/>
      <w:ind w:left="240"/>
    </w:pPr>
  </w:style>
  <w:style w:type="paragraph" w:styleId="Header">
    <w:name w:val="header"/>
    <w:basedOn w:val="Normal"/>
    <w:link w:val="HeaderChar"/>
    <w:uiPriority w:val="99"/>
    <w:unhideWhenUsed/>
    <w:rsid w:val="00513C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3C1A"/>
    <w:rPr>
      <w:rFonts w:ascii="Times New Roman" w:hAnsi="Times New Roman"/>
      <w:color w:val="000000" w:themeColor="text1"/>
      <w:sz w:val="24"/>
    </w:rPr>
  </w:style>
  <w:style w:type="paragraph" w:styleId="Footer">
    <w:name w:val="footer"/>
    <w:basedOn w:val="Normal"/>
    <w:link w:val="FooterChar"/>
    <w:uiPriority w:val="99"/>
    <w:unhideWhenUsed/>
    <w:rsid w:val="00513C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3C1A"/>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C155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55B3"/>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0027215">
      <w:bodyDiv w:val="1"/>
      <w:marLeft w:val="0"/>
      <w:marRight w:val="0"/>
      <w:marTop w:val="0"/>
      <w:marBottom w:val="0"/>
      <w:divBdr>
        <w:top w:val="none" w:sz="0" w:space="0" w:color="auto"/>
        <w:left w:val="none" w:sz="0" w:space="0" w:color="auto"/>
        <w:bottom w:val="none" w:sz="0" w:space="0" w:color="auto"/>
        <w:right w:val="none" w:sz="0" w:space="0" w:color="auto"/>
      </w:divBdr>
    </w:div>
    <w:div w:id="830632811">
      <w:bodyDiv w:val="1"/>
      <w:marLeft w:val="0"/>
      <w:marRight w:val="0"/>
      <w:marTop w:val="0"/>
      <w:marBottom w:val="0"/>
      <w:divBdr>
        <w:top w:val="none" w:sz="0" w:space="0" w:color="auto"/>
        <w:left w:val="none" w:sz="0" w:space="0" w:color="auto"/>
        <w:bottom w:val="none" w:sz="0" w:space="0" w:color="auto"/>
        <w:right w:val="none" w:sz="0" w:space="0" w:color="auto"/>
      </w:divBdr>
    </w:div>
    <w:div w:id="966353935">
      <w:bodyDiv w:val="1"/>
      <w:marLeft w:val="0"/>
      <w:marRight w:val="0"/>
      <w:marTop w:val="0"/>
      <w:marBottom w:val="0"/>
      <w:divBdr>
        <w:top w:val="none" w:sz="0" w:space="0" w:color="auto"/>
        <w:left w:val="none" w:sz="0" w:space="0" w:color="auto"/>
        <w:bottom w:val="none" w:sz="0" w:space="0" w:color="auto"/>
        <w:right w:val="none" w:sz="0" w:space="0" w:color="auto"/>
      </w:divBdr>
    </w:div>
    <w:div w:id="1299142515">
      <w:bodyDiv w:val="1"/>
      <w:marLeft w:val="0"/>
      <w:marRight w:val="0"/>
      <w:marTop w:val="0"/>
      <w:marBottom w:val="0"/>
      <w:divBdr>
        <w:top w:val="none" w:sz="0" w:space="0" w:color="auto"/>
        <w:left w:val="none" w:sz="0" w:space="0" w:color="auto"/>
        <w:bottom w:val="none" w:sz="0" w:space="0" w:color="auto"/>
        <w:right w:val="none" w:sz="0" w:space="0" w:color="auto"/>
      </w:divBdr>
    </w:div>
    <w:div w:id="1450708907">
      <w:bodyDiv w:val="1"/>
      <w:marLeft w:val="0"/>
      <w:marRight w:val="0"/>
      <w:marTop w:val="0"/>
      <w:marBottom w:val="0"/>
      <w:divBdr>
        <w:top w:val="none" w:sz="0" w:space="0" w:color="auto"/>
        <w:left w:val="none" w:sz="0" w:space="0" w:color="auto"/>
        <w:bottom w:val="none" w:sz="0" w:space="0" w:color="auto"/>
        <w:right w:val="none" w:sz="0" w:space="0" w:color="auto"/>
      </w:divBdr>
    </w:div>
    <w:div w:id="1457261376">
      <w:bodyDiv w:val="1"/>
      <w:marLeft w:val="0"/>
      <w:marRight w:val="0"/>
      <w:marTop w:val="0"/>
      <w:marBottom w:val="0"/>
      <w:divBdr>
        <w:top w:val="none" w:sz="0" w:space="0" w:color="auto"/>
        <w:left w:val="none" w:sz="0" w:space="0" w:color="auto"/>
        <w:bottom w:val="none" w:sz="0" w:space="0" w:color="auto"/>
        <w:right w:val="none" w:sz="0" w:space="0" w:color="auto"/>
      </w:divBdr>
    </w:div>
    <w:div w:id="1723089688">
      <w:bodyDiv w:val="1"/>
      <w:marLeft w:val="0"/>
      <w:marRight w:val="0"/>
      <w:marTop w:val="0"/>
      <w:marBottom w:val="0"/>
      <w:divBdr>
        <w:top w:val="none" w:sz="0" w:space="0" w:color="auto"/>
        <w:left w:val="none" w:sz="0" w:space="0" w:color="auto"/>
        <w:bottom w:val="none" w:sz="0" w:space="0" w:color="auto"/>
        <w:right w:val="none" w:sz="0" w:space="0" w:color="auto"/>
      </w:divBdr>
    </w:div>
    <w:div w:id="2078894837">
      <w:bodyDiv w:val="1"/>
      <w:marLeft w:val="0"/>
      <w:marRight w:val="0"/>
      <w:marTop w:val="0"/>
      <w:marBottom w:val="0"/>
      <w:divBdr>
        <w:top w:val="none" w:sz="0" w:space="0" w:color="auto"/>
        <w:left w:val="none" w:sz="0" w:space="0" w:color="auto"/>
        <w:bottom w:val="none" w:sz="0" w:space="0" w:color="auto"/>
        <w:right w:val="none" w:sz="0" w:space="0" w:color="auto"/>
      </w:divBdr>
    </w:div>
    <w:div w:id="209978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652F7-ACF0-4BD1-87FA-BA534C6DD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2396</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Blaxel</dc:creator>
  <cp:lastModifiedBy>Alexa</cp:lastModifiedBy>
  <cp:revision>2</cp:revision>
  <dcterms:created xsi:type="dcterms:W3CDTF">2022-05-12T13:59:00Z</dcterms:created>
  <dcterms:modified xsi:type="dcterms:W3CDTF">2022-05-12T13:59:00Z</dcterms:modified>
</cp:coreProperties>
</file>