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C302C" w14:textId="77777777" w:rsidR="005070FD" w:rsidRPr="000035BF" w:rsidRDefault="005070FD" w:rsidP="005070FD">
      <w:pPr>
        <w:jc w:val="center"/>
        <w:rPr>
          <w:rFonts w:ascii="Arial" w:hAnsi="Arial" w:cs="Arial"/>
          <w:b/>
          <w:bCs/>
        </w:rPr>
      </w:pPr>
      <w:r w:rsidRPr="000035BF">
        <w:rPr>
          <w:rFonts w:ascii="Arial" w:hAnsi="Arial" w:cs="Arial"/>
          <w:b/>
          <w:bCs/>
        </w:rPr>
        <w:t>Student Name: Uzma Rani</w:t>
      </w:r>
    </w:p>
    <w:p w14:paraId="18874EF1" w14:textId="57D6D308" w:rsidR="005070FD" w:rsidRPr="000035BF" w:rsidRDefault="005070FD" w:rsidP="005070FD">
      <w:pPr>
        <w:jc w:val="center"/>
        <w:rPr>
          <w:rFonts w:ascii="Arial" w:hAnsi="Arial" w:cs="Arial"/>
          <w:b/>
          <w:bCs/>
        </w:rPr>
      </w:pPr>
      <w:r w:rsidRPr="000035BF">
        <w:rPr>
          <w:rFonts w:ascii="Arial" w:hAnsi="Arial" w:cs="Arial"/>
          <w:b/>
          <w:bCs/>
        </w:rPr>
        <w:t>Student Number: 2245024</w:t>
      </w:r>
    </w:p>
    <w:p w14:paraId="161F9B7B" w14:textId="6AF01CA1" w:rsidR="00AC7D38" w:rsidRPr="000035BF" w:rsidRDefault="00AC7D38" w:rsidP="005070FD">
      <w:pPr>
        <w:jc w:val="center"/>
        <w:rPr>
          <w:rFonts w:ascii="Arial" w:hAnsi="Arial" w:cs="Arial"/>
          <w:b/>
          <w:bCs/>
        </w:rPr>
      </w:pPr>
      <w:r w:rsidRPr="000035BF">
        <w:rPr>
          <w:rFonts w:ascii="Arial" w:hAnsi="Arial" w:cs="Arial"/>
          <w:b/>
          <w:bCs/>
        </w:rPr>
        <w:t>Module: BMHP6030</w:t>
      </w:r>
    </w:p>
    <w:p w14:paraId="6EA25892" w14:textId="495CD393" w:rsidR="00AC7D38" w:rsidRPr="000035BF" w:rsidRDefault="00AC7D38" w:rsidP="005070FD">
      <w:pPr>
        <w:jc w:val="center"/>
        <w:rPr>
          <w:rFonts w:ascii="Arial" w:hAnsi="Arial" w:cs="Arial"/>
          <w:b/>
          <w:bCs/>
        </w:rPr>
      </w:pPr>
      <w:r w:rsidRPr="000035BF">
        <w:rPr>
          <w:rFonts w:ascii="Arial" w:hAnsi="Arial" w:cs="Arial"/>
          <w:b/>
          <w:bCs/>
        </w:rPr>
        <w:t xml:space="preserve">Assignment Title: </w:t>
      </w:r>
      <w:r w:rsidRPr="000035BF">
        <w:rPr>
          <w:rFonts w:ascii="Arial" w:hAnsi="Arial" w:cs="Arial"/>
          <w:b/>
          <w:bCs/>
        </w:rPr>
        <w:t>Component: 2 – Written Assignment (Report)</w:t>
      </w:r>
    </w:p>
    <w:p w14:paraId="2FAB62EA" w14:textId="3BA17247" w:rsidR="00AC7D38" w:rsidRPr="000035BF" w:rsidRDefault="00AC7D38" w:rsidP="005070FD">
      <w:pPr>
        <w:jc w:val="center"/>
        <w:rPr>
          <w:rFonts w:ascii="Arial" w:hAnsi="Arial" w:cs="Arial"/>
          <w:b/>
          <w:bCs/>
        </w:rPr>
      </w:pPr>
      <w:r w:rsidRPr="000035BF">
        <w:rPr>
          <w:rFonts w:ascii="Arial" w:hAnsi="Arial" w:cs="Arial"/>
          <w:b/>
          <w:bCs/>
        </w:rPr>
        <w:t>Submission Date: 22/03/2026</w:t>
      </w:r>
    </w:p>
    <w:p w14:paraId="5CFE82AC" w14:textId="77777777" w:rsidR="00AC7D38" w:rsidRDefault="00AC7D38" w:rsidP="00AC7D38">
      <w:pPr>
        <w:rPr>
          <w:rFonts w:ascii="Arial" w:hAnsi="Arial" w:cs="Arial"/>
        </w:rPr>
      </w:pPr>
    </w:p>
    <w:p w14:paraId="2E7E9CAF" w14:textId="77777777" w:rsidR="000035BF" w:rsidRDefault="000035BF" w:rsidP="00AC7D38">
      <w:pPr>
        <w:rPr>
          <w:rFonts w:ascii="Arial" w:hAnsi="Arial" w:cs="Arial"/>
        </w:rPr>
      </w:pPr>
    </w:p>
    <w:p w14:paraId="1EF24E04" w14:textId="77777777" w:rsidR="000035BF" w:rsidRDefault="000035BF" w:rsidP="00AC7D38">
      <w:pPr>
        <w:rPr>
          <w:rFonts w:ascii="Arial" w:hAnsi="Arial" w:cs="Arial"/>
        </w:rPr>
      </w:pPr>
    </w:p>
    <w:p w14:paraId="4D35F2B2" w14:textId="77777777" w:rsidR="000035BF" w:rsidRDefault="000035BF" w:rsidP="00AC7D38">
      <w:pPr>
        <w:rPr>
          <w:rFonts w:ascii="Arial" w:hAnsi="Arial" w:cs="Arial"/>
        </w:rPr>
      </w:pPr>
    </w:p>
    <w:p w14:paraId="5A9531CE" w14:textId="77777777" w:rsidR="000035BF" w:rsidRDefault="000035BF" w:rsidP="00AC7D38">
      <w:pPr>
        <w:rPr>
          <w:rFonts w:ascii="Arial" w:hAnsi="Arial" w:cs="Arial"/>
        </w:rPr>
      </w:pPr>
    </w:p>
    <w:p w14:paraId="4D6C2FB4" w14:textId="77777777" w:rsidR="000035BF" w:rsidRDefault="000035BF" w:rsidP="00AC7D38">
      <w:pPr>
        <w:rPr>
          <w:rFonts w:ascii="Arial" w:hAnsi="Arial" w:cs="Arial"/>
        </w:rPr>
      </w:pPr>
    </w:p>
    <w:p w14:paraId="1EBF11DD" w14:textId="77777777" w:rsidR="000035BF" w:rsidRDefault="000035BF" w:rsidP="00AC7D38">
      <w:pPr>
        <w:rPr>
          <w:rFonts w:ascii="Arial" w:hAnsi="Arial" w:cs="Arial"/>
        </w:rPr>
      </w:pPr>
    </w:p>
    <w:p w14:paraId="2AB10D27" w14:textId="77777777" w:rsidR="000035BF" w:rsidRDefault="000035BF" w:rsidP="00AC7D38">
      <w:pPr>
        <w:rPr>
          <w:rFonts w:ascii="Arial" w:hAnsi="Arial" w:cs="Arial"/>
        </w:rPr>
      </w:pPr>
    </w:p>
    <w:p w14:paraId="213FB2AF" w14:textId="77777777" w:rsidR="000035BF" w:rsidRDefault="000035BF" w:rsidP="00AC7D38">
      <w:pPr>
        <w:rPr>
          <w:rFonts w:ascii="Arial" w:hAnsi="Arial" w:cs="Arial"/>
        </w:rPr>
      </w:pPr>
    </w:p>
    <w:p w14:paraId="3037CF1A" w14:textId="77777777" w:rsidR="000035BF" w:rsidRDefault="000035BF" w:rsidP="00AC7D38">
      <w:pPr>
        <w:rPr>
          <w:rFonts w:ascii="Arial" w:hAnsi="Arial" w:cs="Arial"/>
        </w:rPr>
      </w:pPr>
    </w:p>
    <w:p w14:paraId="6A06D066" w14:textId="77777777" w:rsidR="000035BF" w:rsidRDefault="000035BF" w:rsidP="00AC7D38">
      <w:pPr>
        <w:rPr>
          <w:rFonts w:ascii="Arial" w:hAnsi="Arial" w:cs="Arial"/>
        </w:rPr>
      </w:pPr>
    </w:p>
    <w:p w14:paraId="1E7E4641" w14:textId="77777777" w:rsidR="000035BF" w:rsidRDefault="000035BF" w:rsidP="00AC7D38">
      <w:pPr>
        <w:rPr>
          <w:rFonts w:ascii="Arial" w:hAnsi="Arial" w:cs="Arial"/>
        </w:rPr>
      </w:pPr>
    </w:p>
    <w:p w14:paraId="2DBEB0C9" w14:textId="77777777" w:rsidR="000035BF" w:rsidRDefault="000035BF" w:rsidP="00AC7D38">
      <w:pPr>
        <w:rPr>
          <w:rFonts w:ascii="Arial" w:hAnsi="Arial" w:cs="Arial"/>
        </w:rPr>
      </w:pPr>
    </w:p>
    <w:p w14:paraId="5A7931AA" w14:textId="77777777" w:rsidR="000035BF" w:rsidRDefault="000035BF" w:rsidP="00AC7D38">
      <w:pPr>
        <w:rPr>
          <w:rFonts w:ascii="Arial" w:hAnsi="Arial" w:cs="Arial"/>
        </w:rPr>
      </w:pPr>
    </w:p>
    <w:p w14:paraId="3D53F59D" w14:textId="77777777" w:rsidR="000035BF" w:rsidRDefault="000035BF" w:rsidP="00AC7D38">
      <w:pPr>
        <w:rPr>
          <w:rFonts w:ascii="Arial" w:hAnsi="Arial" w:cs="Arial"/>
        </w:rPr>
      </w:pPr>
    </w:p>
    <w:p w14:paraId="47FC47E1" w14:textId="77777777" w:rsidR="000035BF" w:rsidRDefault="000035BF" w:rsidP="00AC7D38">
      <w:pPr>
        <w:rPr>
          <w:rFonts w:ascii="Arial" w:hAnsi="Arial" w:cs="Arial"/>
        </w:rPr>
      </w:pPr>
    </w:p>
    <w:p w14:paraId="237FA686" w14:textId="77777777" w:rsidR="000035BF" w:rsidRDefault="000035BF" w:rsidP="00AC7D38">
      <w:pPr>
        <w:rPr>
          <w:rFonts w:ascii="Arial" w:hAnsi="Arial" w:cs="Arial"/>
        </w:rPr>
      </w:pPr>
    </w:p>
    <w:p w14:paraId="4FA89232" w14:textId="77777777" w:rsidR="000035BF" w:rsidRDefault="000035BF" w:rsidP="00AC7D38">
      <w:pPr>
        <w:rPr>
          <w:rFonts w:ascii="Arial" w:hAnsi="Arial" w:cs="Arial"/>
        </w:rPr>
      </w:pPr>
    </w:p>
    <w:p w14:paraId="64800834" w14:textId="77777777" w:rsidR="000035BF" w:rsidRDefault="000035BF" w:rsidP="00AC7D38">
      <w:pPr>
        <w:rPr>
          <w:rFonts w:ascii="Arial" w:hAnsi="Arial" w:cs="Arial"/>
        </w:rPr>
      </w:pPr>
    </w:p>
    <w:p w14:paraId="6D2BBD07" w14:textId="77777777" w:rsidR="000035BF" w:rsidRDefault="000035BF" w:rsidP="00AC7D38">
      <w:pPr>
        <w:rPr>
          <w:rFonts w:ascii="Arial" w:hAnsi="Arial" w:cs="Arial"/>
        </w:rPr>
      </w:pPr>
    </w:p>
    <w:p w14:paraId="07F248E6" w14:textId="77777777" w:rsidR="000035BF" w:rsidRDefault="000035BF" w:rsidP="00AC7D38">
      <w:pPr>
        <w:rPr>
          <w:rFonts w:ascii="Arial" w:hAnsi="Arial" w:cs="Arial"/>
        </w:rPr>
      </w:pPr>
    </w:p>
    <w:p w14:paraId="50654689" w14:textId="77777777" w:rsidR="000035BF" w:rsidRDefault="000035BF" w:rsidP="00AC7D38">
      <w:pPr>
        <w:rPr>
          <w:rFonts w:ascii="Arial" w:hAnsi="Arial" w:cs="Arial"/>
        </w:rPr>
      </w:pPr>
    </w:p>
    <w:sdt>
      <w:sdtPr>
        <w:id w:val="115095263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F651051" w14:textId="48F6DEEA" w:rsidR="000035BF" w:rsidRDefault="000035BF">
          <w:pPr>
            <w:pStyle w:val="TOCHeading"/>
          </w:pPr>
          <w:r>
            <w:t>Contents</w:t>
          </w:r>
        </w:p>
        <w:p w14:paraId="5E851E0B" w14:textId="01C202A6" w:rsidR="000035BF" w:rsidRDefault="000035B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025311" w:history="1">
            <w:r w:rsidRPr="006559CD">
              <w:rPr>
                <w:rStyle w:val="Hyperlink"/>
                <w:rFonts w:ascii="Arial" w:hAnsi="Arial" w:cs="Arial"/>
                <w:b/>
                <w:bCs/>
                <w:noProof/>
              </w:rPr>
              <w:t>Critical Examination of SDG 3 and SDG 6: Health, Wellbeing, and Water Security</w:t>
            </w:r>
            <w:r>
              <w:rPr>
                <w:noProof/>
                <w:webHidden/>
              </w:rPr>
              <w:tab/>
            </w:r>
            <w:r>
              <w:rPr>
                <w:noProof/>
                <w:webHidden/>
              </w:rPr>
              <w:fldChar w:fldCharType="begin"/>
            </w:r>
            <w:r>
              <w:rPr>
                <w:noProof/>
                <w:webHidden/>
              </w:rPr>
              <w:instrText xml:space="preserve"> PAGEREF _Toc225025311 \h </w:instrText>
            </w:r>
            <w:r>
              <w:rPr>
                <w:noProof/>
                <w:webHidden/>
              </w:rPr>
            </w:r>
            <w:r>
              <w:rPr>
                <w:noProof/>
                <w:webHidden/>
              </w:rPr>
              <w:fldChar w:fldCharType="separate"/>
            </w:r>
            <w:r>
              <w:rPr>
                <w:noProof/>
                <w:webHidden/>
              </w:rPr>
              <w:t>3</w:t>
            </w:r>
            <w:r>
              <w:rPr>
                <w:noProof/>
                <w:webHidden/>
              </w:rPr>
              <w:fldChar w:fldCharType="end"/>
            </w:r>
          </w:hyperlink>
        </w:p>
        <w:p w14:paraId="33DE6C5B" w14:textId="239C63EC" w:rsidR="000035BF" w:rsidRDefault="000035BF">
          <w:pPr>
            <w:pStyle w:val="TOC2"/>
            <w:tabs>
              <w:tab w:val="right" w:leader="dot" w:pos="9016"/>
            </w:tabs>
            <w:rPr>
              <w:rFonts w:eastAsiaTheme="minorEastAsia"/>
              <w:noProof/>
              <w:lang w:eastAsia="en-GB"/>
            </w:rPr>
          </w:pPr>
          <w:hyperlink w:anchor="_Toc225025312" w:history="1">
            <w:r w:rsidRPr="006559CD">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_Toc225025312 \h </w:instrText>
            </w:r>
            <w:r>
              <w:rPr>
                <w:noProof/>
                <w:webHidden/>
              </w:rPr>
            </w:r>
            <w:r>
              <w:rPr>
                <w:noProof/>
                <w:webHidden/>
              </w:rPr>
              <w:fldChar w:fldCharType="separate"/>
            </w:r>
            <w:r>
              <w:rPr>
                <w:noProof/>
                <w:webHidden/>
              </w:rPr>
              <w:t>3</w:t>
            </w:r>
            <w:r>
              <w:rPr>
                <w:noProof/>
                <w:webHidden/>
              </w:rPr>
              <w:fldChar w:fldCharType="end"/>
            </w:r>
          </w:hyperlink>
        </w:p>
        <w:p w14:paraId="76EFA929" w14:textId="69BA29BB" w:rsidR="000035BF" w:rsidRDefault="000035BF">
          <w:pPr>
            <w:pStyle w:val="TOC2"/>
            <w:tabs>
              <w:tab w:val="right" w:leader="dot" w:pos="9016"/>
            </w:tabs>
            <w:rPr>
              <w:rFonts w:eastAsiaTheme="minorEastAsia"/>
              <w:noProof/>
              <w:lang w:eastAsia="en-GB"/>
            </w:rPr>
          </w:pPr>
          <w:hyperlink w:anchor="_Toc225025313" w:history="1">
            <w:r w:rsidRPr="006559CD">
              <w:rPr>
                <w:rStyle w:val="Hyperlink"/>
                <w:rFonts w:ascii="Arial" w:hAnsi="Arial" w:cs="Arial"/>
                <w:b/>
                <w:bCs/>
                <w:noProof/>
              </w:rPr>
              <w:t>Section 1: SDG 3 – Good Health and Wellbeing</w:t>
            </w:r>
            <w:r>
              <w:rPr>
                <w:noProof/>
                <w:webHidden/>
              </w:rPr>
              <w:tab/>
            </w:r>
            <w:r>
              <w:rPr>
                <w:noProof/>
                <w:webHidden/>
              </w:rPr>
              <w:fldChar w:fldCharType="begin"/>
            </w:r>
            <w:r>
              <w:rPr>
                <w:noProof/>
                <w:webHidden/>
              </w:rPr>
              <w:instrText xml:space="preserve"> PAGEREF _Toc225025313 \h </w:instrText>
            </w:r>
            <w:r>
              <w:rPr>
                <w:noProof/>
                <w:webHidden/>
              </w:rPr>
            </w:r>
            <w:r>
              <w:rPr>
                <w:noProof/>
                <w:webHidden/>
              </w:rPr>
              <w:fldChar w:fldCharType="separate"/>
            </w:r>
            <w:r>
              <w:rPr>
                <w:noProof/>
                <w:webHidden/>
              </w:rPr>
              <w:t>3</w:t>
            </w:r>
            <w:r>
              <w:rPr>
                <w:noProof/>
                <w:webHidden/>
              </w:rPr>
              <w:fldChar w:fldCharType="end"/>
            </w:r>
          </w:hyperlink>
        </w:p>
        <w:p w14:paraId="63397C62" w14:textId="1666FC44" w:rsidR="000035BF" w:rsidRDefault="000035BF">
          <w:pPr>
            <w:pStyle w:val="TOC3"/>
            <w:tabs>
              <w:tab w:val="right" w:leader="dot" w:pos="9016"/>
            </w:tabs>
            <w:rPr>
              <w:rFonts w:eastAsiaTheme="minorEastAsia"/>
              <w:noProof/>
              <w:lang w:eastAsia="en-GB"/>
            </w:rPr>
          </w:pPr>
          <w:hyperlink w:anchor="_Toc225025314" w:history="1">
            <w:r w:rsidRPr="006559CD">
              <w:rPr>
                <w:rStyle w:val="Hyperlink"/>
                <w:rFonts w:ascii="Arial" w:hAnsi="Arial" w:cs="Arial"/>
                <w:noProof/>
              </w:rPr>
              <w:t>Overview of SDG 3: Good Health and Wellbeing</w:t>
            </w:r>
            <w:r>
              <w:rPr>
                <w:noProof/>
                <w:webHidden/>
              </w:rPr>
              <w:tab/>
            </w:r>
            <w:r>
              <w:rPr>
                <w:noProof/>
                <w:webHidden/>
              </w:rPr>
              <w:fldChar w:fldCharType="begin"/>
            </w:r>
            <w:r>
              <w:rPr>
                <w:noProof/>
                <w:webHidden/>
              </w:rPr>
              <w:instrText xml:space="preserve"> PAGEREF _Toc225025314 \h </w:instrText>
            </w:r>
            <w:r>
              <w:rPr>
                <w:noProof/>
                <w:webHidden/>
              </w:rPr>
            </w:r>
            <w:r>
              <w:rPr>
                <w:noProof/>
                <w:webHidden/>
              </w:rPr>
              <w:fldChar w:fldCharType="separate"/>
            </w:r>
            <w:r>
              <w:rPr>
                <w:noProof/>
                <w:webHidden/>
              </w:rPr>
              <w:t>3</w:t>
            </w:r>
            <w:r>
              <w:rPr>
                <w:noProof/>
                <w:webHidden/>
              </w:rPr>
              <w:fldChar w:fldCharType="end"/>
            </w:r>
          </w:hyperlink>
        </w:p>
        <w:p w14:paraId="2F65AA6C" w14:textId="7CA874EC" w:rsidR="000035BF" w:rsidRDefault="000035BF">
          <w:pPr>
            <w:pStyle w:val="TOC3"/>
            <w:tabs>
              <w:tab w:val="right" w:leader="dot" w:pos="9016"/>
            </w:tabs>
            <w:rPr>
              <w:rFonts w:eastAsiaTheme="minorEastAsia"/>
              <w:noProof/>
              <w:lang w:eastAsia="en-GB"/>
            </w:rPr>
          </w:pPr>
          <w:hyperlink w:anchor="_Toc225025315" w:history="1">
            <w:r w:rsidRPr="006559CD">
              <w:rPr>
                <w:rStyle w:val="Hyperlink"/>
                <w:rFonts w:ascii="Arial" w:hAnsi="Arial" w:cs="Arial"/>
                <w:noProof/>
              </w:rPr>
              <w:t>Global Policies and Initiatives</w:t>
            </w:r>
            <w:r>
              <w:rPr>
                <w:noProof/>
                <w:webHidden/>
              </w:rPr>
              <w:tab/>
            </w:r>
            <w:r>
              <w:rPr>
                <w:noProof/>
                <w:webHidden/>
              </w:rPr>
              <w:fldChar w:fldCharType="begin"/>
            </w:r>
            <w:r>
              <w:rPr>
                <w:noProof/>
                <w:webHidden/>
              </w:rPr>
              <w:instrText xml:space="preserve"> PAGEREF _Toc225025315 \h </w:instrText>
            </w:r>
            <w:r>
              <w:rPr>
                <w:noProof/>
                <w:webHidden/>
              </w:rPr>
            </w:r>
            <w:r>
              <w:rPr>
                <w:noProof/>
                <w:webHidden/>
              </w:rPr>
              <w:fldChar w:fldCharType="separate"/>
            </w:r>
            <w:r>
              <w:rPr>
                <w:noProof/>
                <w:webHidden/>
              </w:rPr>
              <w:t>4</w:t>
            </w:r>
            <w:r>
              <w:rPr>
                <w:noProof/>
                <w:webHidden/>
              </w:rPr>
              <w:fldChar w:fldCharType="end"/>
            </w:r>
          </w:hyperlink>
        </w:p>
        <w:p w14:paraId="6A47BD82" w14:textId="7083A7DF" w:rsidR="000035BF" w:rsidRDefault="000035BF">
          <w:pPr>
            <w:pStyle w:val="TOC3"/>
            <w:tabs>
              <w:tab w:val="right" w:leader="dot" w:pos="9016"/>
            </w:tabs>
            <w:rPr>
              <w:rFonts w:eastAsiaTheme="minorEastAsia"/>
              <w:noProof/>
              <w:lang w:eastAsia="en-GB"/>
            </w:rPr>
          </w:pPr>
          <w:hyperlink w:anchor="_Toc225025316" w:history="1">
            <w:r w:rsidRPr="006559CD">
              <w:rPr>
                <w:rStyle w:val="Hyperlink"/>
                <w:rFonts w:ascii="Arial" w:hAnsi="Arial" w:cs="Arial"/>
                <w:noProof/>
              </w:rPr>
              <w:t>UK Policies and Initiatives</w:t>
            </w:r>
            <w:r>
              <w:rPr>
                <w:noProof/>
                <w:webHidden/>
              </w:rPr>
              <w:tab/>
            </w:r>
            <w:r>
              <w:rPr>
                <w:noProof/>
                <w:webHidden/>
              </w:rPr>
              <w:fldChar w:fldCharType="begin"/>
            </w:r>
            <w:r>
              <w:rPr>
                <w:noProof/>
                <w:webHidden/>
              </w:rPr>
              <w:instrText xml:space="preserve"> PAGEREF _Toc225025316 \h </w:instrText>
            </w:r>
            <w:r>
              <w:rPr>
                <w:noProof/>
                <w:webHidden/>
              </w:rPr>
            </w:r>
            <w:r>
              <w:rPr>
                <w:noProof/>
                <w:webHidden/>
              </w:rPr>
              <w:fldChar w:fldCharType="separate"/>
            </w:r>
            <w:r>
              <w:rPr>
                <w:noProof/>
                <w:webHidden/>
              </w:rPr>
              <w:t>4</w:t>
            </w:r>
            <w:r>
              <w:rPr>
                <w:noProof/>
                <w:webHidden/>
              </w:rPr>
              <w:fldChar w:fldCharType="end"/>
            </w:r>
          </w:hyperlink>
        </w:p>
        <w:p w14:paraId="5D3E20FB" w14:textId="7D1EE01B" w:rsidR="000035BF" w:rsidRDefault="000035BF">
          <w:pPr>
            <w:pStyle w:val="TOC3"/>
            <w:tabs>
              <w:tab w:val="right" w:leader="dot" w:pos="9016"/>
            </w:tabs>
            <w:rPr>
              <w:rFonts w:eastAsiaTheme="minorEastAsia"/>
              <w:noProof/>
              <w:lang w:eastAsia="en-GB"/>
            </w:rPr>
          </w:pPr>
          <w:hyperlink w:anchor="_Toc225025317" w:history="1">
            <w:r w:rsidRPr="006559CD">
              <w:rPr>
                <w:rStyle w:val="Hyperlink"/>
                <w:rFonts w:ascii="Arial" w:hAnsi="Arial" w:cs="Arial"/>
                <w:noProof/>
              </w:rPr>
              <w:t>Theoretical Frameworks</w:t>
            </w:r>
            <w:r>
              <w:rPr>
                <w:noProof/>
                <w:webHidden/>
              </w:rPr>
              <w:tab/>
            </w:r>
            <w:r>
              <w:rPr>
                <w:noProof/>
                <w:webHidden/>
              </w:rPr>
              <w:fldChar w:fldCharType="begin"/>
            </w:r>
            <w:r>
              <w:rPr>
                <w:noProof/>
                <w:webHidden/>
              </w:rPr>
              <w:instrText xml:space="preserve"> PAGEREF _Toc225025317 \h </w:instrText>
            </w:r>
            <w:r>
              <w:rPr>
                <w:noProof/>
                <w:webHidden/>
              </w:rPr>
            </w:r>
            <w:r>
              <w:rPr>
                <w:noProof/>
                <w:webHidden/>
              </w:rPr>
              <w:fldChar w:fldCharType="separate"/>
            </w:r>
            <w:r>
              <w:rPr>
                <w:noProof/>
                <w:webHidden/>
              </w:rPr>
              <w:t>4</w:t>
            </w:r>
            <w:r>
              <w:rPr>
                <w:noProof/>
                <w:webHidden/>
              </w:rPr>
              <w:fldChar w:fldCharType="end"/>
            </w:r>
          </w:hyperlink>
        </w:p>
        <w:p w14:paraId="33842795" w14:textId="217097BB" w:rsidR="000035BF" w:rsidRDefault="000035BF">
          <w:pPr>
            <w:pStyle w:val="TOC3"/>
            <w:tabs>
              <w:tab w:val="right" w:leader="dot" w:pos="9016"/>
            </w:tabs>
            <w:rPr>
              <w:rFonts w:eastAsiaTheme="minorEastAsia"/>
              <w:noProof/>
              <w:lang w:eastAsia="en-GB"/>
            </w:rPr>
          </w:pPr>
          <w:hyperlink w:anchor="_Toc225025318" w:history="1">
            <w:r w:rsidRPr="006559CD">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_Toc225025318 \h </w:instrText>
            </w:r>
            <w:r>
              <w:rPr>
                <w:noProof/>
                <w:webHidden/>
              </w:rPr>
            </w:r>
            <w:r>
              <w:rPr>
                <w:noProof/>
                <w:webHidden/>
              </w:rPr>
              <w:fldChar w:fldCharType="separate"/>
            </w:r>
            <w:r>
              <w:rPr>
                <w:noProof/>
                <w:webHidden/>
              </w:rPr>
              <w:t>4</w:t>
            </w:r>
            <w:r>
              <w:rPr>
                <w:noProof/>
                <w:webHidden/>
              </w:rPr>
              <w:fldChar w:fldCharType="end"/>
            </w:r>
          </w:hyperlink>
        </w:p>
        <w:p w14:paraId="6FEF5645" w14:textId="1269C1D7" w:rsidR="000035BF" w:rsidRDefault="000035BF">
          <w:pPr>
            <w:pStyle w:val="TOC3"/>
            <w:tabs>
              <w:tab w:val="right" w:leader="dot" w:pos="9016"/>
            </w:tabs>
            <w:rPr>
              <w:rFonts w:eastAsiaTheme="minorEastAsia"/>
              <w:noProof/>
              <w:lang w:eastAsia="en-GB"/>
            </w:rPr>
          </w:pPr>
          <w:hyperlink w:anchor="_Toc225025319" w:history="1">
            <w:r w:rsidRPr="006559C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_Toc225025319 \h </w:instrText>
            </w:r>
            <w:r>
              <w:rPr>
                <w:noProof/>
                <w:webHidden/>
              </w:rPr>
            </w:r>
            <w:r>
              <w:rPr>
                <w:noProof/>
                <w:webHidden/>
              </w:rPr>
              <w:fldChar w:fldCharType="separate"/>
            </w:r>
            <w:r>
              <w:rPr>
                <w:noProof/>
                <w:webHidden/>
              </w:rPr>
              <w:t>5</w:t>
            </w:r>
            <w:r>
              <w:rPr>
                <w:noProof/>
                <w:webHidden/>
              </w:rPr>
              <w:fldChar w:fldCharType="end"/>
            </w:r>
          </w:hyperlink>
        </w:p>
        <w:p w14:paraId="4BCD786C" w14:textId="2DA544C0" w:rsidR="000035BF" w:rsidRDefault="000035BF">
          <w:pPr>
            <w:pStyle w:val="TOC2"/>
            <w:tabs>
              <w:tab w:val="right" w:leader="dot" w:pos="9016"/>
            </w:tabs>
            <w:rPr>
              <w:rFonts w:eastAsiaTheme="minorEastAsia"/>
              <w:noProof/>
              <w:lang w:eastAsia="en-GB"/>
            </w:rPr>
          </w:pPr>
          <w:hyperlink w:anchor="_Toc225025320" w:history="1">
            <w:r w:rsidRPr="006559CD">
              <w:rPr>
                <w:rStyle w:val="Hyperlink"/>
                <w:rFonts w:ascii="Arial" w:hAnsi="Arial" w:cs="Arial"/>
                <w:b/>
                <w:bCs/>
                <w:noProof/>
              </w:rPr>
              <w:t>Section 2: SDG 6 – Clean Water and Sanitation</w:t>
            </w:r>
            <w:r>
              <w:rPr>
                <w:noProof/>
                <w:webHidden/>
              </w:rPr>
              <w:tab/>
            </w:r>
            <w:r>
              <w:rPr>
                <w:noProof/>
                <w:webHidden/>
              </w:rPr>
              <w:fldChar w:fldCharType="begin"/>
            </w:r>
            <w:r>
              <w:rPr>
                <w:noProof/>
                <w:webHidden/>
              </w:rPr>
              <w:instrText xml:space="preserve"> PAGEREF _Toc225025320 \h </w:instrText>
            </w:r>
            <w:r>
              <w:rPr>
                <w:noProof/>
                <w:webHidden/>
              </w:rPr>
            </w:r>
            <w:r>
              <w:rPr>
                <w:noProof/>
                <w:webHidden/>
              </w:rPr>
              <w:fldChar w:fldCharType="separate"/>
            </w:r>
            <w:r>
              <w:rPr>
                <w:noProof/>
                <w:webHidden/>
              </w:rPr>
              <w:t>5</w:t>
            </w:r>
            <w:r>
              <w:rPr>
                <w:noProof/>
                <w:webHidden/>
              </w:rPr>
              <w:fldChar w:fldCharType="end"/>
            </w:r>
          </w:hyperlink>
        </w:p>
        <w:p w14:paraId="24919BAE" w14:textId="39C4BCB4" w:rsidR="000035BF" w:rsidRDefault="000035BF">
          <w:pPr>
            <w:pStyle w:val="TOC3"/>
            <w:tabs>
              <w:tab w:val="right" w:leader="dot" w:pos="9016"/>
            </w:tabs>
            <w:rPr>
              <w:rFonts w:eastAsiaTheme="minorEastAsia"/>
              <w:noProof/>
              <w:lang w:eastAsia="en-GB"/>
            </w:rPr>
          </w:pPr>
          <w:hyperlink w:anchor="_Toc225025321" w:history="1">
            <w:r w:rsidRPr="006559CD">
              <w:rPr>
                <w:rStyle w:val="Hyperlink"/>
                <w:rFonts w:ascii="Arial" w:hAnsi="Arial" w:cs="Arial"/>
                <w:noProof/>
              </w:rPr>
              <w:t>Overview of SDG 6: Clean Water and Sanitation</w:t>
            </w:r>
            <w:r>
              <w:rPr>
                <w:noProof/>
                <w:webHidden/>
              </w:rPr>
              <w:tab/>
            </w:r>
            <w:r>
              <w:rPr>
                <w:noProof/>
                <w:webHidden/>
              </w:rPr>
              <w:fldChar w:fldCharType="begin"/>
            </w:r>
            <w:r>
              <w:rPr>
                <w:noProof/>
                <w:webHidden/>
              </w:rPr>
              <w:instrText xml:space="preserve"> PAGEREF _Toc225025321 \h </w:instrText>
            </w:r>
            <w:r>
              <w:rPr>
                <w:noProof/>
                <w:webHidden/>
              </w:rPr>
            </w:r>
            <w:r>
              <w:rPr>
                <w:noProof/>
                <w:webHidden/>
              </w:rPr>
              <w:fldChar w:fldCharType="separate"/>
            </w:r>
            <w:r>
              <w:rPr>
                <w:noProof/>
                <w:webHidden/>
              </w:rPr>
              <w:t>5</w:t>
            </w:r>
            <w:r>
              <w:rPr>
                <w:noProof/>
                <w:webHidden/>
              </w:rPr>
              <w:fldChar w:fldCharType="end"/>
            </w:r>
          </w:hyperlink>
        </w:p>
        <w:p w14:paraId="010E30E4" w14:textId="41539E66" w:rsidR="000035BF" w:rsidRDefault="000035BF">
          <w:pPr>
            <w:pStyle w:val="TOC3"/>
            <w:tabs>
              <w:tab w:val="right" w:leader="dot" w:pos="9016"/>
            </w:tabs>
            <w:rPr>
              <w:rFonts w:eastAsiaTheme="minorEastAsia"/>
              <w:noProof/>
              <w:lang w:eastAsia="en-GB"/>
            </w:rPr>
          </w:pPr>
          <w:hyperlink w:anchor="_Toc225025322" w:history="1">
            <w:r w:rsidRPr="006559CD">
              <w:rPr>
                <w:rStyle w:val="Hyperlink"/>
                <w:rFonts w:ascii="Arial" w:hAnsi="Arial" w:cs="Arial"/>
                <w:noProof/>
              </w:rPr>
              <w:t>Global Policies and Initiatives</w:t>
            </w:r>
            <w:r>
              <w:rPr>
                <w:noProof/>
                <w:webHidden/>
              </w:rPr>
              <w:tab/>
            </w:r>
            <w:r>
              <w:rPr>
                <w:noProof/>
                <w:webHidden/>
              </w:rPr>
              <w:fldChar w:fldCharType="begin"/>
            </w:r>
            <w:r>
              <w:rPr>
                <w:noProof/>
                <w:webHidden/>
              </w:rPr>
              <w:instrText xml:space="preserve"> PAGEREF _Toc225025322 \h </w:instrText>
            </w:r>
            <w:r>
              <w:rPr>
                <w:noProof/>
                <w:webHidden/>
              </w:rPr>
            </w:r>
            <w:r>
              <w:rPr>
                <w:noProof/>
                <w:webHidden/>
              </w:rPr>
              <w:fldChar w:fldCharType="separate"/>
            </w:r>
            <w:r>
              <w:rPr>
                <w:noProof/>
                <w:webHidden/>
              </w:rPr>
              <w:t>6</w:t>
            </w:r>
            <w:r>
              <w:rPr>
                <w:noProof/>
                <w:webHidden/>
              </w:rPr>
              <w:fldChar w:fldCharType="end"/>
            </w:r>
          </w:hyperlink>
        </w:p>
        <w:p w14:paraId="187643AB" w14:textId="07762540" w:rsidR="000035BF" w:rsidRDefault="000035BF">
          <w:pPr>
            <w:pStyle w:val="TOC3"/>
            <w:tabs>
              <w:tab w:val="right" w:leader="dot" w:pos="9016"/>
            </w:tabs>
            <w:rPr>
              <w:rFonts w:eastAsiaTheme="minorEastAsia"/>
              <w:noProof/>
              <w:lang w:eastAsia="en-GB"/>
            </w:rPr>
          </w:pPr>
          <w:hyperlink w:anchor="_Toc225025323" w:history="1">
            <w:r w:rsidRPr="006559CD">
              <w:rPr>
                <w:rStyle w:val="Hyperlink"/>
                <w:rFonts w:ascii="Arial" w:hAnsi="Arial" w:cs="Arial"/>
                <w:noProof/>
              </w:rPr>
              <w:t>UK Policies and Initiatives</w:t>
            </w:r>
            <w:r>
              <w:rPr>
                <w:noProof/>
                <w:webHidden/>
              </w:rPr>
              <w:tab/>
            </w:r>
            <w:r>
              <w:rPr>
                <w:noProof/>
                <w:webHidden/>
              </w:rPr>
              <w:fldChar w:fldCharType="begin"/>
            </w:r>
            <w:r>
              <w:rPr>
                <w:noProof/>
                <w:webHidden/>
              </w:rPr>
              <w:instrText xml:space="preserve"> PAGEREF _Toc225025323 \h </w:instrText>
            </w:r>
            <w:r>
              <w:rPr>
                <w:noProof/>
                <w:webHidden/>
              </w:rPr>
            </w:r>
            <w:r>
              <w:rPr>
                <w:noProof/>
                <w:webHidden/>
              </w:rPr>
              <w:fldChar w:fldCharType="separate"/>
            </w:r>
            <w:r>
              <w:rPr>
                <w:noProof/>
                <w:webHidden/>
              </w:rPr>
              <w:t>6</w:t>
            </w:r>
            <w:r>
              <w:rPr>
                <w:noProof/>
                <w:webHidden/>
              </w:rPr>
              <w:fldChar w:fldCharType="end"/>
            </w:r>
          </w:hyperlink>
        </w:p>
        <w:p w14:paraId="0C0EAA60" w14:textId="70C1E6B5" w:rsidR="000035BF" w:rsidRDefault="000035BF">
          <w:pPr>
            <w:pStyle w:val="TOC3"/>
            <w:tabs>
              <w:tab w:val="right" w:leader="dot" w:pos="9016"/>
            </w:tabs>
            <w:rPr>
              <w:rFonts w:eastAsiaTheme="minorEastAsia"/>
              <w:noProof/>
              <w:lang w:eastAsia="en-GB"/>
            </w:rPr>
          </w:pPr>
          <w:hyperlink w:anchor="_Toc225025324" w:history="1">
            <w:r w:rsidRPr="006559CD">
              <w:rPr>
                <w:rStyle w:val="Hyperlink"/>
                <w:rFonts w:ascii="Arial" w:hAnsi="Arial" w:cs="Arial"/>
                <w:noProof/>
              </w:rPr>
              <w:t>Theoretical Frameworks</w:t>
            </w:r>
            <w:r>
              <w:rPr>
                <w:noProof/>
                <w:webHidden/>
              </w:rPr>
              <w:tab/>
            </w:r>
            <w:r>
              <w:rPr>
                <w:noProof/>
                <w:webHidden/>
              </w:rPr>
              <w:fldChar w:fldCharType="begin"/>
            </w:r>
            <w:r>
              <w:rPr>
                <w:noProof/>
                <w:webHidden/>
              </w:rPr>
              <w:instrText xml:space="preserve"> PAGEREF _Toc225025324 \h </w:instrText>
            </w:r>
            <w:r>
              <w:rPr>
                <w:noProof/>
                <w:webHidden/>
              </w:rPr>
            </w:r>
            <w:r>
              <w:rPr>
                <w:noProof/>
                <w:webHidden/>
              </w:rPr>
              <w:fldChar w:fldCharType="separate"/>
            </w:r>
            <w:r>
              <w:rPr>
                <w:noProof/>
                <w:webHidden/>
              </w:rPr>
              <w:t>7</w:t>
            </w:r>
            <w:r>
              <w:rPr>
                <w:noProof/>
                <w:webHidden/>
              </w:rPr>
              <w:fldChar w:fldCharType="end"/>
            </w:r>
          </w:hyperlink>
        </w:p>
        <w:p w14:paraId="29AAED25" w14:textId="32BB8C2C" w:rsidR="000035BF" w:rsidRDefault="000035BF">
          <w:pPr>
            <w:pStyle w:val="TOC3"/>
            <w:tabs>
              <w:tab w:val="right" w:leader="dot" w:pos="9016"/>
            </w:tabs>
            <w:rPr>
              <w:rFonts w:eastAsiaTheme="minorEastAsia"/>
              <w:noProof/>
              <w:lang w:eastAsia="en-GB"/>
            </w:rPr>
          </w:pPr>
          <w:hyperlink w:anchor="_Toc225025325" w:history="1">
            <w:r w:rsidRPr="006559CD">
              <w:rPr>
                <w:rStyle w:val="Hyperlink"/>
                <w:rFonts w:ascii="Arial" w:hAnsi="Arial" w:cs="Arial"/>
                <w:noProof/>
              </w:rPr>
              <w:t>Critical Evaluation</w:t>
            </w:r>
            <w:r>
              <w:rPr>
                <w:noProof/>
                <w:webHidden/>
              </w:rPr>
              <w:tab/>
            </w:r>
            <w:r>
              <w:rPr>
                <w:noProof/>
                <w:webHidden/>
              </w:rPr>
              <w:fldChar w:fldCharType="begin"/>
            </w:r>
            <w:r>
              <w:rPr>
                <w:noProof/>
                <w:webHidden/>
              </w:rPr>
              <w:instrText xml:space="preserve"> PAGEREF _Toc225025325 \h </w:instrText>
            </w:r>
            <w:r>
              <w:rPr>
                <w:noProof/>
                <w:webHidden/>
              </w:rPr>
            </w:r>
            <w:r>
              <w:rPr>
                <w:noProof/>
                <w:webHidden/>
              </w:rPr>
              <w:fldChar w:fldCharType="separate"/>
            </w:r>
            <w:r>
              <w:rPr>
                <w:noProof/>
                <w:webHidden/>
              </w:rPr>
              <w:t>7</w:t>
            </w:r>
            <w:r>
              <w:rPr>
                <w:noProof/>
                <w:webHidden/>
              </w:rPr>
              <w:fldChar w:fldCharType="end"/>
            </w:r>
          </w:hyperlink>
        </w:p>
        <w:p w14:paraId="1D58727B" w14:textId="1032B0C6" w:rsidR="000035BF" w:rsidRDefault="000035BF">
          <w:pPr>
            <w:pStyle w:val="TOC3"/>
            <w:tabs>
              <w:tab w:val="right" w:leader="dot" w:pos="9016"/>
            </w:tabs>
            <w:rPr>
              <w:rFonts w:eastAsiaTheme="minorEastAsia"/>
              <w:noProof/>
              <w:lang w:eastAsia="en-GB"/>
            </w:rPr>
          </w:pPr>
          <w:hyperlink w:anchor="_Toc225025326" w:history="1">
            <w:r w:rsidRPr="006559CD">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_Toc225025326 \h </w:instrText>
            </w:r>
            <w:r>
              <w:rPr>
                <w:noProof/>
                <w:webHidden/>
              </w:rPr>
            </w:r>
            <w:r>
              <w:rPr>
                <w:noProof/>
                <w:webHidden/>
              </w:rPr>
              <w:fldChar w:fldCharType="separate"/>
            </w:r>
            <w:r>
              <w:rPr>
                <w:noProof/>
                <w:webHidden/>
              </w:rPr>
              <w:t>7</w:t>
            </w:r>
            <w:r>
              <w:rPr>
                <w:noProof/>
                <w:webHidden/>
              </w:rPr>
              <w:fldChar w:fldCharType="end"/>
            </w:r>
          </w:hyperlink>
        </w:p>
        <w:p w14:paraId="652CA632" w14:textId="35EA0AE1" w:rsidR="000035BF" w:rsidRDefault="000035BF">
          <w:pPr>
            <w:pStyle w:val="TOC2"/>
            <w:tabs>
              <w:tab w:val="right" w:leader="dot" w:pos="9016"/>
            </w:tabs>
            <w:rPr>
              <w:rFonts w:eastAsiaTheme="minorEastAsia"/>
              <w:noProof/>
              <w:lang w:eastAsia="en-GB"/>
            </w:rPr>
          </w:pPr>
          <w:hyperlink w:anchor="_Toc225025327" w:history="1">
            <w:r w:rsidRPr="006559CD">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_Toc225025327 \h </w:instrText>
            </w:r>
            <w:r>
              <w:rPr>
                <w:noProof/>
                <w:webHidden/>
              </w:rPr>
            </w:r>
            <w:r>
              <w:rPr>
                <w:noProof/>
                <w:webHidden/>
              </w:rPr>
              <w:fldChar w:fldCharType="separate"/>
            </w:r>
            <w:r>
              <w:rPr>
                <w:noProof/>
                <w:webHidden/>
              </w:rPr>
              <w:t>8</w:t>
            </w:r>
            <w:r>
              <w:rPr>
                <w:noProof/>
                <w:webHidden/>
              </w:rPr>
              <w:fldChar w:fldCharType="end"/>
            </w:r>
          </w:hyperlink>
        </w:p>
        <w:p w14:paraId="7CF0B59F" w14:textId="76983EE1" w:rsidR="000035BF" w:rsidRDefault="000035BF">
          <w:pPr>
            <w:pStyle w:val="TOC2"/>
            <w:tabs>
              <w:tab w:val="right" w:leader="dot" w:pos="9016"/>
            </w:tabs>
            <w:rPr>
              <w:rFonts w:eastAsiaTheme="minorEastAsia"/>
              <w:noProof/>
              <w:lang w:eastAsia="en-GB"/>
            </w:rPr>
          </w:pPr>
          <w:hyperlink w:anchor="_Toc225025328" w:history="1">
            <w:r w:rsidRPr="006559CD">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_Toc225025328 \h </w:instrText>
            </w:r>
            <w:r>
              <w:rPr>
                <w:noProof/>
                <w:webHidden/>
              </w:rPr>
            </w:r>
            <w:r>
              <w:rPr>
                <w:noProof/>
                <w:webHidden/>
              </w:rPr>
              <w:fldChar w:fldCharType="separate"/>
            </w:r>
            <w:r>
              <w:rPr>
                <w:noProof/>
                <w:webHidden/>
              </w:rPr>
              <w:t>8</w:t>
            </w:r>
            <w:r>
              <w:rPr>
                <w:noProof/>
                <w:webHidden/>
              </w:rPr>
              <w:fldChar w:fldCharType="end"/>
            </w:r>
          </w:hyperlink>
        </w:p>
        <w:p w14:paraId="032FB60B" w14:textId="39749B09" w:rsidR="000035BF" w:rsidRDefault="000035BF">
          <w:r>
            <w:rPr>
              <w:b/>
              <w:bCs/>
              <w:noProof/>
            </w:rPr>
            <w:fldChar w:fldCharType="end"/>
          </w:r>
        </w:p>
      </w:sdtContent>
    </w:sdt>
    <w:p w14:paraId="10E0E734" w14:textId="77777777" w:rsidR="000035BF" w:rsidRDefault="000035BF" w:rsidP="00AC7D38">
      <w:pPr>
        <w:rPr>
          <w:rFonts w:ascii="Arial" w:hAnsi="Arial" w:cs="Arial"/>
        </w:rPr>
      </w:pPr>
    </w:p>
    <w:p w14:paraId="07B7328A" w14:textId="77777777" w:rsidR="000035BF" w:rsidRDefault="000035BF" w:rsidP="00AC7D38">
      <w:pPr>
        <w:rPr>
          <w:rFonts w:ascii="Arial" w:hAnsi="Arial" w:cs="Arial"/>
        </w:rPr>
      </w:pPr>
    </w:p>
    <w:p w14:paraId="071A34F8" w14:textId="77777777" w:rsidR="000035BF" w:rsidRDefault="000035BF" w:rsidP="00AC7D38">
      <w:pPr>
        <w:rPr>
          <w:rFonts w:ascii="Arial" w:hAnsi="Arial" w:cs="Arial"/>
        </w:rPr>
      </w:pPr>
    </w:p>
    <w:p w14:paraId="34A2C28A" w14:textId="77777777" w:rsidR="000035BF" w:rsidRDefault="000035BF" w:rsidP="00AC7D38">
      <w:pPr>
        <w:rPr>
          <w:rFonts w:ascii="Arial" w:hAnsi="Arial" w:cs="Arial"/>
        </w:rPr>
      </w:pPr>
    </w:p>
    <w:p w14:paraId="01173F5D" w14:textId="77777777" w:rsidR="000035BF" w:rsidRDefault="000035BF" w:rsidP="00AC7D38">
      <w:pPr>
        <w:rPr>
          <w:rFonts w:ascii="Arial" w:hAnsi="Arial" w:cs="Arial"/>
        </w:rPr>
      </w:pPr>
    </w:p>
    <w:p w14:paraId="548CBEC3" w14:textId="77777777" w:rsidR="000035BF" w:rsidRDefault="000035BF" w:rsidP="00AC7D38">
      <w:pPr>
        <w:rPr>
          <w:rFonts w:ascii="Arial" w:hAnsi="Arial" w:cs="Arial"/>
        </w:rPr>
      </w:pPr>
    </w:p>
    <w:p w14:paraId="0B0A929B" w14:textId="77777777" w:rsidR="000035BF" w:rsidRDefault="000035BF" w:rsidP="00AC7D38">
      <w:pPr>
        <w:rPr>
          <w:rFonts w:ascii="Arial" w:hAnsi="Arial" w:cs="Arial"/>
        </w:rPr>
      </w:pPr>
    </w:p>
    <w:p w14:paraId="280774D2" w14:textId="77777777" w:rsidR="000035BF" w:rsidRDefault="000035BF" w:rsidP="00AC7D38">
      <w:pPr>
        <w:rPr>
          <w:rFonts w:ascii="Arial" w:hAnsi="Arial" w:cs="Arial"/>
        </w:rPr>
      </w:pPr>
    </w:p>
    <w:p w14:paraId="1E1A4DBB" w14:textId="77777777" w:rsidR="000035BF" w:rsidRDefault="000035BF" w:rsidP="00AC7D38">
      <w:pPr>
        <w:rPr>
          <w:rFonts w:ascii="Arial" w:hAnsi="Arial" w:cs="Arial"/>
        </w:rPr>
      </w:pPr>
    </w:p>
    <w:p w14:paraId="07E991D2" w14:textId="77777777" w:rsidR="000035BF" w:rsidRPr="000035BF" w:rsidRDefault="000035BF" w:rsidP="00AC7D38">
      <w:pPr>
        <w:rPr>
          <w:rFonts w:ascii="Arial" w:hAnsi="Arial" w:cs="Arial"/>
        </w:rPr>
      </w:pPr>
    </w:p>
    <w:p w14:paraId="2AE7EE42" w14:textId="77777777" w:rsidR="00AC7D38" w:rsidRPr="000035BF" w:rsidRDefault="00AC7D38" w:rsidP="000035BF">
      <w:pPr>
        <w:pStyle w:val="Heading1"/>
        <w:jc w:val="center"/>
        <w:rPr>
          <w:rFonts w:ascii="Arial" w:hAnsi="Arial" w:cs="Arial"/>
          <w:b/>
          <w:bCs/>
          <w:color w:val="auto"/>
        </w:rPr>
      </w:pPr>
      <w:bookmarkStart w:id="0" w:name="_Toc225025311"/>
      <w:r w:rsidRPr="000035BF">
        <w:rPr>
          <w:rFonts w:ascii="Arial" w:hAnsi="Arial" w:cs="Arial"/>
          <w:b/>
          <w:bCs/>
          <w:color w:val="auto"/>
        </w:rPr>
        <w:lastRenderedPageBreak/>
        <w:t>Critical Examination of SDG 3 and SDG 6: Health, Wellbeing, and Water Security</w:t>
      </w:r>
      <w:bookmarkEnd w:id="0"/>
    </w:p>
    <w:p w14:paraId="1EAC116D" w14:textId="77777777" w:rsidR="00AC7D38" w:rsidRPr="000035BF" w:rsidRDefault="00AC7D38" w:rsidP="00AC7D38">
      <w:pPr>
        <w:rPr>
          <w:rFonts w:ascii="Arial" w:hAnsi="Arial" w:cs="Arial"/>
          <w:b/>
          <w:bCs/>
          <w:sz w:val="22"/>
          <w:szCs w:val="22"/>
        </w:rPr>
      </w:pPr>
    </w:p>
    <w:p w14:paraId="4A2545F5" w14:textId="676AAF79" w:rsidR="00AC7D38" w:rsidRPr="000035BF" w:rsidRDefault="00AC7D38" w:rsidP="005070FD">
      <w:pPr>
        <w:pStyle w:val="Heading2"/>
        <w:rPr>
          <w:rFonts w:ascii="Arial" w:hAnsi="Arial" w:cs="Arial"/>
          <w:b/>
          <w:bCs/>
          <w:color w:val="auto"/>
          <w:sz w:val="24"/>
          <w:szCs w:val="24"/>
        </w:rPr>
      </w:pPr>
      <w:bookmarkStart w:id="1" w:name="_Toc225025312"/>
      <w:r w:rsidRPr="000035BF">
        <w:rPr>
          <w:rFonts w:ascii="Arial" w:hAnsi="Arial" w:cs="Arial"/>
          <w:b/>
          <w:bCs/>
          <w:color w:val="auto"/>
          <w:sz w:val="24"/>
          <w:szCs w:val="24"/>
        </w:rPr>
        <w:t>Introduction</w:t>
      </w:r>
      <w:bookmarkEnd w:id="1"/>
    </w:p>
    <w:p w14:paraId="5F50C002" w14:textId="77777777" w:rsidR="00922DDE" w:rsidRPr="00922DDE" w:rsidRDefault="00922DDE" w:rsidP="00922DDE">
      <w:pPr>
        <w:rPr>
          <w:rFonts w:ascii="Arial" w:hAnsi="Arial" w:cs="Arial"/>
          <w:sz w:val="22"/>
          <w:szCs w:val="22"/>
        </w:rPr>
      </w:pPr>
      <w:r w:rsidRPr="00922DDE">
        <w:rPr>
          <w:rFonts w:ascii="Arial" w:hAnsi="Arial" w:cs="Arial"/>
          <w:sz w:val="22"/>
          <w:szCs w:val="22"/>
        </w:rPr>
        <w:t>Sustainable development remains a central global priority, encapsulated in the United Nations’ Sustainable Development Goals (SDGs), which seek to address interconnected social, economic, and environmental challenges (United Nations, 2015; United Nations Development Programme, 2023). Among these, SDG 3: Good Health and Wellbeing is particularly significant, aiming to ensure healthy lives and promote wellbeing for all at every age. However, despite measurable progress, the effectiveness of policies designed to achieve SDG 3 remains constrained by persistent structural inequalities, uneven resource distribution, and insufficient integration across sectors (WHO, 2019; OECD, 2022). Furthermore, SDG 6: Clean Water and Sanitation is intrinsically linked to health outcomes, yet policy approaches often fail to fully account for this interdependence, limiting their overall impact (WHO and UNICEF, 2021; UN-Water, 2023).</w:t>
      </w:r>
    </w:p>
    <w:p w14:paraId="37E305E3" w14:textId="77777777" w:rsidR="00922DDE" w:rsidRPr="00922DDE" w:rsidRDefault="00922DDE" w:rsidP="00922DDE">
      <w:pPr>
        <w:rPr>
          <w:rFonts w:ascii="Arial" w:hAnsi="Arial" w:cs="Arial"/>
          <w:sz w:val="22"/>
          <w:szCs w:val="22"/>
        </w:rPr>
      </w:pPr>
      <w:r w:rsidRPr="00922DDE">
        <w:rPr>
          <w:rFonts w:ascii="Arial" w:hAnsi="Arial" w:cs="Arial"/>
          <w:sz w:val="22"/>
          <w:szCs w:val="22"/>
        </w:rPr>
        <w:t>This report argues that while global and national initiatives have contributed to improvements in health and sanitation, their long-term effectiveness is undermined by a lack of coordinated, equity-focused, and system-wide strategies. Focusing on SDG 3 and SDG 6, the report critically evaluates policies at global, national (UK), and local levels, assessing both their achievements and limitations. Behavioural frameworks, including the Health Belief Model (Rosenstock, 1974) and Social Cognitive Theory (Bandura, 1986), are applied to examine how individual and community behaviours interact with structural determinants. Ultimately, the report demonstrates that without addressing underlying socio-economic inequalities and strengthening cross-sector collaboration, progress towards sustainable health outcomes will remain limited.</w:t>
      </w:r>
    </w:p>
    <w:p w14:paraId="48291ADB" w14:textId="77777777" w:rsidR="006D10D2" w:rsidRPr="000035BF" w:rsidRDefault="006D10D2" w:rsidP="00AC7D38">
      <w:pPr>
        <w:rPr>
          <w:rFonts w:ascii="Arial" w:hAnsi="Arial" w:cs="Arial"/>
          <w:sz w:val="22"/>
          <w:szCs w:val="22"/>
        </w:rPr>
      </w:pPr>
    </w:p>
    <w:p w14:paraId="5E1E60C2" w14:textId="12848727" w:rsidR="00AC7D38" w:rsidRPr="000035BF" w:rsidRDefault="00AC7D38" w:rsidP="005070FD">
      <w:pPr>
        <w:pStyle w:val="Heading2"/>
        <w:rPr>
          <w:rFonts w:ascii="Arial" w:hAnsi="Arial" w:cs="Arial"/>
          <w:b/>
          <w:bCs/>
          <w:color w:val="auto"/>
          <w:sz w:val="28"/>
          <w:szCs w:val="28"/>
        </w:rPr>
      </w:pPr>
      <w:bookmarkStart w:id="2" w:name="_Toc225025313"/>
      <w:r w:rsidRPr="000035BF">
        <w:rPr>
          <w:rFonts w:ascii="Arial" w:hAnsi="Arial" w:cs="Arial"/>
          <w:b/>
          <w:bCs/>
          <w:color w:val="auto"/>
          <w:sz w:val="28"/>
          <w:szCs w:val="28"/>
        </w:rPr>
        <w:t>Section 1: SDG 3 – Good Health and Wellbeing</w:t>
      </w:r>
      <w:bookmarkEnd w:id="2"/>
    </w:p>
    <w:p w14:paraId="34018B1D" w14:textId="77777777" w:rsidR="00AC7D38" w:rsidRPr="000035BF" w:rsidRDefault="00AC7D38" w:rsidP="005070FD">
      <w:pPr>
        <w:pStyle w:val="Heading3"/>
        <w:rPr>
          <w:rFonts w:ascii="Arial" w:hAnsi="Arial" w:cs="Arial"/>
          <w:color w:val="auto"/>
          <w:sz w:val="22"/>
          <w:szCs w:val="22"/>
          <w:u w:val="single"/>
        </w:rPr>
      </w:pPr>
      <w:bookmarkStart w:id="3" w:name="_Toc225025314"/>
      <w:r w:rsidRPr="000035BF">
        <w:rPr>
          <w:rFonts w:ascii="Arial" w:hAnsi="Arial" w:cs="Arial"/>
          <w:color w:val="auto"/>
          <w:sz w:val="22"/>
          <w:szCs w:val="22"/>
          <w:u w:val="single"/>
        </w:rPr>
        <w:t>Overview of SDG 3: Good Health and Wellbeing</w:t>
      </w:r>
      <w:bookmarkEnd w:id="3"/>
    </w:p>
    <w:p w14:paraId="12ADC156" w14:textId="77777777" w:rsidR="00922DDE" w:rsidRPr="00922DDE" w:rsidRDefault="00922DDE" w:rsidP="00922DDE">
      <w:pPr>
        <w:rPr>
          <w:rFonts w:ascii="Arial" w:hAnsi="Arial" w:cs="Arial"/>
          <w:sz w:val="22"/>
          <w:szCs w:val="22"/>
        </w:rPr>
      </w:pPr>
      <w:r w:rsidRPr="00922DDE">
        <w:rPr>
          <w:rFonts w:ascii="Arial" w:hAnsi="Arial" w:cs="Arial"/>
          <w:sz w:val="22"/>
          <w:szCs w:val="22"/>
        </w:rPr>
        <w:t>SDG 3 aims to ensure healthy lives and promote wellbeing for all, targeting reductions in maternal mortality, communicable diseases, and health system weaknesses (WHO, 2019; United Nations Development Programme, 2023). Although progress since 2015 includes declining mortality rates and improved disease control, these gains are uneven and disproportionately benefit high-income populations (World Bank, 2023; OECD, 2022).</w:t>
      </w:r>
    </w:p>
    <w:p w14:paraId="2EDECD58" w14:textId="77777777" w:rsidR="00922DDE" w:rsidRPr="00922DDE" w:rsidRDefault="00922DDE" w:rsidP="00922DDE">
      <w:pPr>
        <w:rPr>
          <w:rFonts w:ascii="Arial" w:hAnsi="Arial" w:cs="Arial"/>
          <w:sz w:val="22"/>
          <w:szCs w:val="22"/>
        </w:rPr>
      </w:pPr>
      <w:r w:rsidRPr="00922DDE">
        <w:rPr>
          <w:rFonts w:ascii="Arial" w:hAnsi="Arial" w:cs="Arial"/>
          <w:sz w:val="22"/>
          <w:szCs w:val="22"/>
        </w:rPr>
        <w:t>Access to essential services—such as immunisation, maternal care, and chronic disease treatment—remains constrained by structural inequalities, including poverty, weak infrastructure, and geographic barriers (WHO, 2020; World Bank, 2023). For example, maternal mortality remains significantly higher in sub-Saharan Africa, reflecting systemic failures in healthcare provision rather than purely resource scarcity (WHO, 2019). These disparities are rooted in social determinants, with income, education, and housing continuing to shape health outcomes across contexts (Marmot et al., 2020; Office for National Statistics, 2023).</w:t>
      </w:r>
    </w:p>
    <w:p w14:paraId="34787F4A" w14:textId="77777777" w:rsidR="00922DDE" w:rsidRPr="00922DDE" w:rsidRDefault="00922DDE" w:rsidP="00922DDE">
      <w:pPr>
        <w:rPr>
          <w:rFonts w:ascii="Arial" w:hAnsi="Arial" w:cs="Arial"/>
          <w:sz w:val="22"/>
          <w:szCs w:val="22"/>
        </w:rPr>
      </w:pPr>
      <w:r w:rsidRPr="00922DDE">
        <w:rPr>
          <w:rFonts w:ascii="Arial" w:hAnsi="Arial" w:cs="Arial"/>
          <w:sz w:val="22"/>
          <w:szCs w:val="22"/>
        </w:rPr>
        <w:lastRenderedPageBreak/>
        <w:t>While SDG 3 frames health as a driver of economic development, this relationship is often overstated in policy discourse, which tends to prioritise economic productivity over equity-focused health outcomes (OECD, 2022). As a result, policies frequently fail to address the structural conditions that produce ill health.</w:t>
      </w:r>
    </w:p>
    <w:p w14:paraId="45209135" w14:textId="77777777" w:rsidR="00AC7D38" w:rsidRPr="000035BF" w:rsidRDefault="00AC7D38" w:rsidP="005070FD">
      <w:pPr>
        <w:pStyle w:val="Heading3"/>
        <w:rPr>
          <w:rFonts w:ascii="Arial" w:hAnsi="Arial" w:cs="Arial"/>
          <w:color w:val="auto"/>
          <w:sz w:val="22"/>
          <w:szCs w:val="22"/>
          <w:u w:val="single"/>
        </w:rPr>
      </w:pPr>
      <w:bookmarkStart w:id="4" w:name="_Toc225025315"/>
      <w:r w:rsidRPr="000035BF">
        <w:rPr>
          <w:rFonts w:ascii="Arial" w:hAnsi="Arial" w:cs="Arial"/>
          <w:color w:val="auto"/>
          <w:sz w:val="22"/>
          <w:szCs w:val="22"/>
          <w:u w:val="single"/>
        </w:rPr>
        <w:t>Global Policies and Initiatives</w:t>
      </w:r>
      <w:bookmarkEnd w:id="4"/>
    </w:p>
    <w:p w14:paraId="05AFDF53" w14:textId="77777777" w:rsidR="00922DDE" w:rsidRPr="00922DDE" w:rsidRDefault="00922DDE" w:rsidP="00922DDE">
      <w:pPr>
        <w:rPr>
          <w:rFonts w:ascii="Arial" w:hAnsi="Arial" w:cs="Arial"/>
          <w:sz w:val="22"/>
          <w:szCs w:val="22"/>
        </w:rPr>
      </w:pPr>
      <w:r w:rsidRPr="00922DDE">
        <w:rPr>
          <w:rFonts w:ascii="Arial" w:hAnsi="Arial" w:cs="Arial"/>
          <w:sz w:val="22"/>
          <w:szCs w:val="22"/>
        </w:rPr>
        <w:t>Global strategies, led by the WHO, emphasise Universal Health Coverage (UHC) as a mechanism for improving access and equity (WHO, 2019). However, UHC frameworks often prioritise service expansion without adequately addressing underlying social determinants, limiting their long-term impact (WHO, 2020).</w:t>
      </w:r>
    </w:p>
    <w:p w14:paraId="471718EB" w14:textId="77777777" w:rsidR="00922DDE" w:rsidRPr="00922DDE" w:rsidRDefault="00922DDE" w:rsidP="00922DDE">
      <w:pPr>
        <w:rPr>
          <w:rFonts w:ascii="Arial" w:hAnsi="Arial" w:cs="Arial"/>
          <w:sz w:val="22"/>
          <w:szCs w:val="22"/>
        </w:rPr>
      </w:pPr>
      <w:r w:rsidRPr="00922DDE">
        <w:rPr>
          <w:rFonts w:ascii="Arial" w:hAnsi="Arial" w:cs="Arial"/>
          <w:sz w:val="22"/>
          <w:szCs w:val="22"/>
        </w:rPr>
        <w:t>The SDG framework commits to reducing health inequalities by 2030, yet implementation remains inconsistent and highly dependent on national capacity (United Nations, 2015). The COVID-19 pandemic exposed significant weaknesses in global health systems, demonstrating that existing policies lack resilience and fail to protect vulnerable populations effectively (UK Health Security Agency, 2022). Disproportionate impacts on low-income and marginalised groups highlight the inadequacy of current “universal” approaches.</w:t>
      </w:r>
    </w:p>
    <w:p w14:paraId="2E16DE64" w14:textId="77777777" w:rsidR="00AC7D38" w:rsidRPr="000035BF" w:rsidRDefault="00AC7D38" w:rsidP="005070FD">
      <w:pPr>
        <w:pStyle w:val="Heading3"/>
        <w:rPr>
          <w:rFonts w:ascii="Arial" w:hAnsi="Arial" w:cs="Arial"/>
          <w:color w:val="auto"/>
          <w:sz w:val="22"/>
          <w:szCs w:val="22"/>
          <w:u w:val="single"/>
        </w:rPr>
      </w:pPr>
      <w:bookmarkStart w:id="5" w:name="_Toc225025316"/>
      <w:r w:rsidRPr="000035BF">
        <w:rPr>
          <w:rFonts w:ascii="Arial" w:hAnsi="Arial" w:cs="Arial"/>
          <w:color w:val="auto"/>
          <w:sz w:val="22"/>
          <w:szCs w:val="22"/>
          <w:u w:val="single"/>
        </w:rPr>
        <w:t>UK Policies and Initiatives</w:t>
      </w:r>
      <w:bookmarkEnd w:id="5"/>
    </w:p>
    <w:p w14:paraId="773029EA" w14:textId="77777777" w:rsidR="00922DDE" w:rsidRPr="00922DDE" w:rsidRDefault="00922DDE" w:rsidP="00922DDE">
      <w:pPr>
        <w:rPr>
          <w:rFonts w:ascii="Arial" w:hAnsi="Arial" w:cs="Arial"/>
          <w:sz w:val="22"/>
          <w:szCs w:val="22"/>
        </w:rPr>
      </w:pPr>
      <w:r w:rsidRPr="00922DDE">
        <w:rPr>
          <w:rFonts w:ascii="Arial" w:hAnsi="Arial" w:cs="Arial"/>
          <w:sz w:val="22"/>
          <w:szCs w:val="22"/>
        </w:rPr>
        <w:t>In the UK, the NHS provides a universal healthcare model, with the NHS Long Term Plan focusing on prevention and reducing inequalities (NHS England, 2019). However, persistent disparities indicate that access alone does not ensure equitable outcomes. Deprived populations continue to experience higher rates of chronic illness, suggesting that health policy insufficiently addresses wider social determinants (Office for National Statistics, 2023; Marmot et al., 2020).</w:t>
      </w:r>
    </w:p>
    <w:p w14:paraId="0DC4ECD9" w14:textId="77777777" w:rsidR="00922DDE" w:rsidRPr="00922DDE" w:rsidRDefault="00922DDE" w:rsidP="00922DDE">
      <w:pPr>
        <w:rPr>
          <w:rFonts w:ascii="Arial" w:hAnsi="Arial" w:cs="Arial"/>
          <w:sz w:val="22"/>
          <w:szCs w:val="22"/>
        </w:rPr>
      </w:pPr>
      <w:r w:rsidRPr="00922DDE">
        <w:rPr>
          <w:rFonts w:ascii="Arial" w:hAnsi="Arial" w:cs="Arial"/>
          <w:sz w:val="22"/>
          <w:szCs w:val="22"/>
        </w:rPr>
        <w:t>Geographic inequalities, particularly in rural areas, further demonstrate limitations in service accessibility (Environment Agency, 2022). The COVID-19 pandemic reinforced these issues, with higher mortality rates among disadvantaged groups, exposing structural weaknesses in both public health strategy and crisis response (UK Health Security Agency, 2022). Public health campaigns targeting individual behaviours—such as smoking and obesity—have had limited impact where structural barriers remain unaddressed.</w:t>
      </w:r>
    </w:p>
    <w:p w14:paraId="00F57C6F" w14:textId="77777777" w:rsidR="00AC7D38" w:rsidRPr="000035BF" w:rsidRDefault="00AC7D38" w:rsidP="005070FD">
      <w:pPr>
        <w:pStyle w:val="Heading3"/>
        <w:rPr>
          <w:rFonts w:ascii="Arial" w:hAnsi="Arial" w:cs="Arial"/>
          <w:color w:val="auto"/>
          <w:sz w:val="22"/>
          <w:szCs w:val="22"/>
          <w:u w:val="single"/>
        </w:rPr>
      </w:pPr>
      <w:bookmarkStart w:id="6" w:name="_Toc225025317"/>
      <w:r w:rsidRPr="000035BF">
        <w:rPr>
          <w:rFonts w:ascii="Arial" w:hAnsi="Arial" w:cs="Arial"/>
          <w:color w:val="auto"/>
          <w:sz w:val="22"/>
          <w:szCs w:val="22"/>
          <w:u w:val="single"/>
        </w:rPr>
        <w:t>Theoretical Frameworks</w:t>
      </w:r>
      <w:bookmarkEnd w:id="6"/>
    </w:p>
    <w:p w14:paraId="1AD236B7" w14:textId="77777777" w:rsidR="00922DDE" w:rsidRPr="00922DDE" w:rsidRDefault="00922DDE" w:rsidP="00922DDE">
      <w:pPr>
        <w:rPr>
          <w:rFonts w:ascii="Arial" w:hAnsi="Arial" w:cs="Arial"/>
          <w:sz w:val="22"/>
          <w:szCs w:val="22"/>
        </w:rPr>
      </w:pPr>
      <w:r w:rsidRPr="00922DDE">
        <w:rPr>
          <w:rFonts w:ascii="Arial" w:hAnsi="Arial" w:cs="Arial"/>
          <w:sz w:val="22"/>
          <w:szCs w:val="22"/>
        </w:rPr>
        <w:t>The Health Belief Model explains health behaviour through individual perceptions of risk and benefit (Rosenstock, 1974). However, its focus on individual decision-making overlooks structural constraints, limiting its effectiveness in addressing population-level inequalities.</w:t>
      </w:r>
    </w:p>
    <w:p w14:paraId="0D89D03E" w14:textId="77777777" w:rsidR="00922DDE" w:rsidRPr="00922DDE" w:rsidRDefault="00922DDE" w:rsidP="00922DDE">
      <w:pPr>
        <w:rPr>
          <w:rFonts w:ascii="Arial" w:hAnsi="Arial" w:cs="Arial"/>
          <w:sz w:val="22"/>
          <w:szCs w:val="22"/>
        </w:rPr>
      </w:pPr>
      <w:r w:rsidRPr="00922DDE">
        <w:rPr>
          <w:rFonts w:ascii="Arial" w:hAnsi="Arial" w:cs="Arial"/>
          <w:sz w:val="22"/>
          <w:szCs w:val="22"/>
        </w:rPr>
        <w:t>Similarly, Social Cognitive Theory emphasises social influence and self-efficacy (Bandura, 1986</w:t>
      </w:r>
      <w:proofErr w:type="gramStart"/>
      <w:r w:rsidRPr="00922DDE">
        <w:rPr>
          <w:rFonts w:ascii="Arial" w:hAnsi="Arial" w:cs="Arial"/>
          <w:sz w:val="22"/>
          <w:szCs w:val="22"/>
        </w:rPr>
        <w:t>), but</w:t>
      </w:r>
      <w:proofErr w:type="gramEnd"/>
      <w:r w:rsidRPr="00922DDE">
        <w:rPr>
          <w:rFonts w:ascii="Arial" w:hAnsi="Arial" w:cs="Arial"/>
          <w:sz w:val="22"/>
          <w:szCs w:val="22"/>
        </w:rPr>
        <w:t xml:space="preserve"> assumes individuals can act on observed behaviours. In practice, socio-economic conditions often restrict this capacity, reducing the real-world applicability of such models. Consequently, while both frameworks are useful, their policy application is limited unless combined with structural interventions.</w:t>
      </w:r>
    </w:p>
    <w:p w14:paraId="5C2894B4" w14:textId="77777777" w:rsidR="00AC7D38" w:rsidRPr="000035BF" w:rsidRDefault="00AC7D38" w:rsidP="005070FD">
      <w:pPr>
        <w:pStyle w:val="Heading3"/>
        <w:rPr>
          <w:rFonts w:ascii="Arial" w:hAnsi="Arial" w:cs="Arial"/>
          <w:color w:val="auto"/>
          <w:sz w:val="22"/>
          <w:szCs w:val="22"/>
          <w:u w:val="single"/>
        </w:rPr>
      </w:pPr>
      <w:bookmarkStart w:id="7" w:name="_Toc225025318"/>
      <w:r w:rsidRPr="000035BF">
        <w:rPr>
          <w:rFonts w:ascii="Arial" w:hAnsi="Arial" w:cs="Arial"/>
          <w:color w:val="auto"/>
          <w:sz w:val="22"/>
          <w:szCs w:val="22"/>
          <w:u w:val="single"/>
        </w:rPr>
        <w:t>Critical Evaluation</w:t>
      </w:r>
      <w:bookmarkEnd w:id="7"/>
    </w:p>
    <w:p w14:paraId="5929A57F" w14:textId="77777777" w:rsidR="00922DDE" w:rsidRPr="00922DDE" w:rsidRDefault="00922DDE" w:rsidP="00922DDE">
      <w:pPr>
        <w:rPr>
          <w:rFonts w:ascii="Arial" w:hAnsi="Arial" w:cs="Arial"/>
          <w:sz w:val="22"/>
          <w:szCs w:val="22"/>
        </w:rPr>
      </w:pPr>
      <w:r w:rsidRPr="00922DDE">
        <w:rPr>
          <w:rFonts w:ascii="Arial" w:hAnsi="Arial" w:cs="Arial"/>
          <w:sz w:val="22"/>
          <w:szCs w:val="22"/>
        </w:rPr>
        <w:t xml:space="preserve">Despite notable progress in global health outcomes, the effectiveness of policies aligned with SDG 3 remains fundamentally constrained by structural and systemic inequalities. While initiatives such as universal health coverage aim to improve access, they often prioritise service delivery without adequately addressing the upstream social determinants of health, </w:t>
      </w:r>
      <w:r w:rsidRPr="00922DDE">
        <w:rPr>
          <w:rFonts w:ascii="Arial" w:hAnsi="Arial" w:cs="Arial"/>
          <w:sz w:val="22"/>
          <w:szCs w:val="22"/>
        </w:rPr>
        <w:lastRenderedPageBreak/>
        <w:t>including income inequality, housing instability, and education disparities (Marmot et al., 2020; WHO, 2020). This limitation is evident in both low-income countries and high-income contexts such as the UK, where deprived populations continue to experience disproportionately poorer health outcomes despite the presence of comprehensive healthcare systems (Office for National Statistics, 2023).</w:t>
      </w:r>
    </w:p>
    <w:p w14:paraId="2DBEDD9E" w14:textId="77777777" w:rsidR="00922DDE" w:rsidRPr="00922DDE" w:rsidRDefault="00922DDE" w:rsidP="00922DDE">
      <w:pPr>
        <w:rPr>
          <w:rFonts w:ascii="Arial" w:hAnsi="Arial" w:cs="Arial"/>
          <w:sz w:val="22"/>
          <w:szCs w:val="22"/>
        </w:rPr>
      </w:pPr>
      <w:r w:rsidRPr="00922DDE">
        <w:rPr>
          <w:rFonts w:ascii="Arial" w:hAnsi="Arial" w:cs="Arial"/>
          <w:sz w:val="22"/>
          <w:szCs w:val="22"/>
        </w:rPr>
        <w:t>Moreover, policy approaches frequently rely on behavioural frameworks that emphasise individual responsibility, potentially overlooking the structural constraints that limit individuals’ ability to make healthy choices. For instance, while models such as the Health Belief Model can effectively explain health behaviours, they risk oversimplifying complex socio-economic realities by assuming that individuals have equal capacity to act on health information. The COVID-19 pandemic further exposed these weaknesses, demonstrating that health systems lack resilience when confronted with large-scale crises and that vulnerable populations remain disproportionately affected (UK Health Security Agency, 2022).</w:t>
      </w:r>
    </w:p>
    <w:p w14:paraId="0E48C022" w14:textId="77777777" w:rsidR="00922DDE" w:rsidRPr="00922DDE" w:rsidRDefault="00922DDE" w:rsidP="00922DDE">
      <w:pPr>
        <w:rPr>
          <w:rFonts w:ascii="Arial" w:hAnsi="Arial" w:cs="Arial"/>
          <w:sz w:val="22"/>
          <w:szCs w:val="22"/>
        </w:rPr>
      </w:pPr>
      <w:r w:rsidRPr="00922DDE">
        <w:rPr>
          <w:rFonts w:ascii="Arial" w:hAnsi="Arial" w:cs="Arial"/>
          <w:sz w:val="22"/>
          <w:szCs w:val="22"/>
        </w:rPr>
        <w:t>Additionally, the growing burden of mental health conditions highlights a significant gap in current policy frameworks, which have historically prioritised physical health outcomes over holistic wellbeing (OECD, 2022). Although community-based interventions have shown promise, they remain underfunded and inconsistently implemented. Consequently, achieving SDG 3 requires a shift from reactive, healthcare-focused models towards proactive, equity-driven strategies that address both structural determinants and behavioural factors in an integrated manner.</w:t>
      </w:r>
    </w:p>
    <w:p w14:paraId="0AC963F2" w14:textId="6C6A0BB6" w:rsidR="00AC7D38" w:rsidRPr="000035BF" w:rsidRDefault="00AC7D38" w:rsidP="000035BF">
      <w:pPr>
        <w:pStyle w:val="Heading3"/>
        <w:rPr>
          <w:rFonts w:ascii="Arial" w:hAnsi="Arial" w:cs="Arial"/>
          <w:color w:val="auto"/>
          <w:sz w:val="22"/>
          <w:szCs w:val="22"/>
          <w:u w:val="single"/>
        </w:rPr>
      </w:pPr>
      <w:bookmarkStart w:id="8" w:name="_Toc225025319"/>
      <w:r w:rsidRPr="000035BF">
        <w:rPr>
          <w:rFonts w:ascii="Arial" w:hAnsi="Arial" w:cs="Arial"/>
          <w:color w:val="auto"/>
          <w:sz w:val="22"/>
          <w:szCs w:val="22"/>
          <w:u w:val="single"/>
        </w:rPr>
        <w:t>Recommendations</w:t>
      </w:r>
      <w:bookmarkEnd w:id="8"/>
    </w:p>
    <w:p w14:paraId="6F22E41A" w14:textId="77777777" w:rsidR="00922DDE" w:rsidRPr="000035BF" w:rsidRDefault="00922DDE" w:rsidP="00922DDE">
      <w:pPr>
        <w:pStyle w:val="ListParagraph"/>
        <w:numPr>
          <w:ilvl w:val="0"/>
          <w:numId w:val="3"/>
        </w:numPr>
        <w:rPr>
          <w:rFonts w:ascii="Arial" w:hAnsi="Arial" w:cs="Arial"/>
          <w:sz w:val="22"/>
          <w:szCs w:val="22"/>
        </w:rPr>
      </w:pPr>
      <w:r w:rsidRPr="000035BF">
        <w:rPr>
          <w:rFonts w:ascii="Arial" w:hAnsi="Arial" w:cs="Arial"/>
          <w:sz w:val="22"/>
          <w:szCs w:val="22"/>
        </w:rPr>
        <w:t>T</w:t>
      </w:r>
      <w:r w:rsidRPr="000035BF">
        <w:rPr>
          <w:rFonts w:ascii="Arial" w:hAnsi="Arial" w:cs="Arial"/>
          <w:b/>
          <w:bCs/>
          <w:sz w:val="22"/>
          <w:szCs w:val="22"/>
        </w:rPr>
        <w:t>arget structural inequalities through cross-sector investment:</w:t>
      </w:r>
      <w:r w:rsidRPr="000035BF">
        <w:rPr>
          <w:rFonts w:ascii="Arial" w:hAnsi="Arial" w:cs="Arial"/>
          <w:sz w:val="22"/>
          <w:szCs w:val="22"/>
        </w:rPr>
        <w:t xml:space="preserve"> Policies should prioritise reducing health disparities by investing in housing, education, and employment in the most deprived communities, recognising that healthcare access alone is insufficient to improve outcomes. </w:t>
      </w:r>
    </w:p>
    <w:p w14:paraId="2F198FF4" w14:textId="77777777" w:rsidR="00922DDE" w:rsidRPr="000035BF" w:rsidRDefault="00922DDE" w:rsidP="00922DDE">
      <w:pPr>
        <w:pStyle w:val="ListParagraph"/>
        <w:numPr>
          <w:ilvl w:val="0"/>
          <w:numId w:val="3"/>
        </w:numPr>
        <w:rPr>
          <w:rFonts w:ascii="Arial" w:hAnsi="Arial" w:cs="Arial"/>
          <w:sz w:val="22"/>
          <w:szCs w:val="22"/>
        </w:rPr>
      </w:pPr>
      <w:r w:rsidRPr="000035BF">
        <w:rPr>
          <w:rFonts w:ascii="Arial" w:hAnsi="Arial" w:cs="Arial"/>
          <w:b/>
          <w:bCs/>
          <w:sz w:val="22"/>
          <w:szCs w:val="22"/>
        </w:rPr>
        <w:t>Embed behavioural insights within structural interventions:</w:t>
      </w:r>
      <w:r w:rsidRPr="000035BF">
        <w:rPr>
          <w:rFonts w:ascii="Arial" w:hAnsi="Arial" w:cs="Arial"/>
          <w:sz w:val="22"/>
          <w:szCs w:val="22"/>
        </w:rPr>
        <w:t xml:space="preserve"> While frameworks such as HBM and SCT are valuable, they should be integrated into broader policy strategies that address environmental and socio-economic barriers to behaviour change. </w:t>
      </w:r>
    </w:p>
    <w:p w14:paraId="113B826E" w14:textId="77777777" w:rsidR="00922DDE" w:rsidRPr="000035BF" w:rsidRDefault="00922DDE" w:rsidP="00922DDE">
      <w:pPr>
        <w:pStyle w:val="ListParagraph"/>
        <w:numPr>
          <w:ilvl w:val="0"/>
          <w:numId w:val="3"/>
        </w:numPr>
        <w:rPr>
          <w:rFonts w:ascii="Arial" w:hAnsi="Arial" w:cs="Arial"/>
          <w:sz w:val="22"/>
          <w:szCs w:val="22"/>
        </w:rPr>
      </w:pPr>
      <w:r w:rsidRPr="000035BF">
        <w:rPr>
          <w:rFonts w:ascii="Arial" w:hAnsi="Arial" w:cs="Arial"/>
          <w:b/>
          <w:bCs/>
          <w:sz w:val="22"/>
          <w:szCs w:val="22"/>
        </w:rPr>
        <w:t>Expand and ring-fence funding for community-led programmes:</w:t>
      </w:r>
      <w:r w:rsidRPr="000035BF">
        <w:rPr>
          <w:rFonts w:ascii="Arial" w:hAnsi="Arial" w:cs="Arial"/>
          <w:sz w:val="22"/>
          <w:szCs w:val="22"/>
        </w:rPr>
        <w:t xml:space="preserve"> Local initiatives should receive sustained funding, particularly in areas with the highest health inequalities, to ensure culturally appropriate and accessible interventions. </w:t>
      </w:r>
    </w:p>
    <w:p w14:paraId="313D21A2" w14:textId="77777777" w:rsidR="00922DDE" w:rsidRPr="000035BF" w:rsidRDefault="00922DDE" w:rsidP="00922DDE">
      <w:pPr>
        <w:pStyle w:val="ListParagraph"/>
        <w:numPr>
          <w:ilvl w:val="0"/>
          <w:numId w:val="3"/>
        </w:numPr>
        <w:rPr>
          <w:rFonts w:ascii="Arial" w:hAnsi="Arial" w:cs="Arial"/>
          <w:sz w:val="22"/>
          <w:szCs w:val="22"/>
        </w:rPr>
      </w:pPr>
      <w:r w:rsidRPr="000035BF">
        <w:rPr>
          <w:rFonts w:ascii="Arial" w:hAnsi="Arial" w:cs="Arial"/>
          <w:b/>
          <w:bCs/>
          <w:sz w:val="22"/>
          <w:szCs w:val="22"/>
        </w:rPr>
        <w:t>Strengthen mental health integration within primary care:</w:t>
      </w:r>
      <w:r w:rsidRPr="000035BF">
        <w:rPr>
          <w:rFonts w:ascii="Arial" w:hAnsi="Arial" w:cs="Arial"/>
          <w:sz w:val="22"/>
          <w:szCs w:val="22"/>
        </w:rPr>
        <w:t xml:space="preserve"> Mental health services should be fully embedded within primary healthcare systems to address rising demand and reduce treatment gaps. </w:t>
      </w:r>
    </w:p>
    <w:p w14:paraId="3CD25740" w14:textId="62B412AB" w:rsidR="00AC7D38" w:rsidRPr="000035BF" w:rsidRDefault="00922DDE" w:rsidP="00922DDE">
      <w:pPr>
        <w:pStyle w:val="ListParagraph"/>
        <w:numPr>
          <w:ilvl w:val="0"/>
          <w:numId w:val="3"/>
        </w:numPr>
        <w:rPr>
          <w:rFonts w:ascii="Arial" w:hAnsi="Arial" w:cs="Arial"/>
          <w:sz w:val="22"/>
          <w:szCs w:val="22"/>
        </w:rPr>
      </w:pPr>
      <w:r w:rsidRPr="000035BF">
        <w:rPr>
          <w:rFonts w:ascii="Arial" w:hAnsi="Arial" w:cs="Arial"/>
          <w:b/>
          <w:bCs/>
          <w:sz w:val="22"/>
          <w:szCs w:val="22"/>
        </w:rPr>
        <w:t>Enhance system resilience and workforce capacity:</w:t>
      </w:r>
      <w:r w:rsidRPr="000035BF">
        <w:rPr>
          <w:rFonts w:ascii="Arial" w:hAnsi="Arial" w:cs="Arial"/>
          <w:sz w:val="22"/>
          <w:szCs w:val="22"/>
        </w:rPr>
        <w:t xml:space="preserve"> Governments should invest in workforce development, digital infrastructure, and emergency preparedness to improve responses to future health crises.</w:t>
      </w:r>
    </w:p>
    <w:p w14:paraId="3E04ADFE" w14:textId="77777777" w:rsidR="000035BF" w:rsidRPr="000035BF" w:rsidRDefault="000035BF" w:rsidP="000035BF">
      <w:pPr>
        <w:ind w:left="360"/>
        <w:rPr>
          <w:rFonts w:ascii="Arial" w:hAnsi="Arial" w:cs="Arial"/>
          <w:sz w:val="22"/>
          <w:szCs w:val="22"/>
        </w:rPr>
      </w:pPr>
    </w:p>
    <w:p w14:paraId="5AFE2E77" w14:textId="11B21050" w:rsidR="00AC7D38" w:rsidRPr="000035BF" w:rsidRDefault="00AC7D38" w:rsidP="000035BF">
      <w:pPr>
        <w:pStyle w:val="Heading2"/>
        <w:rPr>
          <w:rFonts w:ascii="Arial" w:hAnsi="Arial" w:cs="Arial"/>
          <w:b/>
          <w:bCs/>
          <w:color w:val="auto"/>
          <w:sz w:val="24"/>
          <w:szCs w:val="24"/>
        </w:rPr>
      </w:pPr>
      <w:bookmarkStart w:id="9" w:name="_Toc225025320"/>
      <w:r w:rsidRPr="000035BF">
        <w:rPr>
          <w:rFonts w:ascii="Arial" w:hAnsi="Arial" w:cs="Arial"/>
          <w:b/>
          <w:bCs/>
          <w:color w:val="auto"/>
          <w:sz w:val="24"/>
          <w:szCs w:val="24"/>
        </w:rPr>
        <w:t>Section 2: SDG 6 – Clean Water and Sanitation</w:t>
      </w:r>
      <w:bookmarkEnd w:id="9"/>
    </w:p>
    <w:p w14:paraId="4F26323C" w14:textId="77777777" w:rsidR="00AC7D38" w:rsidRPr="000035BF" w:rsidRDefault="00AC7D38" w:rsidP="000035BF">
      <w:pPr>
        <w:pStyle w:val="Heading3"/>
        <w:rPr>
          <w:rFonts w:ascii="Arial" w:hAnsi="Arial" w:cs="Arial"/>
          <w:color w:val="auto"/>
          <w:sz w:val="22"/>
          <w:szCs w:val="22"/>
          <w:u w:val="single"/>
        </w:rPr>
      </w:pPr>
      <w:bookmarkStart w:id="10" w:name="_Toc225025321"/>
      <w:r w:rsidRPr="000035BF">
        <w:rPr>
          <w:rFonts w:ascii="Arial" w:hAnsi="Arial" w:cs="Arial"/>
          <w:color w:val="auto"/>
          <w:sz w:val="22"/>
          <w:szCs w:val="22"/>
          <w:u w:val="single"/>
        </w:rPr>
        <w:t>Overview of SDG 6: Clean Water and Sanitation</w:t>
      </w:r>
      <w:bookmarkEnd w:id="10"/>
    </w:p>
    <w:p w14:paraId="201D8092" w14:textId="77777777" w:rsidR="00922DDE" w:rsidRPr="00922DDE" w:rsidRDefault="00922DDE" w:rsidP="00922DDE">
      <w:pPr>
        <w:rPr>
          <w:rFonts w:ascii="Arial" w:hAnsi="Arial" w:cs="Arial"/>
          <w:sz w:val="22"/>
          <w:szCs w:val="22"/>
        </w:rPr>
      </w:pPr>
      <w:r w:rsidRPr="00922DDE">
        <w:rPr>
          <w:rFonts w:ascii="Arial" w:hAnsi="Arial" w:cs="Arial"/>
          <w:sz w:val="22"/>
          <w:szCs w:val="22"/>
        </w:rPr>
        <w:t xml:space="preserve">SDG 6 aims to ensure universal access to safe water and sanitation, recognising their central role in public health and development (UN-Water, 2023; United Nations, 2015). While </w:t>
      </w:r>
      <w:r w:rsidRPr="00922DDE">
        <w:rPr>
          <w:rFonts w:ascii="Arial" w:hAnsi="Arial" w:cs="Arial"/>
          <w:sz w:val="22"/>
          <w:szCs w:val="22"/>
        </w:rPr>
        <w:lastRenderedPageBreak/>
        <w:t>access to clean water reduces the spread of diseases such as cholera and dysentery, policy discourse often treats water as a technical issue, overlooking its social and political dimensions (WHO and UNICEF, 2021; World Bank, 2023).</w:t>
      </w:r>
    </w:p>
    <w:p w14:paraId="26DA1F3B" w14:textId="77777777" w:rsidR="00922DDE" w:rsidRPr="00922DDE" w:rsidRDefault="00922DDE" w:rsidP="00922DDE">
      <w:pPr>
        <w:rPr>
          <w:rFonts w:ascii="Arial" w:hAnsi="Arial" w:cs="Arial"/>
          <w:sz w:val="22"/>
          <w:szCs w:val="22"/>
        </w:rPr>
      </w:pPr>
      <w:r w:rsidRPr="00922DDE">
        <w:rPr>
          <w:rFonts w:ascii="Arial" w:hAnsi="Arial" w:cs="Arial"/>
          <w:sz w:val="22"/>
          <w:szCs w:val="22"/>
        </w:rPr>
        <w:t>Despite progress since 2015, global access remains highly unequal. Approximately 2.2 billion people lack safely managed drinking water, and 4.2 billion lack adequate sanitation, with the greatest deficits in low-income and rural areas (WHO and UNICEF, 2021; World Bank, 2023). These gaps reflect not only infrastructural limitations but also persistent socio-economic inequalities and weak governance structures. Climate-related pressures, including droughts and flooding, further expose the fragility of existing systems (UN-Water, 2023).</w:t>
      </w:r>
    </w:p>
    <w:p w14:paraId="18ECEB22" w14:textId="77777777" w:rsidR="00922DDE" w:rsidRPr="00922DDE" w:rsidRDefault="00922DDE" w:rsidP="00922DDE">
      <w:pPr>
        <w:rPr>
          <w:rFonts w:ascii="Arial" w:hAnsi="Arial" w:cs="Arial"/>
          <w:sz w:val="22"/>
          <w:szCs w:val="22"/>
        </w:rPr>
      </w:pPr>
      <w:r w:rsidRPr="00922DDE">
        <w:rPr>
          <w:rFonts w:ascii="Arial" w:hAnsi="Arial" w:cs="Arial"/>
          <w:sz w:val="22"/>
          <w:szCs w:val="22"/>
        </w:rPr>
        <w:t>Although SDG 6 emphasises universal access, current approaches often prioritise coverage over equity and long-term sustainability. As a result, progress remains uneven and insufficient to meet 2030 targets.</w:t>
      </w:r>
    </w:p>
    <w:p w14:paraId="21EB3B5A" w14:textId="77777777" w:rsidR="00AC7D38" w:rsidRPr="000035BF" w:rsidRDefault="00AC7D38" w:rsidP="000035BF">
      <w:pPr>
        <w:pStyle w:val="Heading3"/>
        <w:rPr>
          <w:rFonts w:ascii="Arial" w:hAnsi="Arial" w:cs="Arial"/>
          <w:color w:val="auto"/>
          <w:sz w:val="22"/>
          <w:szCs w:val="22"/>
          <w:u w:val="single"/>
        </w:rPr>
      </w:pPr>
      <w:bookmarkStart w:id="11" w:name="_Toc225025322"/>
      <w:r w:rsidRPr="000035BF">
        <w:rPr>
          <w:rFonts w:ascii="Arial" w:hAnsi="Arial" w:cs="Arial"/>
          <w:color w:val="auto"/>
          <w:sz w:val="22"/>
          <w:szCs w:val="22"/>
          <w:u w:val="single"/>
        </w:rPr>
        <w:t>Global Policies and Initiatives</w:t>
      </w:r>
      <w:bookmarkEnd w:id="11"/>
    </w:p>
    <w:p w14:paraId="4E52912B" w14:textId="77777777" w:rsidR="00922DDE" w:rsidRPr="00922DDE" w:rsidRDefault="00922DDE" w:rsidP="00922DDE">
      <w:pPr>
        <w:rPr>
          <w:rFonts w:ascii="Arial" w:hAnsi="Arial" w:cs="Arial"/>
          <w:sz w:val="22"/>
          <w:szCs w:val="22"/>
        </w:rPr>
      </w:pPr>
      <w:r w:rsidRPr="00922DDE">
        <w:rPr>
          <w:rFonts w:ascii="Arial" w:hAnsi="Arial" w:cs="Arial"/>
          <w:sz w:val="22"/>
          <w:szCs w:val="22"/>
        </w:rPr>
        <w:t>International efforts, led by the United Nations, promote Integrated Water Resources Management (IWRM) as a comprehensive approach to water governance (UN-Water, 2023). However, implementation is inconsistent, often limited by funding constraints and fragmented governance.</w:t>
      </w:r>
    </w:p>
    <w:p w14:paraId="50980845" w14:textId="77777777" w:rsidR="00922DDE" w:rsidRPr="00922DDE" w:rsidRDefault="00922DDE" w:rsidP="00922DDE">
      <w:pPr>
        <w:rPr>
          <w:rFonts w:ascii="Arial" w:hAnsi="Arial" w:cs="Arial"/>
          <w:sz w:val="22"/>
          <w:szCs w:val="22"/>
        </w:rPr>
      </w:pPr>
      <w:r w:rsidRPr="00922DDE">
        <w:rPr>
          <w:rFonts w:ascii="Arial" w:hAnsi="Arial" w:cs="Arial"/>
          <w:sz w:val="22"/>
          <w:szCs w:val="22"/>
        </w:rPr>
        <w:t>The WHO/UNICEF Joint Monitoring Programme (JMP) provides critical data on access and inequality, but its role is primarily descriptive rather than transformative, highlighting gaps without directly addressing underlying causes (WHO and UNICEF, 2021). While global coverage has improved, persistent disparities between and within countries indicate that current policy frameworks lack effectiveness in reaching marginalised populations.</w:t>
      </w:r>
    </w:p>
    <w:p w14:paraId="73821D40" w14:textId="77777777" w:rsidR="00922DDE" w:rsidRPr="00922DDE" w:rsidRDefault="00922DDE" w:rsidP="00922DDE">
      <w:pPr>
        <w:rPr>
          <w:rFonts w:ascii="Arial" w:hAnsi="Arial" w:cs="Arial"/>
          <w:sz w:val="22"/>
          <w:szCs w:val="22"/>
        </w:rPr>
      </w:pPr>
      <w:r w:rsidRPr="00922DDE">
        <w:rPr>
          <w:rFonts w:ascii="Arial" w:hAnsi="Arial" w:cs="Arial"/>
          <w:sz w:val="22"/>
          <w:szCs w:val="22"/>
        </w:rPr>
        <w:t>Additionally, strategies promoting technological solutions—such as water recycling and rainwater harvesting—risk overlooking socio-political barriers, including affordability and local capacity. Climate change, urbanisation, and population growth continue to outpace policy responses, suggesting that existing global strategies are reactive rather than preventative.</w:t>
      </w:r>
    </w:p>
    <w:p w14:paraId="4E61D0FA" w14:textId="77777777" w:rsidR="00AC7D38" w:rsidRPr="000035BF" w:rsidRDefault="00AC7D38" w:rsidP="000035BF">
      <w:pPr>
        <w:pStyle w:val="Heading3"/>
        <w:rPr>
          <w:rFonts w:ascii="Arial" w:hAnsi="Arial" w:cs="Arial"/>
          <w:color w:val="auto"/>
          <w:sz w:val="22"/>
          <w:szCs w:val="22"/>
          <w:u w:val="single"/>
        </w:rPr>
      </w:pPr>
      <w:bookmarkStart w:id="12" w:name="_Toc225025323"/>
      <w:r w:rsidRPr="000035BF">
        <w:rPr>
          <w:rFonts w:ascii="Arial" w:hAnsi="Arial" w:cs="Arial"/>
          <w:color w:val="auto"/>
          <w:sz w:val="22"/>
          <w:szCs w:val="22"/>
          <w:u w:val="single"/>
        </w:rPr>
        <w:t>UK Policies and Initiatives</w:t>
      </w:r>
      <w:bookmarkEnd w:id="12"/>
    </w:p>
    <w:p w14:paraId="23874AFE" w14:textId="77777777" w:rsidR="00922DDE" w:rsidRPr="00922DDE" w:rsidRDefault="00922DDE" w:rsidP="00922DDE">
      <w:pPr>
        <w:rPr>
          <w:rFonts w:ascii="Arial" w:hAnsi="Arial" w:cs="Arial"/>
          <w:sz w:val="22"/>
          <w:szCs w:val="22"/>
        </w:rPr>
      </w:pPr>
      <w:r w:rsidRPr="00922DDE">
        <w:rPr>
          <w:rFonts w:ascii="Arial" w:hAnsi="Arial" w:cs="Arial"/>
          <w:sz w:val="22"/>
          <w:szCs w:val="22"/>
        </w:rPr>
        <w:t>The UK operates within a highly regulated water system under the Water Industry Act 1991, with oversight from bodies such as Ofwat and the Environment Agency (Department for Environment, Food &amp; Rural Affairs, 2023; Ofwat, 2022). While overall access and quality are high, this creates an assumption of universality that obscures inequalities affecting marginalised groups.</w:t>
      </w:r>
    </w:p>
    <w:p w14:paraId="1854C659" w14:textId="77777777" w:rsidR="00922DDE" w:rsidRPr="00922DDE" w:rsidRDefault="00922DDE" w:rsidP="00922DDE">
      <w:pPr>
        <w:rPr>
          <w:rFonts w:ascii="Arial" w:hAnsi="Arial" w:cs="Arial"/>
          <w:sz w:val="22"/>
          <w:szCs w:val="22"/>
        </w:rPr>
      </w:pPr>
      <w:r w:rsidRPr="00922DDE">
        <w:rPr>
          <w:rFonts w:ascii="Arial" w:hAnsi="Arial" w:cs="Arial"/>
          <w:sz w:val="22"/>
          <w:szCs w:val="22"/>
        </w:rPr>
        <w:t>Access issues persist among homeless populations and in deprived or rural areas, where infrastructure and service provision are less reliable (WaterAid, 2022). Current policies focus heavily on efficiency and environmental protection but pay limited attention to social equity.</w:t>
      </w:r>
    </w:p>
    <w:p w14:paraId="0749F02B" w14:textId="77777777" w:rsidR="00922DDE" w:rsidRPr="00922DDE" w:rsidRDefault="00922DDE" w:rsidP="00922DDE">
      <w:pPr>
        <w:rPr>
          <w:rFonts w:ascii="Arial" w:hAnsi="Arial" w:cs="Arial"/>
          <w:sz w:val="22"/>
          <w:szCs w:val="22"/>
        </w:rPr>
      </w:pPr>
      <w:r w:rsidRPr="00922DDE">
        <w:rPr>
          <w:rFonts w:ascii="Arial" w:hAnsi="Arial" w:cs="Arial"/>
          <w:sz w:val="22"/>
          <w:szCs w:val="22"/>
        </w:rPr>
        <w:t>Efforts to promote water conservation and reduce leakage have had some success, yet they rely heavily on individual behaviour change. This approach assumes equal capacity to act, ignoring socio-economic constraints that shape water usage. Furthermore, increasing climate risks—particularly flooding and drought—highlight weaknesses in long-term infrastructure planning and system resilience (Environment Agency, 2022).</w:t>
      </w:r>
    </w:p>
    <w:p w14:paraId="514F15C6" w14:textId="77777777" w:rsidR="00AC7D38" w:rsidRPr="000035BF" w:rsidRDefault="00AC7D38" w:rsidP="000035BF">
      <w:pPr>
        <w:pStyle w:val="Heading3"/>
        <w:rPr>
          <w:rFonts w:ascii="Arial" w:hAnsi="Arial" w:cs="Arial"/>
          <w:color w:val="auto"/>
          <w:sz w:val="22"/>
          <w:szCs w:val="22"/>
          <w:u w:val="single"/>
        </w:rPr>
      </w:pPr>
      <w:bookmarkStart w:id="13" w:name="_Toc225025324"/>
      <w:r w:rsidRPr="000035BF">
        <w:rPr>
          <w:rFonts w:ascii="Arial" w:hAnsi="Arial" w:cs="Arial"/>
          <w:color w:val="auto"/>
          <w:sz w:val="22"/>
          <w:szCs w:val="22"/>
          <w:u w:val="single"/>
        </w:rPr>
        <w:lastRenderedPageBreak/>
        <w:t>Theoretical Frameworks</w:t>
      </w:r>
      <w:bookmarkEnd w:id="13"/>
    </w:p>
    <w:p w14:paraId="35BE5C0D" w14:textId="77777777" w:rsidR="00922DDE" w:rsidRPr="00922DDE" w:rsidRDefault="00922DDE" w:rsidP="00922DDE">
      <w:pPr>
        <w:rPr>
          <w:rFonts w:ascii="Arial" w:hAnsi="Arial" w:cs="Arial"/>
          <w:sz w:val="22"/>
          <w:szCs w:val="22"/>
        </w:rPr>
      </w:pPr>
      <w:r w:rsidRPr="00922DDE">
        <w:rPr>
          <w:rFonts w:ascii="Arial" w:hAnsi="Arial" w:cs="Arial"/>
          <w:sz w:val="22"/>
          <w:szCs w:val="22"/>
        </w:rPr>
        <w:t>The Health Belief Model explains engagement with sanitation practices through perceived risks and benefits (Rosenstock, 1974). However, its individual focus limits its relevance in contexts where structural barriers—such as poverty or lack of infrastructure—restrict behavioural choice.</w:t>
      </w:r>
    </w:p>
    <w:p w14:paraId="62DE3CFB" w14:textId="77777777" w:rsidR="00922DDE" w:rsidRPr="00922DDE" w:rsidRDefault="00922DDE" w:rsidP="00922DDE">
      <w:pPr>
        <w:rPr>
          <w:rFonts w:ascii="Arial" w:hAnsi="Arial" w:cs="Arial"/>
          <w:sz w:val="22"/>
          <w:szCs w:val="22"/>
        </w:rPr>
      </w:pPr>
      <w:r w:rsidRPr="00922DDE">
        <w:rPr>
          <w:rFonts w:ascii="Arial" w:hAnsi="Arial" w:cs="Arial"/>
          <w:sz w:val="22"/>
          <w:szCs w:val="22"/>
        </w:rPr>
        <w:t>Similarly, Social Cognitive Theory emphasises social learning and self-efficacy (Bandura, 1986</w:t>
      </w:r>
      <w:proofErr w:type="gramStart"/>
      <w:r w:rsidRPr="00922DDE">
        <w:rPr>
          <w:rFonts w:ascii="Arial" w:hAnsi="Arial" w:cs="Arial"/>
          <w:sz w:val="22"/>
          <w:szCs w:val="22"/>
        </w:rPr>
        <w:t>), but</w:t>
      </w:r>
      <w:proofErr w:type="gramEnd"/>
      <w:r w:rsidRPr="00922DDE">
        <w:rPr>
          <w:rFonts w:ascii="Arial" w:hAnsi="Arial" w:cs="Arial"/>
          <w:sz w:val="22"/>
          <w:szCs w:val="22"/>
        </w:rPr>
        <w:t xml:space="preserve"> assumes that individuals can act on observed behaviours. In practice, unequal access to resources constrains this capacity, reducing the effectiveness of behaviour-based interventions.</w:t>
      </w:r>
    </w:p>
    <w:p w14:paraId="02D6565C" w14:textId="77777777" w:rsidR="00922DDE" w:rsidRPr="00922DDE" w:rsidRDefault="00922DDE" w:rsidP="00922DDE">
      <w:pPr>
        <w:rPr>
          <w:rFonts w:ascii="Arial" w:hAnsi="Arial" w:cs="Arial"/>
          <w:sz w:val="22"/>
          <w:szCs w:val="22"/>
        </w:rPr>
      </w:pPr>
      <w:r w:rsidRPr="00922DDE">
        <w:rPr>
          <w:rFonts w:ascii="Arial" w:hAnsi="Arial" w:cs="Arial"/>
          <w:sz w:val="22"/>
          <w:szCs w:val="22"/>
        </w:rPr>
        <w:t>Consequently, while both models offer insight into behaviour change, their policy application is limited unless combined with structural and environmental interventions.</w:t>
      </w:r>
    </w:p>
    <w:p w14:paraId="68F1C5D5" w14:textId="77777777" w:rsidR="00AC7D38" w:rsidRPr="000035BF" w:rsidRDefault="00AC7D38" w:rsidP="000035BF">
      <w:pPr>
        <w:pStyle w:val="Heading3"/>
        <w:rPr>
          <w:rFonts w:ascii="Arial" w:hAnsi="Arial" w:cs="Arial"/>
          <w:color w:val="auto"/>
          <w:sz w:val="22"/>
          <w:szCs w:val="22"/>
          <w:u w:val="single"/>
        </w:rPr>
      </w:pPr>
      <w:bookmarkStart w:id="14" w:name="_Toc225025325"/>
      <w:r w:rsidRPr="000035BF">
        <w:rPr>
          <w:rFonts w:ascii="Arial" w:hAnsi="Arial" w:cs="Arial"/>
          <w:color w:val="auto"/>
          <w:sz w:val="22"/>
          <w:szCs w:val="22"/>
          <w:u w:val="single"/>
        </w:rPr>
        <w:t>Critical Evaluation</w:t>
      </w:r>
      <w:bookmarkEnd w:id="14"/>
    </w:p>
    <w:p w14:paraId="5CBF1E62" w14:textId="77777777" w:rsidR="00922DDE" w:rsidRPr="00922DDE" w:rsidRDefault="00922DDE" w:rsidP="00922DDE">
      <w:pPr>
        <w:rPr>
          <w:rFonts w:ascii="Arial" w:hAnsi="Arial" w:cs="Arial"/>
          <w:sz w:val="22"/>
          <w:szCs w:val="22"/>
        </w:rPr>
      </w:pPr>
      <w:r w:rsidRPr="00922DDE">
        <w:rPr>
          <w:rFonts w:ascii="Arial" w:hAnsi="Arial" w:cs="Arial"/>
          <w:sz w:val="22"/>
          <w:szCs w:val="22"/>
        </w:rPr>
        <w:t xml:space="preserve">Although the UK maintains relatively high standards of water quality and sanitation, existing policies reveal significant limitations when examined through an equity and sustainability lens. Access is often assumed to be universal; however, marginalised populations—including homeless individuals and those in transient or informal housing—frequently experience inadequate or unreliable provision (WaterAid, 2022; Ofwat, 2022). This highlights a broader policy </w:t>
      </w:r>
      <w:proofErr w:type="gramStart"/>
      <w:r w:rsidRPr="00922DDE">
        <w:rPr>
          <w:rFonts w:ascii="Arial" w:hAnsi="Arial" w:cs="Arial"/>
          <w:sz w:val="22"/>
          <w:szCs w:val="22"/>
        </w:rPr>
        <w:t>gap,</w:t>
      </w:r>
      <w:proofErr w:type="gramEnd"/>
      <w:r w:rsidRPr="00922DDE">
        <w:rPr>
          <w:rFonts w:ascii="Arial" w:hAnsi="Arial" w:cs="Arial"/>
          <w:sz w:val="22"/>
          <w:szCs w:val="22"/>
        </w:rPr>
        <w:t xml:space="preserve"> whereby national frameworks prioritise infrastructure efficiency while insufficiently addressing the needs of socially excluded groups.</w:t>
      </w:r>
    </w:p>
    <w:p w14:paraId="2AFD8087" w14:textId="77777777" w:rsidR="00922DDE" w:rsidRPr="00922DDE" w:rsidRDefault="00922DDE" w:rsidP="00922DDE">
      <w:pPr>
        <w:rPr>
          <w:rFonts w:ascii="Arial" w:hAnsi="Arial" w:cs="Arial"/>
          <w:sz w:val="22"/>
          <w:szCs w:val="22"/>
        </w:rPr>
      </w:pPr>
      <w:r w:rsidRPr="00922DDE">
        <w:rPr>
          <w:rFonts w:ascii="Arial" w:hAnsi="Arial" w:cs="Arial"/>
          <w:sz w:val="22"/>
          <w:szCs w:val="22"/>
        </w:rPr>
        <w:t>Furthermore, current approaches to water management are challenged by the increasing impact of climate change, which exposes the fragility of existing infrastructure systems. Flooding, droughts, and extreme weather events have demonstrated that policies remain largely reactive rather than anticipatory, with limited investment in long-term resilience strategies (Environment Agency, 2022; UN-Water, 2023). While initiatives such as integrated water resource management promote sustainability, their implementation is often inconsistent and constrained by funding limitations and governance fragmentation.</w:t>
      </w:r>
    </w:p>
    <w:p w14:paraId="5A38763C" w14:textId="6A5804F1" w:rsidR="00922DDE" w:rsidRPr="00922DDE" w:rsidRDefault="00922DDE" w:rsidP="00922DDE">
      <w:pPr>
        <w:rPr>
          <w:rFonts w:ascii="Arial" w:hAnsi="Arial" w:cs="Arial"/>
          <w:sz w:val="22"/>
          <w:szCs w:val="22"/>
        </w:rPr>
      </w:pPr>
      <w:r w:rsidRPr="00922DDE">
        <w:rPr>
          <w:rFonts w:ascii="Arial" w:hAnsi="Arial" w:cs="Arial"/>
          <w:sz w:val="22"/>
          <w:szCs w:val="22"/>
        </w:rPr>
        <w:t xml:space="preserve">Behavioural approaches to water use, including public awareness campaigns, have achieved moderate success but tend to assume that individuals have equal capacity to adopt conservation practices. </w:t>
      </w:r>
      <w:r w:rsidRPr="000035BF">
        <w:rPr>
          <w:rFonts w:ascii="Arial" w:hAnsi="Arial" w:cs="Arial"/>
          <w:sz w:val="22"/>
          <w:szCs w:val="22"/>
        </w:rPr>
        <w:t>Socio-economic</w:t>
      </w:r>
      <w:r w:rsidRPr="00922DDE">
        <w:rPr>
          <w:rFonts w:ascii="Arial" w:hAnsi="Arial" w:cs="Arial"/>
          <w:sz w:val="22"/>
          <w:szCs w:val="22"/>
        </w:rPr>
        <w:t xml:space="preserve"> factors significantly influence water usage behaviours, limiting the effectiveness of such interventions. Additionally, environmental pressures—including pollution, over-extraction, and agricultural runoff—continue to threaten long-term water security, indicating that current regulatory frameworks are insufficiently robust. Overall, achieving SDG 6 requires a more integrated, forward-looking approach that combines infrastructure investment with social equity and environmental sustainability.</w:t>
      </w:r>
    </w:p>
    <w:p w14:paraId="59B26799" w14:textId="1DA03B78" w:rsidR="00AC7D38" w:rsidRPr="000035BF" w:rsidRDefault="00AC7D38" w:rsidP="000035BF">
      <w:pPr>
        <w:pStyle w:val="Heading3"/>
        <w:rPr>
          <w:rFonts w:ascii="Arial" w:hAnsi="Arial" w:cs="Arial"/>
          <w:color w:val="auto"/>
          <w:sz w:val="22"/>
          <w:szCs w:val="22"/>
          <w:u w:val="single"/>
        </w:rPr>
      </w:pPr>
      <w:bookmarkStart w:id="15" w:name="_Toc225025326"/>
      <w:r w:rsidRPr="000035BF">
        <w:rPr>
          <w:rFonts w:ascii="Arial" w:hAnsi="Arial" w:cs="Arial"/>
          <w:color w:val="auto"/>
          <w:sz w:val="22"/>
          <w:szCs w:val="22"/>
          <w:u w:val="single"/>
        </w:rPr>
        <w:t>Recommendations</w:t>
      </w:r>
      <w:bookmarkEnd w:id="15"/>
    </w:p>
    <w:p w14:paraId="43C9A6F9" w14:textId="77777777" w:rsidR="00922DDE" w:rsidRPr="00922DDE" w:rsidRDefault="00922DDE" w:rsidP="00922DDE">
      <w:pPr>
        <w:pStyle w:val="ListParagraph"/>
        <w:numPr>
          <w:ilvl w:val="0"/>
          <w:numId w:val="4"/>
        </w:numPr>
        <w:rPr>
          <w:rFonts w:ascii="Arial" w:hAnsi="Arial" w:cs="Arial"/>
          <w:sz w:val="22"/>
          <w:szCs w:val="22"/>
        </w:rPr>
      </w:pPr>
      <w:r w:rsidRPr="00922DDE">
        <w:rPr>
          <w:rFonts w:ascii="Arial" w:hAnsi="Arial" w:cs="Arial"/>
          <w:sz w:val="22"/>
          <w:szCs w:val="22"/>
        </w:rPr>
        <w:t xml:space="preserve">Develop climate-resilient infrastructure: Prioritise long-term investment in flood-resistant systems, sustainable drainage, and nature-based solutions to mitigate environmental risks. </w:t>
      </w:r>
    </w:p>
    <w:p w14:paraId="2A176651" w14:textId="77777777" w:rsidR="00922DDE" w:rsidRPr="00922DDE" w:rsidRDefault="00922DDE" w:rsidP="00922DDE">
      <w:pPr>
        <w:pStyle w:val="ListParagraph"/>
        <w:numPr>
          <w:ilvl w:val="0"/>
          <w:numId w:val="4"/>
        </w:numPr>
        <w:rPr>
          <w:rFonts w:ascii="Arial" w:hAnsi="Arial" w:cs="Arial"/>
          <w:sz w:val="22"/>
          <w:szCs w:val="22"/>
        </w:rPr>
      </w:pPr>
      <w:r w:rsidRPr="00922DDE">
        <w:rPr>
          <w:rFonts w:ascii="Arial" w:hAnsi="Arial" w:cs="Arial"/>
          <w:sz w:val="22"/>
          <w:szCs w:val="22"/>
        </w:rPr>
        <w:t xml:space="preserve">Address hidden inequalities in access: Introduce targeted policies for marginalised populations, including the homeless and those in informal housing, ensuring equitable access to sanitation facilities. </w:t>
      </w:r>
    </w:p>
    <w:p w14:paraId="5EBCEC51" w14:textId="77777777" w:rsidR="00922DDE" w:rsidRPr="00922DDE" w:rsidRDefault="00922DDE" w:rsidP="00922DDE">
      <w:pPr>
        <w:pStyle w:val="ListParagraph"/>
        <w:numPr>
          <w:ilvl w:val="0"/>
          <w:numId w:val="4"/>
        </w:numPr>
        <w:rPr>
          <w:rFonts w:ascii="Arial" w:hAnsi="Arial" w:cs="Arial"/>
          <w:sz w:val="22"/>
          <w:szCs w:val="22"/>
        </w:rPr>
      </w:pPr>
      <w:r w:rsidRPr="00922DDE">
        <w:rPr>
          <w:rFonts w:ascii="Arial" w:hAnsi="Arial" w:cs="Arial"/>
          <w:sz w:val="22"/>
          <w:szCs w:val="22"/>
        </w:rPr>
        <w:lastRenderedPageBreak/>
        <w:t xml:space="preserve">Strengthen regulatory frameworks on pollution and overuse: Implement stricter enforcement measures to address agricultural and industrial pollution and promote sustainable water consumption. </w:t>
      </w:r>
    </w:p>
    <w:p w14:paraId="10C2D6CA" w14:textId="5F2639DB" w:rsidR="00922DDE" w:rsidRPr="00922DDE" w:rsidRDefault="00922DDE" w:rsidP="00922DDE">
      <w:pPr>
        <w:pStyle w:val="ListParagraph"/>
        <w:numPr>
          <w:ilvl w:val="0"/>
          <w:numId w:val="4"/>
        </w:numPr>
        <w:rPr>
          <w:rFonts w:ascii="Arial" w:hAnsi="Arial" w:cs="Arial"/>
          <w:sz w:val="22"/>
          <w:szCs w:val="22"/>
        </w:rPr>
      </w:pPr>
      <w:r w:rsidRPr="00922DDE">
        <w:rPr>
          <w:rFonts w:ascii="Arial" w:hAnsi="Arial" w:cs="Arial"/>
          <w:sz w:val="22"/>
          <w:szCs w:val="22"/>
        </w:rPr>
        <w:t xml:space="preserve">Integrate behavioural and structural approaches: Combine public awareness campaigns with economic and infrastructural support to enable sustainable water </w:t>
      </w:r>
      <w:r w:rsidRPr="000035BF">
        <w:rPr>
          <w:rFonts w:ascii="Arial" w:hAnsi="Arial" w:cs="Arial"/>
          <w:sz w:val="22"/>
          <w:szCs w:val="22"/>
        </w:rPr>
        <w:t>to use</w:t>
      </w:r>
      <w:r w:rsidRPr="00922DDE">
        <w:rPr>
          <w:rFonts w:ascii="Arial" w:hAnsi="Arial" w:cs="Arial"/>
          <w:sz w:val="22"/>
          <w:szCs w:val="22"/>
        </w:rPr>
        <w:t xml:space="preserve"> across different socio-economic groups. </w:t>
      </w:r>
    </w:p>
    <w:p w14:paraId="1DB6C46C" w14:textId="77777777" w:rsidR="00922DDE" w:rsidRPr="00922DDE" w:rsidRDefault="00922DDE" w:rsidP="00922DDE">
      <w:pPr>
        <w:pStyle w:val="ListParagraph"/>
        <w:numPr>
          <w:ilvl w:val="0"/>
          <w:numId w:val="4"/>
        </w:numPr>
        <w:rPr>
          <w:rFonts w:ascii="Arial" w:hAnsi="Arial" w:cs="Arial"/>
          <w:sz w:val="22"/>
          <w:szCs w:val="22"/>
        </w:rPr>
      </w:pPr>
      <w:r w:rsidRPr="00922DDE">
        <w:rPr>
          <w:rFonts w:ascii="Arial" w:hAnsi="Arial" w:cs="Arial"/>
          <w:sz w:val="22"/>
          <w:szCs w:val="22"/>
        </w:rPr>
        <w:t xml:space="preserve">Improve governance and coordination: Enhance collaboration between local authorities, water companies, and environmental agencies to ensure consistent and effective policy implementation. </w:t>
      </w:r>
    </w:p>
    <w:p w14:paraId="790CCE4D" w14:textId="77777777" w:rsidR="006D10D2" w:rsidRPr="000035BF" w:rsidRDefault="006D10D2" w:rsidP="006D10D2">
      <w:pPr>
        <w:pStyle w:val="ListParagraph"/>
        <w:rPr>
          <w:rFonts w:ascii="Arial" w:hAnsi="Arial" w:cs="Arial"/>
          <w:sz w:val="22"/>
          <w:szCs w:val="22"/>
        </w:rPr>
      </w:pPr>
    </w:p>
    <w:p w14:paraId="378714F2" w14:textId="07D00720" w:rsidR="00AC7D38" w:rsidRPr="000035BF" w:rsidRDefault="00AC7D38" w:rsidP="000035BF">
      <w:pPr>
        <w:pStyle w:val="Heading2"/>
        <w:rPr>
          <w:rFonts w:ascii="Arial" w:hAnsi="Arial" w:cs="Arial"/>
          <w:b/>
          <w:bCs/>
          <w:color w:val="auto"/>
          <w:sz w:val="24"/>
          <w:szCs w:val="24"/>
        </w:rPr>
      </w:pPr>
      <w:bookmarkStart w:id="16" w:name="_Toc225025327"/>
      <w:r w:rsidRPr="000035BF">
        <w:rPr>
          <w:rFonts w:ascii="Arial" w:hAnsi="Arial" w:cs="Arial"/>
          <w:b/>
          <w:bCs/>
          <w:color w:val="auto"/>
          <w:sz w:val="24"/>
          <w:szCs w:val="24"/>
        </w:rPr>
        <w:t>Conclusion</w:t>
      </w:r>
      <w:bookmarkEnd w:id="16"/>
      <w:r w:rsidRPr="000035BF">
        <w:rPr>
          <w:rFonts w:ascii="Arial" w:hAnsi="Arial" w:cs="Arial"/>
          <w:b/>
          <w:bCs/>
          <w:color w:val="auto"/>
          <w:sz w:val="24"/>
          <w:szCs w:val="24"/>
        </w:rPr>
        <w:t xml:space="preserve"> </w:t>
      </w:r>
    </w:p>
    <w:p w14:paraId="53EC23F5" w14:textId="77777777" w:rsidR="00922DDE" w:rsidRPr="00922DDE" w:rsidRDefault="00922DDE" w:rsidP="00922DDE">
      <w:pPr>
        <w:rPr>
          <w:rFonts w:ascii="Arial" w:hAnsi="Arial" w:cs="Arial"/>
          <w:sz w:val="22"/>
          <w:szCs w:val="22"/>
        </w:rPr>
      </w:pPr>
      <w:r w:rsidRPr="00922DDE">
        <w:rPr>
          <w:rFonts w:ascii="Arial" w:hAnsi="Arial" w:cs="Arial"/>
          <w:sz w:val="22"/>
          <w:szCs w:val="22"/>
        </w:rPr>
        <w:t>This report has critically examined policies and initiatives associated with SDG 3 and SDG 6, highlighting both their contributions and their limitations in promoting sustainable health and wellbeing. While significant progress has been achieved at global and national levels, the analysis demonstrates that current approaches remain constrained by persistent structural inequalities, fragmented policy implementation, and insufficient integration across sectors. The application of behavioural theories, including the Health Belief Model and Social Cognitive Theory, illustrates their value in supporting behaviour change, but also reveals their limitations when structural barriers are not adequately addressed.</w:t>
      </w:r>
    </w:p>
    <w:p w14:paraId="252C62AB" w14:textId="77777777" w:rsidR="00922DDE" w:rsidRPr="00922DDE" w:rsidRDefault="00922DDE" w:rsidP="00922DDE">
      <w:pPr>
        <w:rPr>
          <w:rFonts w:ascii="Arial" w:hAnsi="Arial" w:cs="Arial"/>
          <w:sz w:val="22"/>
          <w:szCs w:val="22"/>
        </w:rPr>
      </w:pPr>
      <w:r w:rsidRPr="00922DDE">
        <w:rPr>
          <w:rFonts w:ascii="Arial" w:hAnsi="Arial" w:cs="Arial"/>
          <w:sz w:val="22"/>
          <w:szCs w:val="22"/>
        </w:rPr>
        <w:t>The interdependence of health and environmental factors is particularly evident in the relationship between SDG 3 and SDG 6, where access to clean water and sanitation directly influences health outcomes. However, policy frameworks often fail to fully integrate these connections, reducing their overall effectiveness. Moving forward, achieving sustainable development requires a shift towards more holistic, equity-focused strategies that combine behavioural insights with structural reform.</w:t>
      </w:r>
    </w:p>
    <w:p w14:paraId="32D20CD8" w14:textId="77777777" w:rsidR="00922DDE" w:rsidRPr="00922DDE" w:rsidRDefault="00922DDE" w:rsidP="00922DDE">
      <w:pPr>
        <w:rPr>
          <w:rFonts w:ascii="Arial" w:hAnsi="Arial" w:cs="Arial"/>
          <w:sz w:val="22"/>
          <w:szCs w:val="22"/>
        </w:rPr>
      </w:pPr>
      <w:r w:rsidRPr="00922DDE">
        <w:rPr>
          <w:rFonts w:ascii="Arial" w:hAnsi="Arial" w:cs="Arial"/>
          <w:sz w:val="22"/>
          <w:szCs w:val="22"/>
        </w:rPr>
        <w:t>Ultimately, meaningful progress towards the SDGs will depend on the ability of policymakers to address underlying social determinants, invest in resilient infrastructure, and adopt coordinated, multisectoral approaches. Without such changes, existing inequalities are likely to persist, limiting the potential for long-term improvements in global health and wellbeing.</w:t>
      </w:r>
    </w:p>
    <w:p w14:paraId="0D206A09" w14:textId="77777777" w:rsidR="00AC7D38" w:rsidRPr="000035BF" w:rsidRDefault="00AC7D38" w:rsidP="00AC7D38">
      <w:pPr>
        <w:rPr>
          <w:rFonts w:ascii="Arial" w:hAnsi="Arial" w:cs="Arial"/>
          <w:b/>
          <w:bCs/>
          <w:sz w:val="22"/>
          <w:szCs w:val="22"/>
          <w:u w:val="single"/>
        </w:rPr>
      </w:pPr>
    </w:p>
    <w:p w14:paraId="57DDC5C4" w14:textId="47187B01" w:rsidR="00AC7D38" w:rsidRPr="000035BF" w:rsidRDefault="00AC7D38" w:rsidP="000035BF">
      <w:pPr>
        <w:pStyle w:val="Heading2"/>
        <w:rPr>
          <w:rFonts w:ascii="Arial" w:hAnsi="Arial" w:cs="Arial"/>
          <w:b/>
          <w:bCs/>
          <w:color w:val="auto"/>
          <w:sz w:val="24"/>
          <w:szCs w:val="24"/>
        </w:rPr>
      </w:pPr>
      <w:bookmarkStart w:id="17" w:name="_Toc225025328"/>
      <w:r w:rsidRPr="000035BF">
        <w:rPr>
          <w:rFonts w:ascii="Arial" w:hAnsi="Arial" w:cs="Arial"/>
          <w:b/>
          <w:bCs/>
          <w:color w:val="auto"/>
          <w:sz w:val="24"/>
          <w:szCs w:val="24"/>
        </w:rPr>
        <w:t>References</w:t>
      </w:r>
      <w:bookmarkEnd w:id="17"/>
    </w:p>
    <w:p w14:paraId="4982A7C3"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Department for Environment, Food &amp; Rural Affairs (2023) </w:t>
      </w:r>
      <w:r w:rsidRPr="00AC7D38">
        <w:rPr>
          <w:rFonts w:ascii="Arial" w:hAnsi="Arial" w:cs="Arial"/>
          <w:i/>
          <w:iCs/>
          <w:sz w:val="22"/>
          <w:szCs w:val="22"/>
        </w:rPr>
        <w:t>Plan for Water</w:t>
      </w:r>
      <w:r w:rsidRPr="00AC7D38">
        <w:rPr>
          <w:rFonts w:ascii="Arial" w:hAnsi="Arial" w:cs="Arial"/>
          <w:sz w:val="22"/>
          <w:szCs w:val="22"/>
        </w:rPr>
        <w:t xml:space="preserve">. London: DEFRA. Available at: </w:t>
      </w:r>
      <w:hyperlink r:id="rId8" w:tgtFrame="_new" w:history="1">
        <w:r w:rsidRPr="00AC7D38">
          <w:rPr>
            <w:rStyle w:val="Hyperlink"/>
            <w:rFonts w:ascii="Arial" w:hAnsi="Arial" w:cs="Arial"/>
            <w:sz w:val="22"/>
            <w:szCs w:val="22"/>
          </w:rPr>
          <w:t>https://www.gov.uk/government/publications</w:t>
        </w:r>
      </w:hyperlink>
      <w:r w:rsidRPr="00AC7D38">
        <w:rPr>
          <w:rFonts w:ascii="Arial" w:hAnsi="Arial" w:cs="Arial"/>
          <w:sz w:val="22"/>
          <w:szCs w:val="22"/>
        </w:rPr>
        <w:t xml:space="preserve"> (Accessed: 10 March 2026). </w:t>
      </w:r>
    </w:p>
    <w:p w14:paraId="346ACD1D"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Department of Health and Social Care (2022) </w:t>
      </w:r>
      <w:r w:rsidRPr="00AC7D38">
        <w:rPr>
          <w:rFonts w:ascii="Arial" w:hAnsi="Arial" w:cs="Arial"/>
          <w:i/>
          <w:iCs/>
          <w:sz w:val="22"/>
          <w:szCs w:val="22"/>
        </w:rPr>
        <w:t>Health and Social Care Review</w:t>
      </w:r>
      <w:r w:rsidRPr="00AC7D38">
        <w:rPr>
          <w:rFonts w:ascii="Arial" w:hAnsi="Arial" w:cs="Arial"/>
          <w:sz w:val="22"/>
          <w:szCs w:val="22"/>
        </w:rPr>
        <w:t xml:space="preserve">. London: DHSC. Available at: </w:t>
      </w:r>
      <w:hyperlink r:id="rId9" w:tgtFrame="_new" w:history="1">
        <w:r w:rsidRPr="00AC7D38">
          <w:rPr>
            <w:rStyle w:val="Hyperlink"/>
            <w:rFonts w:ascii="Arial" w:hAnsi="Arial" w:cs="Arial"/>
            <w:sz w:val="22"/>
            <w:szCs w:val="22"/>
          </w:rPr>
          <w:t>https://www.gov.uk</w:t>
        </w:r>
      </w:hyperlink>
      <w:r w:rsidRPr="00AC7D38">
        <w:rPr>
          <w:rFonts w:ascii="Arial" w:hAnsi="Arial" w:cs="Arial"/>
          <w:sz w:val="22"/>
          <w:szCs w:val="22"/>
        </w:rPr>
        <w:t xml:space="preserve"> (Accessed: 6 March 2026). </w:t>
      </w:r>
    </w:p>
    <w:p w14:paraId="004BB33F"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Environment Agency (2022) </w:t>
      </w:r>
      <w:r w:rsidRPr="00AC7D38">
        <w:rPr>
          <w:rFonts w:ascii="Arial" w:hAnsi="Arial" w:cs="Arial"/>
          <w:i/>
          <w:iCs/>
          <w:sz w:val="22"/>
          <w:szCs w:val="22"/>
        </w:rPr>
        <w:t>State of the environment: Water quality</w:t>
      </w:r>
      <w:r w:rsidRPr="00AC7D38">
        <w:rPr>
          <w:rFonts w:ascii="Arial" w:hAnsi="Arial" w:cs="Arial"/>
          <w:sz w:val="22"/>
          <w:szCs w:val="22"/>
        </w:rPr>
        <w:t xml:space="preserve">. Bristol: Environment Agency. Available at: </w:t>
      </w:r>
      <w:hyperlink r:id="rId10" w:tgtFrame="_new" w:history="1">
        <w:r w:rsidRPr="00AC7D38">
          <w:rPr>
            <w:rStyle w:val="Hyperlink"/>
            <w:rFonts w:ascii="Arial" w:hAnsi="Arial" w:cs="Arial"/>
            <w:sz w:val="22"/>
            <w:szCs w:val="22"/>
          </w:rPr>
          <w:t>https://www.gov.uk/government</w:t>
        </w:r>
      </w:hyperlink>
      <w:r w:rsidRPr="00AC7D38">
        <w:rPr>
          <w:rFonts w:ascii="Arial" w:hAnsi="Arial" w:cs="Arial"/>
          <w:sz w:val="22"/>
          <w:szCs w:val="22"/>
        </w:rPr>
        <w:t xml:space="preserve"> (Accessed: 9 March 2026). </w:t>
      </w:r>
    </w:p>
    <w:p w14:paraId="732825F7"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Marmot, M. et al. (2020) </w:t>
      </w:r>
      <w:r w:rsidRPr="00AC7D38">
        <w:rPr>
          <w:rFonts w:ascii="Arial" w:hAnsi="Arial" w:cs="Arial"/>
          <w:i/>
          <w:iCs/>
          <w:sz w:val="22"/>
          <w:szCs w:val="22"/>
        </w:rPr>
        <w:t>Health equity in England: The Marmot Review 10 years on</w:t>
      </w:r>
      <w:r w:rsidRPr="00AC7D38">
        <w:rPr>
          <w:rFonts w:ascii="Arial" w:hAnsi="Arial" w:cs="Arial"/>
          <w:sz w:val="22"/>
          <w:szCs w:val="22"/>
        </w:rPr>
        <w:t xml:space="preserve">. London: Institute of Health Equity. Available at: </w:t>
      </w:r>
      <w:hyperlink r:id="rId11" w:tgtFrame="_new" w:history="1">
        <w:r w:rsidRPr="00AC7D38">
          <w:rPr>
            <w:rStyle w:val="Hyperlink"/>
            <w:rFonts w:ascii="Arial" w:hAnsi="Arial" w:cs="Arial"/>
            <w:sz w:val="22"/>
            <w:szCs w:val="22"/>
          </w:rPr>
          <w:t>https://www.health.org.uk</w:t>
        </w:r>
      </w:hyperlink>
      <w:r w:rsidRPr="00AC7D38">
        <w:rPr>
          <w:rFonts w:ascii="Arial" w:hAnsi="Arial" w:cs="Arial"/>
          <w:sz w:val="22"/>
          <w:szCs w:val="22"/>
        </w:rPr>
        <w:t xml:space="preserve"> (Accessed: 7 March 2026). </w:t>
      </w:r>
    </w:p>
    <w:p w14:paraId="664569C5"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NHS England (2019) </w:t>
      </w:r>
      <w:r w:rsidRPr="00AC7D38">
        <w:rPr>
          <w:rFonts w:ascii="Arial" w:hAnsi="Arial" w:cs="Arial"/>
          <w:i/>
          <w:iCs/>
          <w:sz w:val="22"/>
          <w:szCs w:val="22"/>
        </w:rPr>
        <w:t>The NHS Long Term Plan</w:t>
      </w:r>
      <w:r w:rsidRPr="00AC7D38">
        <w:rPr>
          <w:rFonts w:ascii="Arial" w:hAnsi="Arial" w:cs="Arial"/>
          <w:sz w:val="22"/>
          <w:szCs w:val="22"/>
        </w:rPr>
        <w:t xml:space="preserve">. London: NHS. Available at: </w:t>
      </w:r>
      <w:hyperlink r:id="rId12" w:tgtFrame="_new" w:history="1">
        <w:r w:rsidRPr="00AC7D38">
          <w:rPr>
            <w:rStyle w:val="Hyperlink"/>
            <w:rFonts w:ascii="Arial" w:hAnsi="Arial" w:cs="Arial"/>
            <w:sz w:val="22"/>
            <w:szCs w:val="22"/>
          </w:rPr>
          <w:t>https://www.longtermplan.nhs.uk</w:t>
        </w:r>
      </w:hyperlink>
      <w:r w:rsidRPr="00AC7D38">
        <w:rPr>
          <w:rFonts w:ascii="Arial" w:hAnsi="Arial" w:cs="Arial"/>
          <w:sz w:val="22"/>
          <w:szCs w:val="22"/>
        </w:rPr>
        <w:t xml:space="preserve"> (Accessed: 5 March 2026). </w:t>
      </w:r>
    </w:p>
    <w:p w14:paraId="0FF78828" w14:textId="77777777" w:rsidR="00AC7D38" w:rsidRPr="00AC7D38" w:rsidRDefault="00AC7D38" w:rsidP="00AC7D38">
      <w:pPr>
        <w:rPr>
          <w:rFonts w:ascii="Arial" w:hAnsi="Arial" w:cs="Arial"/>
          <w:sz w:val="22"/>
          <w:szCs w:val="22"/>
        </w:rPr>
      </w:pPr>
      <w:r w:rsidRPr="00AC7D38">
        <w:rPr>
          <w:rFonts w:ascii="Arial" w:hAnsi="Arial" w:cs="Arial"/>
          <w:sz w:val="22"/>
          <w:szCs w:val="22"/>
        </w:rPr>
        <w:lastRenderedPageBreak/>
        <w:t xml:space="preserve">OECD (2022) </w:t>
      </w:r>
      <w:r w:rsidRPr="00AC7D38">
        <w:rPr>
          <w:rFonts w:ascii="Arial" w:hAnsi="Arial" w:cs="Arial"/>
          <w:i/>
          <w:iCs/>
          <w:sz w:val="22"/>
          <w:szCs w:val="22"/>
        </w:rPr>
        <w:t xml:space="preserve">Health </w:t>
      </w:r>
      <w:proofErr w:type="gramStart"/>
      <w:r w:rsidRPr="00AC7D38">
        <w:rPr>
          <w:rFonts w:ascii="Arial" w:hAnsi="Arial" w:cs="Arial"/>
          <w:i/>
          <w:iCs/>
          <w:sz w:val="22"/>
          <w:szCs w:val="22"/>
        </w:rPr>
        <w:t>at a Glance</w:t>
      </w:r>
      <w:proofErr w:type="gramEnd"/>
      <w:r w:rsidRPr="00AC7D38">
        <w:rPr>
          <w:rFonts w:ascii="Arial" w:hAnsi="Arial" w:cs="Arial"/>
          <w:i/>
          <w:iCs/>
          <w:sz w:val="22"/>
          <w:szCs w:val="22"/>
        </w:rPr>
        <w:t>: Europe 2022</w:t>
      </w:r>
      <w:r w:rsidRPr="00AC7D38">
        <w:rPr>
          <w:rFonts w:ascii="Arial" w:hAnsi="Arial" w:cs="Arial"/>
          <w:sz w:val="22"/>
          <w:szCs w:val="22"/>
        </w:rPr>
        <w:t xml:space="preserve">. Paris: OECD. Available at: </w:t>
      </w:r>
      <w:hyperlink r:id="rId13" w:tgtFrame="_new" w:history="1">
        <w:r w:rsidRPr="00AC7D38">
          <w:rPr>
            <w:rStyle w:val="Hyperlink"/>
            <w:rFonts w:ascii="Arial" w:hAnsi="Arial" w:cs="Arial"/>
            <w:sz w:val="22"/>
            <w:szCs w:val="22"/>
          </w:rPr>
          <w:t>https://www.oecd.org/health</w:t>
        </w:r>
      </w:hyperlink>
      <w:r w:rsidRPr="00AC7D38">
        <w:rPr>
          <w:rFonts w:ascii="Arial" w:hAnsi="Arial" w:cs="Arial"/>
          <w:sz w:val="22"/>
          <w:szCs w:val="22"/>
        </w:rPr>
        <w:t xml:space="preserve"> (Accessed: 16 March 2026). </w:t>
      </w:r>
    </w:p>
    <w:p w14:paraId="262F14FD"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Office for National Statistics (2023) </w:t>
      </w:r>
      <w:r w:rsidRPr="00AC7D38">
        <w:rPr>
          <w:rFonts w:ascii="Arial" w:hAnsi="Arial" w:cs="Arial"/>
          <w:i/>
          <w:iCs/>
          <w:sz w:val="22"/>
          <w:szCs w:val="22"/>
        </w:rPr>
        <w:t>Health inequalities in England</w:t>
      </w:r>
      <w:r w:rsidRPr="00AC7D38">
        <w:rPr>
          <w:rFonts w:ascii="Arial" w:hAnsi="Arial" w:cs="Arial"/>
          <w:sz w:val="22"/>
          <w:szCs w:val="22"/>
        </w:rPr>
        <w:t xml:space="preserve">. London: ONS. Available at: </w:t>
      </w:r>
      <w:hyperlink r:id="rId14" w:tgtFrame="_new" w:history="1">
        <w:r w:rsidRPr="00AC7D38">
          <w:rPr>
            <w:rStyle w:val="Hyperlink"/>
            <w:rFonts w:ascii="Arial" w:hAnsi="Arial" w:cs="Arial"/>
            <w:sz w:val="22"/>
            <w:szCs w:val="22"/>
          </w:rPr>
          <w:t>https://www.ons.gov.uk</w:t>
        </w:r>
      </w:hyperlink>
      <w:r w:rsidRPr="00AC7D38">
        <w:rPr>
          <w:rFonts w:ascii="Arial" w:hAnsi="Arial" w:cs="Arial"/>
          <w:sz w:val="22"/>
          <w:szCs w:val="22"/>
        </w:rPr>
        <w:t xml:space="preserve"> (Accessed: 8 March 2026). </w:t>
      </w:r>
    </w:p>
    <w:p w14:paraId="7744F90F"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Ofwat (2022) </w:t>
      </w:r>
      <w:r w:rsidRPr="00AC7D38">
        <w:rPr>
          <w:rFonts w:ascii="Arial" w:hAnsi="Arial" w:cs="Arial"/>
          <w:i/>
          <w:iCs/>
          <w:sz w:val="22"/>
          <w:szCs w:val="22"/>
        </w:rPr>
        <w:t>Water company performance report</w:t>
      </w:r>
      <w:r w:rsidRPr="00AC7D38">
        <w:rPr>
          <w:rFonts w:ascii="Arial" w:hAnsi="Arial" w:cs="Arial"/>
          <w:sz w:val="22"/>
          <w:szCs w:val="22"/>
        </w:rPr>
        <w:t xml:space="preserve">. Birmingham: Ofwat. Available at: </w:t>
      </w:r>
      <w:hyperlink r:id="rId15" w:tgtFrame="_new" w:history="1">
        <w:r w:rsidRPr="00AC7D38">
          <w:rPr>
            <w:rStyle w:val="Hyperlink"/>
            <w:rFonts w:ascii="Arial" w:hAnsi="Arial" w:cs="Arial"/>
            <w:sz w:val="22"/>
            <w:szCs w:val="22"/>
          </w:rPr>
          <w:t>https://www.ofwat.gov.uk</w:t>
        </w:r>
      </w:hyperlink>
      <w:r w:rsidRPr="00AC7D38">
        <w:rPr>
          <w:rFonts w:ascii="Arial" w:hAnsi="Arial" w:cs="Arial"/>
          <w:sz w:val="22"/>
          <w:szCs w:val="22"/>
        </w:rPr>
        <w:t xml:space="preserve"> (Accessed: 11 March 2026). </w:t>
      </w:r>
    </w:p>
    <w:p w14:paraId="2C13BBC5"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UK Health Security Agency (2022) </w:t>
      </w:r>
      <w:r w:rsidRPr="00AC7D38">
        <w:rPr>
          <w:rFonts w:ascii="Arial" w:hAnsi="Arial" w:cs="Arial"/>
          <w:i/>
          <w:iCs/>
          <w:sz w:val="22"/>
          <w:szCs w:val="22"/>
        </w:rPr>
        <w:t>Health protection report</w:t>
      </w:r>
      <w:r w:rsidRPr="00AC7D38">
        <w:rPr>
          <w:rFonts w:ascii="Arial" w:hAnsi="Arial" w:cs="Arial"/>
          <w:sz w:val="22"/>
          <w:szCs w:val="22"/>
        </w:rPr>
        <w:t xml:space="preserve">. London: UKHSA. Available at: </w:t>
      </w:r>
      <w:hyperlink r:id="rId16" w:tgtFrame="_new" w:history="1">
        <w:r w:rsidRPr="00AC7D38">
          <w:rPr>
            <w:rStyle w:val="Hyperlink"/>
            <w:rFonts w:ascii="Arial" w:hAnsi="Arial" w:cs="Arial"/>
            <w:sz w:val="22"/>
            <w:szCs w:val="22"/>
          </w:rPr>
          <w:t>https://www.gov.uk</w:t>
        </w:r>
      </w:hyperlink>
      <w:r w:rsidRPr="00AC7D38">
        <w:rPr>
          <w:rFonts w:ascii="Arial" w:hAnsi="Arial" w:cs="Arial"/>
          <w:sz w:val="22"/>
          <w:szCs w:val="22"/>
        </w:rPr>
        <w:t xml:space="preserve"> (Accessed: 17 March 2026). </w:t>
      </w:r>
    </w:p>
    <w:p w14:paraId="0C175035"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UNICEF (2023) </w:t>
      </w:r>
      <w:r w:rsidRPr="00AC7D38">
        <w:rPr>
          <w:rFonts w:ascii="Arial" w:hAnsi="Arial" w:cs="Arial"/>
          <w:i/>
          <w:iCs/>
          <w:sz w:val="22"/>
          <w:szCs w:val="22"/>
        </w:rPr>
        <w:t>Water, sanitation and hygiene strategy 2023–2030</w:t>
      </w:r>
      <w:r w:rsidRPr="00AC7D38">
        <w:rPr>
          <w:rFonts w:ascii="Arial" w:hAnsi="Arial" w:cs="Arial"/>
          <w:sz w:val="22"/>
          <w:szCs w:val="22"/>
        </w:rPr>
        <w:t xml:space="preserve">. New York: UNICEF. Available at: </w:t>
      </w:r>
      <w:hyperlink r:id="rId17" w:tgtFrame="_new" w:history="1">
        <w:r w:rsidRPr="00AC7D38">
          <w:rPr>
            <w:rStyle w:val="Hyperlink"/>
            <w:rFonts w:ascii="Arial" w:hAnsi="Arial" w:cs="Arial"/>
            <w:sz w:val="22"/>
            <w:szCs w:val="22"/>
          </w:rPr>
          <w:t>https://www.unicef.org</w:t>
        </w:r>
      </w:hyperlink>
      <w:r w:rsidRPr="00AC7D38">
        <w:rPr>
          <w:rFonts w:ascii="Arial" w:hAnsi="Arial" w:cs="Arial"/>
          <w:sz w:val="22"/>
          <w:szCs w:val="22"/>
        </w:rPr>
        <w:t xml:space="preserve"> (Accessed: 14 March 2026). </w:t>
      </w:r>
    </w:p>
    <w:p w14:paraId="756CBA59"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United Nations (2015) </w:t>
      </w:r>
      <w:r w:rsidRPr="00AC7D38">
        <w:rPr>
          <w:rFonts w:ascii="Arial" w:hAnsi="Arial" w:cs="Arial"/>
          <w:i/>
          <w:iCs/>
          <w:sz w:val="22"/>
          <w:szCs w:val="22"/>
        </w:rPr>
        <w:t>Transforming our world: The 2030 Agenda for Sustainable Development</w:t>
      </w:r>
      <w:r w:rsidRPr="00AC7D38">
        <w:rPr>
          <w:rFonts w:ascii="Arial" w:hAnsi="Arial" w:cs="Arial"/>
          <w:sz w:val="22"/>
          <w:szCs w:val="22"/>
        </w:rPr>
        <w:t xml:space="preserve">. New York: UN. Available at: </w:t>
      </w:r>
      <w:hyperlink r:id="rId18" w:tgtFrame="_new" w:history="1">
        <w:r w:rsidRPr="00AC7D38">
          <w:rPr>
            <w:rStyle w:val="Hyperlink"/>
            <w:rFonts w:ascii="Arial" w:hAnsi="Arial" w:cs="Arial"/>
            <w:sz w:val="22"/>
            <w:szCs w:val="22"/>
          </w:rPr>
          <w:t>https://sdgs.un.org/2030agenda</w:t>
        </w:r>
      </w:hyperlink>
      <w:r w:rsidRPr="00AC7D38">
        <w:rPr>
          <w:rFonts w:ascii="Arial" w:hAnsi="Arial" w:cs="Arial"/>
          <w:sz w:val="22"/>
          <w:szCs w:val="22"/>
        </w:rPr>
        <w:t xml:space="preserve"> (Accessed: 3 March 2026). </w:t>
      </w:r>
    </w:p>
    <w:p w14:paraId="6735D1E7"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United Nations Development Programme (2023) </w:t>
      </w:r>
      <w:r w:rsidRPr="00AC7D38">
        <w:rPr>
          <w:rFonts w:ascii="Arial" w:hAnsi="Arial" w:cs="Arial"/>
          <w:i/>
          <w:iCs/>
          <w:sz w:val="22"/>
          <w:szCs w:val="22"/>
        </w:rPr>
        <w:t>Sustainable Development Goals Report 2023</w:t>
      </w:r>
      <w:r w:rsidRPr="00AC7D38">
        <w:rPr>
          <w:rFonts w:ascii="Arial" w:hAnsi="Arial" w:cs="Arial"/>
          <w:sz w:val="22"/>
          <w:szCs w:val="22"/>
        </w:rPr>
        <w:t xml:space="preserve">. New York: UNDP. Available at: </w:t>
      </w:r>
      <w:hyperlink r:id="rId19" w:tgtFrame="_new" w:history="1">
        <w:r w:rsidRPr="00AC7D38">
          <w:rPr>
            <w:rStyle w:val="Hyperlink"/>
            <w:rFonts w:ascii="Arial" w:hAnsi="Arial" w:cs="Arial"/>
            <w:sz w:val="22"/>
            <w:szCs w:val="22"/>
          </w:rPr>
          <w:t>https://www.undp.org/publications</w:t>
        </w:r>
      </w:hyperlink>
      <w:r w:rsidRPr="00AC7D38">
        <w:rPr>
          <w:rFonts w:ascii="Arial" w:hAnsi="Arial" w:cs="Arial"/>
          <w:sz w:val="22"/>
          <w:szCs w:val="22"/>
        </w:rPr>
        <w:t xml:space="preserve"> (Accessed: 4 March 2026). </w:t>
      </w:r>
    </w:p>
    <w:p w14:paraId="16C28893"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UN-Water (2023) </w:t>
      </w:r>
      <w:r w:rsidRPr="00AC7D38">
        <w:rPr>
          <w:rFonts w:ascii="Arial" w:hAnsi="Arial" w:cs="Arial"/>
          <w:i/>
          <w:iCs/>
          <w:sz w:val="22"/>
          <w:szCs w:val="22"/>
        </w:rPr>
        <w:t>Summary Progress Update 2023: SDG 6</w:t>
      </w:r>
      <w:r w:rsidRPr="00AC7D38">
        <w:rPr>
          <w:rFonts w:ascii="Arial" w:hAnsi="Arial" w:cs="Arial"/>
          <w:sz w:val="22"/>
          <w:szCs w:val="22"/>
        </w:rPr>
        <w:t xml:space="preserve">. Geneva: UN-Water. Available at: </w:t>
      </w:r>
      <w:hyperlink r:id="rId20" w:tgtFrame="_new" w:history="1">
        <w:r w:rsidRPr="00AC7D38">
          <w:rPr>
            <w:rStyle w:val="Hyperlink"/>
            <w:rFonts w:ascii="Arial" w:hAnsi="Arial" w:cs="Arial"/>
            <w:sz w:val="22"/>
            <w:szCs w:val="22"/>
          </w:rPr>
          <w:t>https://www.unwater.org/publications</w:t>
        </w:r>
      </w:hyperlink>
      <w:r w:rsidRPr="00AC7D38">
        <w:rPr>
          <w:rFonts w:ascii="Arial" w:hAnsi="Arial" w:cs="Arial"/>
          <w:sz w:val="22"/>
          <w:szCs w:val="22"/>
        </w:rPr>
        <w:t xml:space="preserve"> (Accessed: 12 March 2026). </w:t>
      </w:r>
    </w:p>
    <w:p w14:paraId="3FFE3A55"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WaterAid (2022) </w:t>
      </w:r>
      <w:r w:rsidRPr="00AC7D38">
        <w:rPr>
          <w:rFonts w:ascii="Arial" w:hAnsi="Arial" w:cs="Arial"/>
          <w:i/>
          <w:iCs/>
          <w:sz w:val="22"/>
          <w:szCs w:val="22"/>
        </w:rPr>
        <w:t>The water gap: State of the world’s water</w:t>
      </w:r>
      <w:r w:rsidRPr="00AC7D38">
        <w:rPr>
          <w:rFonts w:ascii="Arial" w:hAnsi="Arial" w:cs="Arial"/>
          <w:sz w:val="22"/>
          <w:szCs w:val="22"/>
        </w:rPr>
        <w:t xml:space="preserve">. London: WaterAid. Available at: </w:t>
      </w:r>
      <w:hyperlink r:id="rId21" w:tgtFrame="_new" w:history="1">
        <w:r w:rsidRPr="00AC7D38">
          <w:rPr>
            <w:rStyle w:val="Hyperlink"/>
            <w:rFonts w:ascii="Arial" w:hAnsi="Arial" w:cs="Arial"/>
            <w:sz w:val="22"/>
            <w:szCs w:val="22"/>
          </w:rPr>
          <w:t>https://www.wateraid.org</w:t>
        </w:r>
      </w:hyperlink>
      <w:r w:rsidRPr="00AC7D38">
        <w:rPr>
          <w:rFonts w:ascii="Arial" w:hAnsi="Arial" w:cs="Arial"/>
          <w:sz w:val="22"/>
          <w:szCs w:val="22"/>
        </w:rPr>
        <w:t xml:space="preserve"> (Accessed: 15 March 2026). </w:t>
      </w:r>
    </w:p>
    <w:p w14:paraId="17109AEF"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WHO Regional Office for Europe (2020) </w:t>
      </w:r>
      <w:r w:rsidRPr="00AC7D38">
        <w:rPr>
          <w:rFonts w:ascii="Arial" w:hAnsi="Arial" w:cs="Arial"/>
          <w:i/>
          <w:iCs/>
          <w:sz w:val="22"/>
          <w:szCs w:val="22"/>
        </w:rPr>
        <w:t>Primary health care: annual report</w:t>
      </w:r>
      <w:r w:rsidRPr="00AC7D38">
        <w:rPr>
          <w:rFonts w:ascii="Arial" w:hAnsi="Arial" w:cs="Arial"/>
          <w:sz w:val="22"/>
          <w:szCs w:val="22"/>
        </w:rPr>
        <w:t xml:space="preserve">. Available at: </w:t>
      </w:r>
      <w:hyperlink r:id="rId22" w:tgtFrame="_new" w:history="1">
        <w:r w:rsidRPr="00AC7D38">
          <w:rPr>
            <w:rStyle w:val="Hyperlink"/>
            <w:rFonts w:ascii="Arial" w:hAnsi="Arial" w:cs="Arial"/>
            <w:sz w:val="22"/>
            <w:szCs w:val="22"/>
          </w:rPr>
          <w:t>WHO Europe PHC report</w:t>
        </w:r>
      </w:hyperlink>
      <w:r w:rsidRPr="00AC7D38">
        <w:rPr>
          <w:rFonts w:ascii="Arial" w:hAnsi="Arial" w:cs="Arial"/>
          <w:sz w:val="22"/>
          <w:szCs w:val="22"/>
        </w:rPr>
        <w:t xml:space="preserve"> (Accessed: 18 March 2026). </w:t>
      </w:r>
    </w:p>
    <w:p w14:paraId="7314844F"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World Bank (2023) </w:t>
      </w:r>
      <w:r w:rsidRPr="00AC7D38">
        <w:rPr>
          <w:rFonts w:ascii="Arial" w:hAnsi="Arial" w:cs="Arial"/>
          <w:i/>
          <w:iCs/>
          <w:sz w:val="22"/>
          <w:szCs w:val="22"/>
        </w:rPr>
        <w:t>World Development Indicators</w:t>
      </w:r>
      <w:r w:rsidRPr="00AC7D38">
        <w:rPr>
          <w:rFonts w:ascii="Arial" w:hAnsi="Arial" w:cs="Arial"/>
          <w:sz w:val="22"/>
          <w:szCs w:val="22"/>
        </w:rPr>
        <w:t xml:space="preserve">. Washington, DC: World Bank. Available at: </w:t>
      </w:r>
      <w:hyperlink r:id="rId23" w:tgtFrame="_new" w:history="1">
        <w:r w:rsidRPr="00AC7D38">
          <w:rPr>
            <w:rStyle w:val="Hyperlink"/>
            <w:rFonts w:ascii="Arial" w:hAnsi="Arial" w:cs="Arial"/>
            <w:sz w:val="22"/>
            <w:szCs w:val="22"/>
          </w:rPr>
          <w:t>https://data.worldbank.org</w:t>
        </w:r>
      </w:hyperlink>
      <w:r w:rsidRPr="00AC7D38">
        <w:rPr>
          <w:rFonts w:ascii="Arial" w:hAnsi="Arial" w:cs="Arial"/>
          <w:sz w:val="22"/>
          <w:szCs w:val="22"/>
        </w:rPr>
        <w:t xml:space="preserve"> (Accessed: 13 March 2026). </w:t>
      </w:r>
    </w:p>
    <w:p w14:paraId="7524C175"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World Health Organization (2019) </w:t>
      </w:r>
      <w:r w:rsidRPr="00AC7D38">
        <w:rPr>
          <w:rFonts w:ascii="Arial" w:hAnsi="Arial" w:cs="Arial"/>
          <w:i/>
          <w:iCs/>
          <w:sz w:val="22"/>
          <w:szCs w:val="22"/>
        </w:rPr>
        <w:t>Primary health care on the road to universal health coverage: 2019 monitoring report</w:t>
      </w:r>
      <w:r w:rsidRPr="00AC7D38">
        <w:rPr>
          <w:rFonts w:ascii="Arial" w:hAnsi="Arial" w:cs="Arial"/>
          <w:sz w:val="22"/>
          <w:szCs w:val="22"/>
        </w:rPr>
        <w:t xml:space="preserve">. Geneva: WHO. Available at: </w:t>
      </w:r>
      <w:hyperlink r:id="rId24" w:tgtFrame="_new" w:history="1">
        <w:r w:rsidRPr="00AC7D38">
          <w:rPr>
            <w:rStyle w:val="Hyperlink"/>
            <w:rFonts w:ascii="Arial" w:hAnsi="Arial" w:cs="Arial"/>
            <w:sz w:val="22"/>
            <w:szCs w:val="22"/>
          </w:rPr>
          <w:t>Primary health care monitoring report</w:t>
        </w:r>
      </w:hyperlink>
      <w:r w:rsidRPr="00AC7D38">
        <w:rPr>
          <w:rFonts w:ascii="Arial" w:hAnsi="Arial" w:cs="Arial"/>
          <w:sz w:val="22"/>
          <w:szCs w:val="22"/>
        </w:rPr>
        <w:t xml:space="preserve"> (Accessed: 28 February 2026). </w:t>
      </w:r>
    </w:p>
    <w:p w14:paraId="1E1EA1F6" w14:textId="77777777" w:rsidR="00AC7D38" w:rsidRPr="000035BF" w:rsidRDefault="00AC7D38" w:rsidP="00AC7D38">
      <w:pPr>
        <w:rPr>
          <w:rFonts w:ascii="Arial" w:hAnsi="Arial" w:cs="Arial"/>
          <w:sz w:val="22"/>
          <w:szCs w:val="22"/>
        </w:rPr>
      </w:pPr>
      <w:r w:rsidRPr="000035BF">
        <w:rPr>
          <w:rFonts w:ascii="Arial" w:hAnsi="Arial" w:cs="Arial"/>
          <w:sz w:val="22"/>
          <w:szCs w:val="22"/>
        </w:rPr>
        <w:t xml:space="preserve">World Health Organization (2019) </w:t>
      </w:r>
      <w:r w:rsidRPr="000035BF">
        <w:rPr>
          <w:rFonts w:ascii="Arial" w:hAnsi="Arial" w:cs="Arial"/>
          <w:i/>
          <w:iCs/>
          <w:sz w:val="22"/>
          <w:szCs w:val="22"/>
        </w:rPr>
        <w:t>Primary health care: executive summary</w:t>
      </w:r>
      <w:r w:rsidRPr="000035BF">
        <w:rPr>
          <w:rFonts w:ascii="Arial" w:hAnsi="Arial" w:cs="Arial"/>
          <w:sz w:val="22"/>
          <w:szCs w:val="22"/>
        </w:rPr>
        <w:t xml:space="preserve">. Geneva: WHO. Available at: </w:t>
      </w:r>
      <w:hyperlink r:id="rId25" w:tgtFrame="_new" w:history="1">
        <w:r w:rsidRPr="000035BF">
          <w:rPr>
            <w:rStyle w:val="Hyperlink"/>
            <w:rFonts w:ascii="Arial" w:hAnsi="Arial" w:cs="Arial"/>
            <w:sz w:val="22"/>
            <w:szCs w:val="22"/>
          </w:rPr>
          <w:t>PHC executive summary</w:t>
        </w:r>
      </w:hyperlink>
      <w:r w:rsidRPr="000035BF">
        <w:rPr>
          <w:rFonts w:ascii="Arial" w:hAnsi="Arial" w:cs="Arial"/>
          <w:sz w:val="22"/>
          <w:szCs w:val="22"/>
        </w:rPr>
        <w:t xml:space="preserve"> (Accessed: 20 March 2026).</w:t>
      </w:r>
    </w:p>
    <w:p w14:paraId="183828F8"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World Health Organization (2020) </w:t>
      </w:r>
      <w:r w:rsidRPr="00AC7D38">
        <w:rPr>
          <w:rFonts w:ascii="Arial" w:hAnsi="Arial" w:cs="Arial"/>
          <w:i/>
          <w:iCs/>
          <w:sz w:val="22"/>
          <w:szCs w:val="22"/>
        </w:rPr>
        <w:t>Global monitoring report on financial protection in health 2019</w:t>
      </w:r>
      <w:r w:rsidRPr="00AC7D38">
        <w:rPr>
          <w:rFonts w:ascii="Arial" w:hAnsi="Arial" w:cs="Arial"/>
          <w:sz w:val="22"/>
          <w:szCs w:val="22"/>
        </w:rPr>
        <w:t xml:space="preserve">. Geneva: WHO. Available at: </w:t>
      </w:r>
      <w:hyperlink r:id="rId26" w:tgtFrame="_new" w:history="1">
        <w:r w:rsidRPr="00AC7D38">
          <w:rPr>
            <w:rStyle w:val="Hyperlink"/>
            <w:rFonts w:ascii="Arial" w:hAnsi="Arial" w:cs="Arial"/>
            <w:sz w:val="22"/>
            <w:szCs w:val="22"/>
          </w:rPr>
          <w:t>Financial protection in health report</w:t>
        </w:r>
      </w:hyperlink>
      <w:r w:rsidRPr="00AC7D38">
        <w:rPr>
          <w:rFonts w:ascii="Arial" w:hAnsi="Arial" w:cs="Arial"/>
          <w:sz w:val="22"/>
          <w:szCs w:val="22"/>
        </w:rPr>
        <w:t xml:space="preserve"> (Accessed: 1 March 2026). </w:t>
      </w:r>
    </w:p>
    <w:p w14:paraId="3D887A53" w14:textId="77777777" w:rsidR="00AC7D38" w:rsidRPr="00AC7D38" w:rsidRDefault="00AC7D38" w:rsidP="00AC7D38">
      <w:pPr>
        <w:rPr>
          <w:rFonts w:ascii="Arial" w:hAnsi="Arial" w:cs="Arial"/>
          <w:sz w:val="22"/>
          <w:szCs w:val="22"/>
        </w:rPr>
      </w:pPr>
      <w:r w:rsidRPr="00AC7D38">
        <w:rPr>
          <w:rFonts w:ascii="Arial" w:hAnsi="Arial" w:cs="Arial"/>
          <w:sz w:val="22"/>
          <w:szCs w:val="22"/>
        </w:rPr>
        <w:t xml:space="preserve">World Health Organization and UNICEF (2019) </w:t>
      </w:r>
      <w:r w:rsidRPr="00AC7D38">
        <w:rPr>
          <w:rFonts w:ascii="Arial" w:hAnsi="Arial" w:cs="Arial"/>
          <w:i/>
          <w:iCs/>
          <w:sz w:val="22"/>
          <w:szCs w:val="22"/>
        </w:rPr>
        <w:t>WASH in health care facilities: Global baseline report</w:t>
      </w:r>
      <w:r w:rsidRPr="00AC7D38">
        <w:rPr>
          <w:rFonts w:ascii="Arial" w:hAnsi="Arial" w:cs="Arial"/>
          <w:sz w:val="22"/>
          <w:szCs w:val="22"/>
        </w:rPr>
        <w:t xml:space="preserve">. Geneva: WHO. Available at: </w:t>
      </w:r>
      <w:hyperlink r:id="rId27" w:tgtFrame="_new" w:history="1">
        <w:r w:rsidRPr="00AC7D38">
          <w:rPr>
            <w:rStyle w:val="Hyperlink"/>
            <w:rFonts w:ascii="Arial" w:hAnsi="Arial" w:cs="Arial"/>
            <w:sz w:val="22"/>
            <w:szCs w:val="22"/>
          </w:rPr>
          <w:t>WASH global baseline report</w:t>
        </w:r>
      </w:hyperlink>
      <w:r w:rsidRPr="00AC7D38">
        <w:rPr>
          <w:rFonts w:ascii="Arial" w:hAnsi="Arial" w:cs="Arial"/>
          <w:sz w:val="22"/>
          <w:szCs w:val="22"/>
        </w:rPr>
        <w:t xml:space="preserve"> (Accessed: 2 March 2026). </w:t>
      </w:r>
    </w:p>
    <w:sectPr w:rsidR="00AC7D38" w:rsidRPr="00AC7D3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F2A6B" w14:textId="77777777" w:rsidR="008715EC" w:rsidRDefault="008715EC" w:rsidP="000035BF">
      <w:pPr>
        <w:spacing w:after="0" w:line="240" w:lineRule="auto"/>
      </w:pPr>
      <w:r>
        <w:separator/>
      </w:r>
    </w:p>
  </w:endnote>
  <w:endnote w:type="continuationSeparator" w:id="0">
    <w:p w14:paraId="69EE0CD3" w14:textId="77777777" w:rsidR="008715EC" w:rsidRDefault="008715EC" w:rsidP="000035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097732"/>
      <w:docPartObj>
        <w:docPartGallery w:val="Page Numbers (Bottom of Page)"/>
        <w:docPartUnique/>
      </w:docPartObj>
    </w:sdtPr>
    <w:sdtEndPr>
      <w:rPr>
        <w:noProof/>
      </w:rPr>
    </w:sdtEndPr>
    <w:sdtContent>
      <w:p w14:paraId="3C07202F" w14:textId="2937B9A8" w:rsidR="000035BF" w:rsidRDefault="000035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33E988" w14:textId="77777777" w:rsidR="000035BF" w:rsidRDefault="00003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8871D" w14:textId="77777777" w:rsidR="008715EC" w:rsidRDefault="008715EC" w:rsidP="000035BF">
      <w:pPr>
        <w:spacing w:after="0" w:line="240" w:lineRule="auto"/>
      </w:pPr>
      <w:r>
        <w:separator/>
      </w:r>
    </w:p>
  </w:footnote>
  <w:footnote w:type="continuationSeparator" w:id="0">
    <w:p w14:paraId="58C9E022" w14:textId="77777777" w:rsidR="008715EC" w:rsidRDefault="008715EC" w:rsidP="000035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1414A"/>
    <w:multiLevelType w:val="hybridMultilevel"/>
    <w:tmpl w:val="0128A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923F30"/>
    <w:multiLevelType w:val="hybridMultilevel"/>
    <w:tmpl w:val="6BAC2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C91207"/>
    <w:multiLevelType w:val="hybridMultilevel"/>
    <w:tmpl w:val="90C8D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B13CF4"/>
    <w:multiLevelType w:val="multilevel"/>
    <w:tmpl w:val="2F48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0194455">
    <w:abstractNumId w:val="0"/>
  </w:num>
  <w:num w:numId="2" w16cid:durableId="576090580">
    <w:abstractNumId w:val="1"/>
  </w:num>
  <w:num w:numId="3" w16cid:durableId="1373266743">
    <w:abstractNumId w:val="2"/>
  </w:num>
  <w:num w:numId="4" w16cid:durableId="15831061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D38"/>
    <w:rsid w:val="000035BF"/>
    <w:rsid w:val="00154DBF"/>
    <w:rsid w:val="005070FD"/>
    <w:rsid w:val="006D10D2"/>
    <w:rsid w:val="008715EC"/>
    <w:rsid w:val="00922DDE"/>
    <w:rsid w:val="00AC7D38"/>
    <w:rsid w:val="00B54B0D"/>
    <w:rsid w:val="00F83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B4692"/>
  <w15:chartTrackingRefBased/>
  <w15:docId w15:val="{99D5DA5A-B4A8-4EE8-9EAF-9B03EFE7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7D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7D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C7D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7D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7D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7D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7D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7D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7D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D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7D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C7D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7D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7D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7D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7D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7D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7D38"/>
    <w:rPr>
      <w:rFonts w:eastAsiaTheme="majorEastAsia" w:cstheme="majorBidi"/>
      <w:color w:val="272727" w:themeColor="text1" w:themeTint="D8"/>
    </w:rPr>
  </w:style>
  <w:style w:type="paragraph" w:styleId="Title">
    <w:name w:val="Title"/>
    <w:basedOn w:val="Normal"/>
    <w:next w:val="Normal"/>
    <w:link w:val="TitleChar"/>
    <w:uiPriority w:val="10"/>
    <w:qFormat/>
    <w:rsid w:val="00AC7D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7D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7D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7D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7D38"/>
    <w:pPr>
      <w:spacing w:before="160"/>
      <w:jc w:val="center"/>
    </w:pPr>
    <w:rPr>
      <w:i/>
      <w:iCs/>
      <w:color w:val="404040" w:themeColor="text1" w:themeTint="BF"/>
    </w:rPr>
  </w:style>
  <w:style w:type="character" w:customStyle="1" w:styleId="QuoteChar">
    <w:name w:val="Quote Char"/>
    <w:basedOn w:val="DefaultParagraphFont"/>
    <w:link w:val="Quote"/>
    <w:uiPriority w:val="29"/>
    <w:rsid w:val="00AC7D38"/>
    <w:rPr>
      <w:i/>
      <w:iCs/>
      <w:color w:val="404040" w:themeColor="text1" w:themeTint="BF"/>
    </w:rPr>
  </w:style>
  <w:style w:type="paragraph" w:styleId="ListParagraph">
    <w:name w:val="List Paragraph"/>
    <w:basedOn w:val="Normal"/>
    <w:uiPriority w:val="34"/>
    <w:qFormat/>
    <w:rsid w:val="00AC7D38"/>
    <w:pPr>
      <w:ind w:left="720"/>
      <w:contextualSpacing/>
    </w:pPr>
  </w:style>
  <w:style w:type="character" w:styleId="IntenseEmphasis">
    <w:name w:val="Intense Emphasis"/>
    <w:basedOn w:val="DefaultParagraphFont"/>
    <w:uiPriority w:val="21"/>
    <w:qFormat/>
    <w:rsid w:val="00AC7D38"/>
    <w:rPr>
      <w:i/>
      <w:iCs/>
      <w:color w:val="0F4761" w:themeColor="accent1" w:themeShade="BF"/>
    </w:rPr>
  </w:style>
  <w:style w:type="paragraph" w:styleId="IntenseQuote">
    <w:name w:val="Intense Quote"/>
    <w:basedOn w:val="Normal"/>
    <w:next w:val="Normal"/>
    <w:link w:val="IntenseQuoteChar"/>
    <w:uiPriority w:val="30"/>
    <w:qFormat/>
    <w:rsid w:val="00AC7D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7D38"/>
    <w:rPr>
      <w:i/>
      <w:iCs/>
      <w:color w:val="0F4761" w:themeColor="accent1" w:themeShade="BF"/>
    </w:rPr>
  </w:style>
  <w:style w:type="character" w:styleId="IntenseReference">
    <w:name w:val="Intense Reference"/>
    <w:basedOn w:val="DefaultParagraphFont"/>
    <w:uiPriority w:val="32"/>
    <w:qFormat/>
    <w:rsid w:val="00AC7D38"/>
    <w:rPr>
      <w:b/>
      <w:bCs/>
      <w:smallCaps/>
      <w:color w:val="0F4761" w:themeColor="accent1" w:themeShade="BF"/>
      <w:spacing w:val="5"/>
    </w:rPr>
  </w:style>
  <w:style w:type="character" w:styleId="Hyperlink">
    <w:name w:val="Hyperlink"/>
    <w:basedOn w:val="DefaultParagraphFont"/>
    <w:uiPriority w:val="99"/>
    <w:unhideWhenUsed/>
    <w:rsid w:val="00AC7D38"/>
    <w:rPr>
      <w:color w:val="467886" w:themeColor="hyperlink"/>
      <w:u w:val="single"/>
    </w:rPr>
  </w:style>
  <w:style w:type="character" w:styleId="UnresolvedMention">
    <w:name w:val="Unresolved Mention"/>
    <w:basedOn w:val="DefaultParagraphFont"/>
    <w:uiPriority w:val="99"/>
    <w:semiHidden/>
    <w:unhideWhenUsed/>
    <w:rsid w:val="00AC7D38"/>
    <w:rPr>
      <w:color w:val="605E5C"/>
      <w:shd w:val="clear" w:color="auto" w:fill="E1DFDD"/>
    </w:rPr>
  </w:style>
  <w:style w:type="paragraph" w:styleId="TOCHeading">
    <w:name w:val="TOC Heading"/>
    <w:basedOn w:val="Heading1"/>
    <w:next w:val="Normal"/>
    <w:uiPriority w:val="39"/>
    <w:unhideWhenUsed/>
    <w:qFormat/>
    <w:rsid w:val="000035B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035BF"/>
    <w:pPr>
      <w:spacing w:after="100"/>
    </w:pPr>
  </w:style>
  <w:style w:type="paragraph" w:styleId="TOC2">
    <w:name w:val="toc 2"/>
    <w:basedOn w:val="Normal"/>
    <w:next w:val="Normal"/>
    <w:autoRedefine/>
    <w:uiPriority w:val="39"/>
    <w:unhideWhenUsed/>
    <w:rsid w:val="000035BF"/>
    <w:pPr>
      <w:spacing w:after="100"/>
      <w:ind w:left="240"/>
    </w:pPr>
  </w:style>
  <w:style w:type="paragraph" w:styleId="TOC3">
    <w:name w:val="toc 3"/>
    <w:basedOn w:val="Normal"/>
    <w:next w:val="Normal"/>
    <w:autoRedefine/>
    <w:uiPriority w:val="39"/>
    <w:unhideWhenUsed/>
    <w:rsid w:val="000035BF"/>
    <w:pPr>
      <w:spacing w:after="100"/>
      <w:ind w:left="480"/>
    </w:pPr>
  </w:style>
  <w:style w:type="paragraph" w:styleId="Header">
    <w:name w:val="header"/>
    <w:basedOn w:val="Normal"/>
    <w:link w:val="HeaderChar"/>
    <w:uiPriority w:val="99"/>
    <w:unhideWhenUsed/>
    <w:rsid w:val="000035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5BF"/>
  </w:style>
  <w:style w:type="paragraph" w:styleId="Footer">
    <w:name w:val="footer"/>
    <w:basedOn w:val="Normal"/>
    <w:link w:val="FooterChar"/>
    <w:uiPriority w:val="99"/>
    <w:unhideWhenUsed/>
    <w:rsid w:val="000035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5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 TargetMode="External"/><Relationship Id="rId13" Type="http://schemas.openxmlformats.org/officeDocument/2006/relationships/hyperlink" Target="https://www.oecd.org/health" TargetMode="External"/><Relationship Id="rId18" Type="http://schemas.openxmlformats.org/officeDocument/2006/relationships/hyperlink" Target="https://sdgs.un.org/2030agenda" TargetMode="External"/><Relationship Id="rId26" Type="http://schemas.openxmlformats.org/officeDocument/2006/relationships/hyperlink" Target="https://www.who.int/publications-detail-redirect/global-monitoring-report-on-financial-protection-in-health-2019?utm_source=chatgpt.com" TargetMode="External"/><Relationship Id="rId3" Type="http://schemas.openxmlformats.org/officeDocument/2006/relationships/styles" Target="styles.xml"/><Relationship Id="rId21" Type="http://schemas.openxmlformats.org/officeDocument/2006/relationships/hyperlink" Target="https://www.wateraid.org" TargetMode="External"/><Relationship Id="rId7" Type="http://schemas.openxmlformats.org/officeDocument/2006/relationships/endnotes" Target="endnotes.xml"/><Relationship Id="rId12" Type="http://schemas.openxmlformats.org/officeDocument/2006/relationships/hyperlink" Target="https://www.longtermplan.nhs.uk" TargetMode="External"/><Relationship Id="rId17" Type="http://schemas.openxmlformats.org/officeDocument/2006/relationships/hyperlink" Target="https://www.unicef.org" TargetMode="External"/><Relationship Id="rId25" Type="http://schemas.openxmlformats.org/officeDocument/2006/relationships/hyperlink" Target="https://iris.who.int/handle/10665/328913?utm_source=chatgpt.com" TargetMode="External"/><Relationship Id="rId2" Type="http://schemas.openxmlformats.org/officeDocument/2006/relationships/numbering" Target="numbering.xml"/><Relationship Id="rId16" Type="http://schemas.openxmlformats.org/officeDocument/2006/relationships/hyperlink" Target="https://www.gov.uk" TargetMode="External"/><Relationship Id="rId20" Type="http://schemas.openxmlformats.org/officeDocument/2006/relationships/hyperlink" Target="https://www.unwater.org/publica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org.uk" TargetMode="External"/><Relationship Id="rId24" Type="http://schemas.openxmlformats.org/officeDocument/2006/relationships/hyperlink" Target="https://www.who.int/publications/i/item/9789240004276?utm_source=chatgpt.com" TargetMode="External"/><Relationship Id="rId5" Type="http://schemas.openxmlformats.org/officeDocument/2006/relationships/webSettings" Target="webSettings.xml"/><Relationship Id="rId15" Type="http://schemas.openxmlformats.org/officeDocument/2006/relationships/hyperlink" Target="https://www.ofwat.gov.uk" TargetMode="External"/><Relationship Id="rId23" Type="http://schemas.openxmlformats.org/officeDocument/2006/relationships/hyperlink" Target="https://data.worldbank.org" TargetMode="External"/><Relationship Id="rId28" Type="http://schemas.openxmlformats.org/officeDocument/2006/relationships/footer" Target="footer1.xml"/><Relationship Id="rId10" Type="http://schemas.openxmlformats.org/officeDocument/2006/relationships/hyperlink" Target="https://www.gov.uk/government" TargetMode="External"/><Relationship Id="rId19" Type="http://schemas.openxmlformats.org/officeDocument/2006/relationships/hyperlink" Target="https://www.undp.org/publications" TargetMode="External"/><Relationship Id="rId4" Type="http://schemas.openxmlformats.org/officeDocument/2006/relationships/settings" Target="settings.xml"/><Relationship Id="rId9" Type="http://schemas.openxmlformats.org/officeDocument/2006/relationships/hyperlink" Target="https://www.gov.uk" TargetMode="External"/><Relationship Id="rId14" Type="http://schemas.openxmlformats.org/officeDocument/2006/relationships/hyperlink" Target="https://www.ons.gov.uk" TargetMode="External"/><Relationship Id="rId22" Type="http://schemas.openxmlformats.org/officeDocument/2006/relationships/hyperlink" Target="https://iris.who.int/handle/10665/359214?utm_source=chatgpt.com" TargetMode="External"/><Relationship Id="rId27" Type="http://schemas.openxmlformats.org/officeDocument/2006/relationships/hyperlink" Target="https://www.who.int/publications/i/item/9789241515504?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4D9FC-7799-4DBD-B769-6A5067093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3151</Words>
  <Characters>21144</Characters>
  <Application>Microsoft Office Word</Application>
  <DocSecurity>0</DocSecurity>
  <Lines>370</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(Y12) Zain Adam</dc:creator>
  <cp:keywords/>
  <dc:description/>
  <cp:lastModifiedBy>(Y12) Zain Adam</cp:lastModifiedBy>
  <cp:revision>1</cp:revision>
  <dcterms:created xsi:type="dcterms:W3CDTF">2026-03-21T21:56:00Z</dcterms:created>
  <dcterms:modified xsi:type="dcterms:W3CDTF">2026-03-21T22:42:00Z</dcterms:modified>
</cp:coreProperties>
</file>