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EB2E5B" w14:textId="4F04C601" w:rsidR="00486698" w:rsidRPr="00486698" w:rsidRDefault="00486698" w:rsidP="00EA3B36">
      <w:pPr>
        <w:jc w:val="center"/>
      </w:pPr>
      <w:r>
        <w:rPr>
          <w:u w:val="single"/>
        </w:rPr>
        <w:t>Student Number:</w:t>
      </w:r>
      <w:r>
        <w:t xml:space="preserve"> 2306950</w:t>
      </w:r>
      <w:r>
        <w:tab/>
      </w:r>
      <w:r>
        <w:rPr>
          <w:u w:val="single"/>
        </w:rPr>
        <w:t>Module Code:</w:t>
      </w:r>
      <w:r>
        <w:tab/>
      </w:r>
      <w:r w:rsidRPr="00486698">
        <w:t>ECAD6007</w:t>
      </w:r>
      <w:r>
        <w:tab/>
      </w:r>
      <w:r>
        <w:rPr>
          <w:u w:val="single"/>
        </w:rPr>
        <w:t>Word Count:</w:t>
      </w:r>
      <w:r>
        <w:t xml:space="preserve"> 3,9</w:t>
      </w:r>
      <w:r w:rsidR="00357343">
        <w:t>57</w:t>
      </w:r>
    </w:p>
    <w:p w14:paraId="62A03815" w14:textId="77777777" w:rsidR="00486698" w:rsidRDefault="00486698" w:rsidP="00EA3B36">
      <w:pPr>
        <w:jc w:val="center"/>
        <w:rPr>
          <w:u w:val="single"/>
        </w:rPr>
      </w:pPr>
    </w:p>
    <w:p w14:paraId="2373DB54" w14:textId="115E1D8C" w:rsidR="00E81B97" w:rsidRDefault="00E81B97" w:rsidP="00EA3B36">
      <w:pPr>
        <w:jc w:val="center"/>
        <w:rPr>
          <w:u w:val="single"/>
        </w:rPr>
      </w:pPr>
      <w:r>
        <w:rPr>
          <w:u w:val="single"/>
        </w:rPr>
        <w:t>Critical Incident: Principles of Student Engagement through different pedagogical teaching methods</w:t>
      </w:r>
    </w:p>
    <w:p w14:paraId="67F895B3" w14:textId="337FE118" w:rsidR="00EA3B36" w:rsidRDefault="00EA3B36" w:rsidP="00EA3B36">
      <w:pPr>
        <w:jc w:val="center"/>
        <w:rPr>
          <w:u w:val="single"/>
        </w:rPr>
      </w:pPr>
    </w:p>
    <w:p w14:paraId="37B6DC17" w14:textId="77777777" w:rsidR="00A130EE" w:rsidRPr="00974534" w:rsidRDefault="00A130EE" w:rsidP="00A130EE"/>
    <w:p w14:paraId="6D9534EC" w14:textId="2431DA1D" w:rsidR="00E11BB7" w:rsidRDefault="00EA3B36" w:rsidP="00EA3B36">
      <w:r>
        <w:t xml:space="preserve">Classroom engagement is fundamental to fostering a successful cohort of learners. Yet, Pell’s study on students’ sentiments towards school-based learning indicates that teachers are facing an increasing uphill battle in getting and maintaining student engagement (Pell 2009). While Pell’s study emphasises a persistent level of interest in academic success, this is not mirrored in </w:t>
      </w:r>
      <w:r w:rsidR="00E11BB7">
        <w:t>learners’</w:t>
      </w:r>
      <w:r>
        <w:t xml:space="preserve"> sentiments towards school representing a chasm between the school experience and the aspirations of its learners. </w:t>
      </w:r>
      <w:r w:rsidR="001B36B1">
        <w:t xml:space="preserve">There are two potential reasons behind this disunion. First, the school curriculum’s struggles to represent and develop the skills needed for a world which is undergoing rapid and continuous change. Second, that </w:t>
      </w:r>
      <w:r w:rsidR="00BB08DE">
        <w:t xml:space="preserve">schools are not teaching </w:t>
      </w:r>
      <w:r w:rsidR="001B36B1">
        <w:t>in a way which compels learners engage with the</w:t>
      </w:r>
      <w:r w:rsidR="00BB08DE">
        <w:t xml:space="preserve"> curriculum</w:t>
      </w:r>
      <w:r w:rsidR="001B36B1">
        <w:t>. This essay is going to focus on the latter of these apparent issues</w:t>
      </w:r>
      <w:r w:rsidR="00AD0BEF">
        <w:t xml:space="preserve"> </w:t>
      </w:r>
      <w:r w:rsidR="001B36B1">
        <w:t xml:space="preserve">with modern education by applying the principles </w:t>
      </w:r>
      <w:r w:rsidR="00E11BB7">
        <w:t>of Traditional Teaching, Co-learning, and Positive Teaching to a classroom critical incident</w:t>
      </w:r>
      <w:r w:rsidR="00981997">
        <w:t>.</w:t>
      </w:r>
      <w:r w:rsidR="00E11BB7">
        <w:t xml:space="preserve"> In </w:t>
      </w:r>
      <w:r w:rsidR="00BB08DE">
        <w:t>the critical i</w:t>
      </w:r>
      <w:r w:rsidR="00E11BB7">
        <w:t>ncident</w:t>
      </w:r>
      <w:r w:rsidR="00BB08DE">
        <w:t xml:space="preserve"> observed </w:t>
      </w:r>
      <w:r w:rsidR="00E11BB7">
        <w:t xml:space="preserve">student A was </w:t>
      </w:r>
      <w:r w:rsidR="007B1269">
        <w:t>seen to be</w:t>
      </w:r>
      <w:r w:rsidR="00E11BB7">
        <w:t xml:space="preserve"> off-task and distracting students B and</w:t>
      </w:r>
      <w:r w:rsidR="007B1269">
        <w:t xml:space="preserve"> C</w:t>
      </w:r>
      <w:r w:rsidR="00E11BB7">
        <w:t xml:space="preserve">. However, this represents a microcosm of the classroom </w:t>
      </w:r>
      <w:r w:rsidR="00AD0BEF">
        <w:t>as</w:t>
      </w:r>
      <w:r w:rsidR="00E11BB7">
        <w:t xml:space="preserve"> numerous off-task conversations were observed with the class as a whole showing limited efficiency in completing the task that had been set. The incident was observed in a Year 8 maths classroom with small numbers of students. This critical incident represents a great opportunity to apply the aforementioned principles to evaluate and critique the extent to which they present an answer to this issue.</w:t>
      </w:r>
    </w:p>
    <w:p w14:paraId="18037F5F" w14:textId="24D1F435" w:rsidR="00AD0BEF" w:rsidRDefault="00AD0BEF" w:rsidP="00EA3B36"/>
    <w:p w14:paraId="1BB40505" w14:textId="278943EF" w:rsidR="00F72737" w:rsidRDefault="00AD0BEF" w:rsidP="00AD0BEF">
      <w:r>
        <w:t xml:space="preserve">There were several directions in which to take a study on engagement as there are numerous personal components that can affect learners’ level of attentiveness in a </w:t>
      </w:r>
      <w:r w:rsidR="008712EA">
        <w:t>classroom. However, the behaviour of the classroom as a whole meant that</w:t>
      </w:r>
      <w:r w:rsidR="00981997">
        <w:t xml:space="preserve"> it </w:t>
      </w:r>
      <w:r w:rsidR="008712EA">
        <w:t>was more pertinent</w:t>
      </w:r>
      <w:r w:rsidR="00981997">
        <w:t xml:space="preserve"> to focus on pedagogical theories that focused on developing collective classroom engagement</w:t>
      </w:r>
      <w:r w:rsidR="008712EA">
        <w:t xml:space="preserve">. Furthermore, Buck’s </w:t>
      </w:r>
      <w:r w:rsidR="00BB08DE">
        <w:t xml:space="preserve">(1992) </w:t>
      </w:r>
      <w:r w:rsidR="008712EA">
        <w:t>study on classroom management presents numerous reasons for class behaviour many of which, including boredom, attention-seeking and avoiding the risk of failure, are all pertinent in the schools of pedagogy that this essay focuses on.</w:t>
      </w:r>
      <w:r w:rsidR="00981997">
        <w:t xml:space="preserve"> </w:t>
      </w:r>
    </w:p>
    <w:p w14:paraId="550F5523" w14:textId="77777777" w:rsidR="00F72737" w:rsidRDefault="00F72737" w:rsidP="00AD0BEF"/>
    <w:p w14:paraId="25D610D9" w14:textId="77777777" w:rsidR="00F72737" w:rsidRDefault="00981997" w:rsidP="00AD0BEF">
      <w:r>
        <w:t>Of these Traditional Teaching, which</w:t>
      </w:r>
      <w:r w:rsidR="008712EA">
        <w:t xml:space="preserve"> </w:t>
      </w:r>
      <w:r>
        <w:t>i</w:t>
      </w:r>
      <w:r w:rsidR="008712EA">
        <w:t>n the interest of clarity, refers both to traditional discipline methods and direct teaching styles</w:t>
      </w:r>
      <w:r>
        <w:t>, is the oldest principle</w:t>
      </w:r>
      <w:r w:rsidR="008712EA">
        <w:t xml:space="preserve">. </w:t>
      </w:r>
      <w:r>
        <w:t xml:space="preserve">Traditional Teaching in this essay includes </w:t>
      </w:r>
      <w:r w:rsidR="00F72737">
        <w:t xml:space="preserve">Pavlov’s </w:t>
      </w:r>
      <w:r w:rsidR="008712EA">
        <w:t xml:space="preserve">classical conditioning methods </w:t>
      </w:r>
      <w:r w:rsidR="00547457">
        <w:t>to</w:t>
      </w:r>
      <w:r w:rsidR="008712EA">
        <w:t xml:space="preserve"> motivat</w:t>
      </w:r>
      <w:r w:rsidR="00547457">
        <w:t>e</w:t>
      </w:r>
      <w:r w:rsidR="008712EA">
        <w:t xml:space="preserve"> students to engage, and continue engaging, with the subject matter</w:t>
      </w:r>
      <w:r w:rsidR="00F72737">
        <w:t xml:space="preserve"> (</w:t>
      </w:r>
      <w:proofErr w:type="spellStart"/>
      <w:r w:rsidR="00F72737">
        <w:t>Razran</w:t>
      </w:r>
      <w:proofErr w:type="spellEnd"/>
      <w:r w:rsidR="00F72737">
        <w:t xml:space="preserve"> 1955)</w:t>
      </w:r>
      <w:r w:rsidR="008712EA">
        <w:t>. While direct teaching</w:t>
      </w:r>
      <w:r w:rsidR="00547457">
        <w:t>, another facet of this definition of Traditional Teaching,</w:t>
      </w:r>
      <w:r w:rsidR="008712EA">
        <w:t xml:space="preserve"> aims to encourage focus on the educator to the consequence of distractions and misbehaviour. However, as will be discussed later, this method may have consequences on students’ development. </w:t>
      </w:r>
    </w:p>
    <w:p w14:paraId="6081C751" w14:textId="77777777" w:rsidR="00F72737" w:rsidRDefault="00F72737" w:rsidP="00AD0BEF"/>
    <w:p w14:paraId="7DA2DE8D" w14:textId="34D59A4C" w:rsidR="00AD0BEF" w:rsidRDefault="00F72737" w:rsidP="00AD0BEF">
      <w:r>
        <w:t>P</w:t>
      </w:r>
      <w:r w:rsidR="008712EA">
        <w:t xml:space="preserve">ositive teaching is defined in this essay as techniques directed towards reducing anxieties that would discourage learning </w:t>
      </w:r>
      <w:r w:rsidR="00981997">
        <w:t xml:space="preserve">by creating a positive learning environment </w:t>
      </w:r>
      <w:r w:rsidR="008712EA">
        <w:t>under the primary principles of Piaget</w:t>
      </w:r>
      <w:r>
        <w:t xml:space="preserve"> (Webb 1980)</w:t>
      </w:r>
      <w:r w:rsidR="008712EA">
        <w:t>.</w:t>
      </w:r>
      <w:r w:rsidR="00547457">
        <w:t xml:space="preserve"> This includes the principles of operant conditioning, particularly positive reward for active engagement. </w:t>
      </w:r>
      <w:r w:rsidR="00981997">
        <w:t xml:space="preserve">Finally, co-learning develops from Vygotsky’s school of thought, encouraging a collaborative learning </w:t>
      </w:r>
      <w:r w:rsidR="00981997">
        <w:lastRenderedPageBreak/>
        <w:t>environment where teacher-peer and peer-peer relationships are vital in a learner’s academic development</w:t>
      </w:r>
      <w:r w:rsidR="0078356A">
        <w:t xml:space="preserve"> (</w:t>
      </w:r>
      <w:r w:rsidR="0078356A" w:rsidRPr="004B4E88">
        <w:t>Huang</w:t>
      </w:r>
      <w:r w:rsidR="0078356A">
        <w:t xml:space="preserve"> 2021)</w:t>
      </w:r>
      <w:r w:rsidR="00981997">
        <w:t xml:space="preserve">. </w:t>
      </w:r>
      <w:r w:rsidR="00547457">
        <w:t>In this environment, collective and individual responsibility for group outcomes works as a</w:t>
      </w:r>
      <w:r w:rsidR="0078356A">
        <w:t xml:space="preserve"> self-determined</w:t>
      </w:r>
      <w:r w:rsidRPr="00F72737">
        <w:rPr>
          <w:color w:val="FF0000"/>
        </w:rPr>
        <w:t xml:space="preserve"> </w:t>
      </w:r>
      <w:r w:rsidR="00547457">
        <w:t xml:space="preserve">motivator </w:t>
      </w:r>
      <w:r>
        <w:t>limiting the need for external influence on the functions of student motivation.</w:t>
      </w:r>
      <w:r w:rsidR="00547457">
        <w:t xml:space="preserve"> </w:t>
      </w:r>
      <w:r w:rsidR="00981997">
        <w:t>Focusing on these three schools of thought helps to narrow down an otherwise very extensive body of research. However, it is important to emphasise that this essay is not a comprehensive analysis of all methods of increasing engagement and further research into other methods should be made before electing to deploy these methods in the classroom.</w:t>
      </w:r>
    </w:p>
    <w:p w14:paraId="0E9A3B2F" w14:textId="77777777" w:rsidR="00981997" w:rsidRDefault="00981997" w:rsidP="00AD0BEF"/>
    <w:p w14:paraId="14872AF6" w14:textId="5259CB69" w:rsidR="00AD0BEF" w:rsidRDefault="005F2849" w:rsidP="00EA3B36">
      <w:r>
        <w:t>The traditional method of teaching has been largely discredited in recent pedagogy with numerous studies highlighting that it is not as influential as other methods of teaching. However, Buck</w:t>
      </w:r>
      <w:r w:rsidR="00A05252">
        <w:t xml:space="preserve"> (1993)</w:t>
      </w:r>
      <w:r w:rsidR="0058615A">
        <w:t xml:space="preserve"> emphasises the need for teachers to control the learning space with clearly defined rules and consequences which supports the traditional ideas of </w:t>
      </w:r>
      <w:r w:rsidR="003D1270">
        <w:t>Pavlov</w:t>
      </w:r>
      <w:r w:rsidR="0058615A">
        <w:t xml:space="preserve"> and</w:t>
      </w:r>
      <w:r w:rsidR="003D1270">
        <w:t xml:space="preserve"> classical </w:t>
      </w:r>
      <w:r w:rsidR="0058615A">
        <w:t>conditioning as a method of maintaining attentiveness (</w:t>
      </w:r>
      <w:proofErr w:type="spellStart"/>
      <w:r w:rsidR="0058615A" w:rsidRPr="004F2E8E">
        <w:t>Razran</w:t>
      </w:r>
      <w:proofErr w:type="spellEnd"/>
      <w:r w:rsidR="0058615A">
        <w:t xml:space="preserve"> 1955).</w:t>
      </w:r>
      <w:r w:rsidR="003C4A5A">
        <w:t xml:space="preserve"> The extent to these methodologies and their apparent effectiveness are discussed in detail in </w:t>
      </w:r>
      <w:proofErr w:type="spellStart"/>
      <w:r w:rsidR="003C4A5A">
        <w:t>Domjan’s</w:t>
      </w:r>
      <w:proofErr w:type="spellEnd"/>
      <w:r w:rsidR="003C4A5A">
        <w:t xml:space="preserve"> (2023) book on conditioning and learning.</w:t>
      </w:r>
      <w:r w:rsidR="0058615A">
        <w:t xml:space="preserve"> Equally, Wragg</w:t>
      </w:r>
      <w:r w:rsidR="00A05252">
        <w:t xml:space="preserve"> (2001)</w:t>
      </w:r>
      <w:r w:rsidR="0058615A">
        <w:t xml:space="preserve">, who straddles traditional and </w:t>
      </w:r>
      <w:r w:rsidR="007B1269">
        <w:t xml:space="preserve">co-learning </w:t>
      </w:r>
      <w:r w:rsidR="0058615A">
        <w:t>methodologies, supports this view emphasising the need for clear definitive rules in one of the ‘Two R’s’ in ‘Unit 4’</w:t>
      </w:r>
      <w:r w:rsidR="00A05252">
        <w:t xml:space="preserve"> implying the importance of negative reinforcement to push young people towards better behaviour</w:t>
      </w:r>
      <w:r w:rsidR="0058615A">
        <w:t xml:space="preserve">. </w:t>
      </w:r>
      <w:r w:rsidR="003C4A5A">
        <w:t xml:space="preserve">Yet, as long ago as 1973, academics have questioned the success of punishment, with </w:t>
      </w:r>
      <w:proofErr w:type="spellStart"/>
      <w:r w:rsidR="003C4A5A">
        <w:t>Rotberg</w:t>
      </w:r>
      <w:proofErr w:type="spellEnd"/>
      <w:r w:rsidR="003D1270">
        <w:t xml:space="preserve"> (1973)</w:t>
      </w:r>
      <w:r w:rsidR="003C4A5A">
        <w:t xml:space="preserve"> highlighting that it was an ineffective method 75% of the time. Yet, if presented with extreme behavioural cases, this method </w:t>
      </w:r>
      <w:r w:rsidR="007B1269">
        <w:t>must</w:t>
      </w:r>
      <w:r w:rsidR="003C4A5A">
        <w:t xml:space="preserve"> be deployed at least as a </w:t>
      </w:r>
      <w:r w:rsidR="007B1269">
        <w:t>deterrent</w:t>
      </w:r>
      <w:r w:rsidR="003C4A5A">
        <w:t xml:space="preserve"> for misbehaviour from other students.</w:t>
      </w:r>
      <w:r w:rsidR="003D1270">
        <w:t xml:space="preserve"> While punishment may have a limited effect, classical conditioning remains a highly effective tool in the classroom (</w:t>
      </w:r>
      <w:proofErr w:type="spellStart"/>
      <w:r w:rsidR="003D1270">
        <w:t>Rotberg</w:t>
      </w:r>
      <w:proofErr w:type="spellEnd"/>
      <w:r w:rsidR="003D1270">
        <w:t xml:space="preserve"> 1973</w:t>
      </w:r>
      <w:r w:rsidR="007B1269">
        <w:t xml:space="preserve"> and </w:t>
      </w:r>
      <w:proofErr w:type="spellStart"/>
      <w:r w:rsidR="007B1269">
        <w:t>Razran</w:t>
      </w:r>
      <w:proofErr w:type="spellEnd"/>
      <w:r w:rsidR="007B1269">
        <w:t xml:space="preserve"> 1955</w:t>
      </w:r>
      <w:r w:rsidR="003D1270">
        <w:t>). It is deployed by many teachers that otherwise disagree with the principles of traditional teaching. Classical conditioning efforts are often utilised to focus the attention on the educator which coincides with the teacher-centred focus of traditional teaching methods.</w:t>
      </w:r>
      <w:r w:rsidR="00E95A08">
        <w:t xml:space="preserve"> This in turn rejects co-operation and encourages independent development away from social groupings. </w:t>
      </w:r>
      <w:r w:rsidR="00672F37">
        <w:t xml:space="preserve">So, if traditional teaching methods remain pertinent in the modern classroom, then the question </w:t>
      </w:r>
      <w:r w:rsidR="00EF3901">
        <w:t>remains</w:t>
      </w:r>
      <w:r w:rsidR="00672F37">
        <w:t xml:space="preserve">, is it an effective method? Or is its continued pervasive influence having a negative effect on </w:t>
      </w:r>
      <w:r w:rsidR="00EF3901">
        <w:t>learners’</w:t>
      </w:r>
      <w:r w:rsidR="00672F37">
        <w:t xml:space="preserve"> development as many critics argue. Way’s </w:t>
      </w:r>
      <w:r w:rsidR="00BB08DE">
        <w:t xml:space="preserve">analysis of a </w:t>
      </w:r>
      <w:r w:rsidR="00672F37">
        <w:t xml:space="preserve">1988 study appeared to put to bed the ideas of traditional teaching as an effective method of controlling misbehaviour and encouraging engagement as normative methods of behaviour control displayed the best effect as a deterrent in a National Longitudinal survey (Way 2011). Equally, Gregory and Fergus </w:t>
      </w:r>
      <w:r w:rsidR="00BB08DE">
        <w:t xml:space="preserve">(2017) </w:t>
      </w:r>
      <w:r w:rsidR="00672F37">
        <w:t>highlight that the traditional behavioural norms are inherently racially coded causing learners from BAME communities to be unfairly discriminated against during these traditional disciplinary methods</w:t>
      </w:r>
      <w:r w:rsidR="00BB08DE">
        <w:t xml:space="preserve">. </w:t>
      </w:r>
      <w:r w:rsidR="00E50708">
        <w:t xml:space="preserve">Furthermore, </w:t>
      </w:r>
      <w:proofErr w:type="spellStart"/>
      <w:r w:rsidR="00E50708">
        <w:t>Blad’s</w:t>
      </w:r>
      <w:proofErr w:type="spellEnd"/>
      <w:r w:rsidR="00BB08DE">
        <w:t xml:space="preserve"> (2019)</w:t>
      </w:r>
      <w:r w:rsidR="00E50708">
        <w:t xml:space="preserve"> </w:t>
      </w:r>
      <w:r w:rsidR="00BB08DE">
        <w:t>report on</w:t>
      </w:r>
      <w:r w:rsidR="00E50708">
        <w:t xml:space="preserve"> American parents highlighted a clear preference for positive teaching over traditional methods showing that parents see traditional methods as archaic and ineffective. </w:t>
      </w:r>
      <w:r w:rsidR="00672F37">
        <w:t xml:space="preserve">Yet, Baumann’s 1984 study indicated that direct teaching, supported by traditional discipline methods, resulted in better retention of written information. More recently, </w:t>
      </w:r>
      <w:proofErr w:type="spellStart"/>
      <w:r w:rsidR="00672F37">
        <w:t>Omelicheva</w:t>
      </w:r>
      <w:proofErr w:type="spellEnd"/>
      <w:r w:rsidR="00672F37">
        <w:t xml:space="preserve"> and </w:t>
      </w:r>
      <w:proofErr w:type="spellStart"/>
      <w:r w:rsidR="00672F37">
        <w:t>Avdeyeva’s</w:t>
      </w:r>
      <w:proofErr w:type="spellEnd"/>
      <w:r w:rsidR="00672F37">
        <w:t xml:space="preserve"> 2008 study was able to repeat these results with </w:t>
      </w:r>
      <w:r w:rsidR="00EF3901">
        <w:t xml:space="preserve">higher education students as lectures was shown to be a better method of retaining simple information, and, simultaneously, triggering greater interest in the student, which with Pell’s study in mind could be vital for the prospects of the future generation (Pell 2009). </w:t>
      </w:r>
      <w:proofErr w:type="spellStart"/>
      <w:r w:rsidR="00EF3901">
        <w:t>Omelicheva</w:t>
      </w:r>
      <w:proofErr w:type="spellEnd"/>
      <w:r w:rsidR="00EF3901">
        <w:t xml:space="preserve"> and </w:t>
      </w:r>
      <w:proofErr w:type="spellStart"/>
      <w:r w:rsidR="00EF3901">
        <w:t>Avdeyeva</w:t>
      </w:r>
      <w:proofErr w:type="spellEnd"/>
      <w:r w:rsidR="00EF3901">
        <w:t xml:space="preserve"> did concede that there was a clear preference towards co-learning methods for more complex information but even with these limitations, the study has seemingly carved </w:t>
      </w:r>
      <w:r w:rsidR="00EF3901">
        <w:lastRenderedPageBreak/>
        <w:t xml:space="preserve">a future for traditional teaching methods to have a place in the classroom. </w:t>
      </w:r>
      <w:proofErr w:type="spellStart"/>
      <w:r w:rsidR="00A05252">
        <w:t>Schwerdt</w:t>
      </w:r>
      <w:proofErr w:type="spellEnd"/>
      <w:r w:rsidR="00A05252">
        <w:t xml:space="preserve"> (2009) adds further evidence to the success of traditional teaching claiming that </w:t>
      </w:r>
      <w:r w:rsidR="0001444E">
        <w:t xml:space="preserve">it can outperform its more contemporary theories in terms of academic results. </w:t>
      </w:r>
      <w:r w:rsidR="00EF3901">
        <w:t>While it’s important not to assume that correlation equals causation these studies indicate that, if utilised wisely alongside other methods, traditional teaching can help maintain classroom engagement.</w:t>
      </w:r>
    </w:p>
    <w:p w14:paraId="7E120839" w14:textId="77777777" w:rsidR="00981997" w:rsidRDefault="00981997" w:rsidP="00EA3B36"/>
    <w:p w14:paraId="3B2615C2" w14:textId="63823004" w:rsidR="00EF3901" w:rsidRDefault="00E50708" w:rsidP="00EA3B36">
      <w:proofErr w:type="spellStart"/>
      <w:r>
        <w:t>Wheldall</w:t>
      </w:r>
      <w:proofErr w:type="spellEnd"/>
      <w:r>
        <w:t xml:space="preserve"> and Merrett</w:t>
      </w:r>
      <w:r w:rsidR="0001444E">
        <w:t xml:space="preserve"> (1989)</w:t>
      </w:r>
      <w:r>
        <w:t xml:space="preserve"> represent the very basic fundamentals of positive teaching</w:t>
      </w:r>
      <w:r w:rsidR="0001444E">
        <w:t xml:space="preserve"> in their book</w:t>
      </w:r>
      <w:r w:rsidR="007B1269">
        <w:t xml:space="preserve"> as</w:t>
      </w:r>
      <w:r>
        <w:t xml:space="preserve"> </w:t>
      </w:r>
      <w:r w:rsidR="00435F1C">
        <w:t xml:space="preserve">rewarding and emphasising positive behaviour. </w:t>
      </w:r>
      <w:r w:rsidR="0001444E">
        <w:t>This means utilising positive rewards to motivate students to engage with the subject matter. This is essentially using B. F. Skinner’s ideas of operant conditioning to get encourage students towards positive behaviour types (</w:t>
      </w:r>
      <w:proofErr w:type="spellStart"/>
      <w:r w:rsidR="0001444E" w:rsidRPr="004F2E8E">
        <w:t>Razran</w:t>
      </w:r>
      <w:proofErr w:type="spellEnd"/>
      <w:r w:rsidR="0001444E">
        <w:t xml:space="preserve"> </w:t>
      </w:r>
      <w:r w:rsidR="0001444E">
        <w:t>1955). Which would ultimately result in the students learning positive behaviours due to their interaction with their environment and the positive reward (</w:t>
      </w:r>
      <w:proofErr w:type="spellStart"/>
      <w:r w:rsidR="0001444E">
        <w:t>Wheldall</w:t>
      </w:r>
      <w:proofErr w:type="spellEnd"/>
      <w:r w:rsidR="0001444E">
        <w:t xml:space="preserve"> and Merrett 1989). </w:t>
      </w:r>
      <w:r w:rsidR="00435F1C">
        <w:t xml:space="preserve">Yet, positive teaching goes further than this. Buck summarises the principle as creating </w:t>
      </w:r>
      <w:r w:rsidR="0001444E">
        <w:t xml:space="preserve">learning opportunities </w:t>
      </w:r>
      <w:r w:rsidR="00435F1C">
        <w:t>rather than</w:t>
      </w:r>
      <w:r w:rsidR="0001444E">
        <w:t xml:space="preserve"> </w:t>
      </w:r>
      <w:r w:rsidR="00435F1C">
        <w:t xml:space="preserve">punishment (Buck 1992). </w:t>
      </w:r>
      <w:r w:rsidR="0001444E">
        <w:t xml:space="preserve">This puts this theory in direct conflict with the traditional teaching methods, as direct opposites. </w:t>
      </w:r>
      <w:r w:rsidR="00435F1C">
        <w:t>To do this, Buck outlines the environment of the classroom and the obligation of the teacher to mould it to best encourage learning. A faucet that is also considered important by Wai-shing (2008)</w:t>
      </w:r>
      <w:r w:rsidR="002C3AC1">
        <w:t xml:space="preserve">. While in positive teaching, this space is also shaped to encourage student engagement with questions and some level of dialogue with the teacher. </w:t>
      </w:r>
      <w:r w:rsidR="003E2D4A">
        <w:t>The whole intention of this theory</w:t>
      </w:r>
      <w:r w:rsidR="002C3AC1">
        <w:t xml:space="preserve"> is to create a positive learning-focused environment in the classroom. Which, Galton </w:t>
      </w:r>
      <w:r w:rsidR="0001444E">
        <w:t xml:space="preserve">(2009) </w:t>
      </w:r>
      <w:r w:rsidR="002C3AC1">
        <w:t xml:space="preserve">notes, is particularly effective in easing students through vertical transitions. The vertical transitions </w:t>
      </w:r>
      <w:r w:rsidR="00BB08DE">
        <w:t>refer</w:t>
      </w:r>
      <w:r w:rsidR="002C3AC1">
        <w:t xml:space="preserve"> to big transitions between schools and key stages which in modern pedagogy are represented as processes, an ideal emphasised by Galton (2009). Positive teaching’s </w:t>
      </w:r>
      <w:r w:rsidR="00357343">
        <w:t>effect</w:t>
      </w:r>
      <w:r w:rsidR="002C3AC1">
        <w:t xml:space="preserve"> on vertical transition phases highlights its potential as an influential methodology in classrooms, particularly in setting </w:t>
      </w:r>
      <w:r w:rsidR="00B0794E">
        <w:t xml:space="preserve">classroom expectations. While, simultaneously showing its continued importance as setting out classroom standards is only effective if they are maintained by the teacher too. </w:t>
      </w:r>
      <w:r w:rsidR="002C3AC1">
        <w:t xml:space="preserve">However, positive teaching shares some similarities on traditional teaching methods in that it treats students as ‘lone scientists’ as outlined by </w:t>
      </w:r>
      <w:r w:rsidR="00B0794E">
        <w:t>Piaget (</w:t>
      </w:r>
      <w:r w:rsidR="00B0794E" w:rsidRPr="000F41AB">
        <w:t>Huang</w:t>
      </w:r>
      <w:r w:rsidR="00B0794E">
        <w:t xml:space="preserve"> 2021). Webb’s </w:t>
      </w:r>
      <w:r w:rsidR="00F32BC6">
        <w:t xml:space="preserve">(1980) </w:t>
      </w:r>
      <w:r w:rsidR="00B0794E">
        <w:t xml:space="preserve">paper highlights how Piaget’s theories on </w:t>
      </w:r>
      <w:r w:rsidR="00547457">
        <w:t xml:space="preserve">young person </w:t>
      </w:r>
      <w:r w:rsidR="00B0794E">
        <w:t>development have had on modern education with a largely positive influence on the process of learning. Through Piaget, positive teaching has recognised that emotional learning is pivotal to student success and has attempted to alleviate negative emotions in relation to these ideals. While promoting positive individual emotions. The individualistic representation of learning proposed by positive teaching means that education is preparing students for an increasingly individualistic neoliberal political landscape that goes beyond the classroom (</w:t>
      </w:r>
      <w:r w:rsidR="00B0794E" w:rsidRPr="00C30961">
        <w:t>Binder</w:t>
      </w:r>
      <w:r w:rsidR="00B0794E">
        <w:t xml:space="preserve"> </w:t>
      </w:r>
      <w:r w:rsidR="00B45B8B">
        <w:t>2019</w:t>
      </w:r>
      <w:r w:rsidR="00B0794E">
        <w:rPr>
          <w:color w:val="000000"/>
        </w:rPr>
        <w:t xml:space="preserve"> and </w:t>
      </w:r>
      <w:r w:rsidR="00B45B8B">
        <w:rPr>
          <w:color w:val="000000"/>
        </w:rPr>
        <w:t>Marske 1987). In fact, the mirroring of this external reality has been key to the successes of positive teaching</w:t>
      </w:r>
      <w:r w:rsidR="00357343">
        <w:rPr>
          <w:color w:val="000000"/>
        </w:rPr>
        <w:t>.</w:t>
      </w:r>
      <w:r w:rsidR="00B45B8B">
        <w:rPr>
          <w:color w:val="000000"/>
        </w:rPr>
        <w:t xml:space="preserve"> </w:t>
      </w:r>
      <w:r w:rsidR="00357343">
        <w:rPr>
          <w:color w:val="000000"/>
        </w:rPr>
        <w:t>One of the main motivators for m</w:t>
      </w:r>
      <w:r w:rsidR="00B45B8B">
        <w:rPr>
          <w:color w:val="000000"/>
        </w:rPr>
        <w:t xml:space="preserve">isbehaviour </w:t>
      </w:r>
      <w:r w:rsidR="00357343">
        <w:rPr>
          <w:color w:val="000000"/>
        </w:rPr>
        <w:t>is the reaction to the rejection of the individual which occurs when a universal rules and uniform are imposed upon them</w:t>
      </w:r>
      <w:r w:rsidR="00B45B8B">
        <w:rPr>
          <w:color w:val="000000"/>
        </w:rPr>
        <w:t xml:space="preserve">. Conversely, it is </w:t>
      </w:r>
      <w:r w:rsidR="00357343">
        <w:rPr>
          <w:color w:val="000000"/>
        </w:rPr>
        <w:t xml:space="preserve">this </w:t>
      </w:r>
      <w:r w:rsidR="00B45B8B">
        <w:rPr>
          <w:color w:val="000000"/>
        </w:rPr>
        <w:t xml:space="preserve">stance on the individual as an independent vessel of learning which has provoked </w:t>
      </w:r>
      <w:r w:rsidR="00357343">
        <w:rPr>
          <w:color w:val="000000"/>
        </w:rPr>
        <w:t>much</w:t>
      </w:r>
      <w:r w:rsidR="00B45B8B">
        <w:rPr>
          <w:color w:val="000000"/>
        </w:rPr>
        <w:t xml:space="preserve"> critique of this methodology. Numerous studies into co-learning, highlight that group</w:t>
      </w:r>
      <w:r w:rsidR="00357343">
        <w:rPr>
          <w:color w:val="000000"/>
        </w:rPr>
        <w:t xml:space="preserve"> </w:t>
      </w:r>
      <w:r w:rsidR="00B45B8B">
        <w:rPr>
          <w:color w:val="000000"/>
        </w:rPr>
        <w:t xml:space="preserve">working has a considerable impact on engagement and outcomes </w:t>
      </w:r>
      <w:r w:rsidR="00357343">
        <w:rPr>
          <w:color w:val="000000"/>
        </w:rPr>
        <w:t xml:space="preserve">which is neglected by positive learnings individualistic theories </w:t>
      </w:r>
      <w:r w:rsidR="00B45B8B">
        <w:rPr>
          <w:color w:val="000000"/>
        </w:rPr>
        <w:t>(</w:t>
      </w:r>
      <w:r w:rsidR="00B45B8B">
        <w:t xml:space="preserve">Way </w:t>
      </w:r>
      <w:r w:rsidR="003E2D4A">
        <w:t xml:space="preserve">2011 </w:t>
      </w:r>
      <w:r w:rsidR="00B45B8B">
        <w:t xml:space="preserve">and Galton </w:t>
      </w:r>
      <w:r w:rsidR="003E2D4A">
        <w:t xml:space="preserve">2009 </w:t>
      </w:r>
      <w:r w:rsidR="00B45B8B">
        <w:t>and</w:t>
      </w:r>
      <w:r w:rsidR="003E2D4A">
        <w:t xml:space="preserve"> </w:t>
      </w:r>
      <w:proofErr w:type="spellStart"/>
      <w:r w:rsidR="003E2D4A">
        <w:t>Omelicheva</w:t>
      </w:r>
      <w:proofErr w:type="spellEnd"/>
      <w:r w:rsidR="003E2D4A">
        <w:t xml:space="preserve"> and</w:t>
      </w:r>
      <w:r w:rsidR="00B45B8B">
        <w:t xml:space="preserve"> </w:t>
      </w:r>
      <w:proofErr w:type="spellStart"/>
      <w:r w:rsidR="00B45B8B">
        <w:t>Avdeyeva</w:t>
      </w:r>
      <w:proofErr w:type="spellEnd"/>
      <w:r w:rsidR="003E2D4A">
        <w:t xml:space="preserve"> 2008</w:t>
      </w:r>
      <w:r w:rsidR="00B45B8B">
        <w:t>).</w:t>
      </w:r>
      <w:r w:rsidR="00B45B8B">
        <w:rPr>
          <w:color w:val="000000"/>
        </w:rPr>
        <w:t xml:space="preserve"> </w:t>
      </w:r>
      <w:r w:rsidR="00357343">
        <w:rPr>
          <w:color w:val="000000"/>
        </w:rPr>
        <w:t xml:space="preserve">Another of </w:t>
      </w:r>
      <w:proofErr w:type="spellStart"/>
      <w:r w:rsidR="00B45B8B">
        <w:rPr>
          <w:color w:val="000000"/>
        </w:rPr>
        <w:t>Wheldall</w:t>
      </w:r>
      <w:proofErr w:type="spellEnd"/>
      <w:r w:rsidR="00B45B8B">
        <w:rPr>
          <w:color w:val="000000"/>
        </w:rPr>
        <w:t xml:space="preserve"> and Merrett’s </w:t>
      </w:r>
      <w:r w:rsidR="00F32BC6">
        <w:rPr>
          <w:color w:val="000000"/>
        </w:rPr>
        <w:t>(1989)</w:t>
      </w:r>
      <w:r w:rsidR="00B45B8B">
        <w:rPr>
          <w:color w:val="000000"/>
        </w:rPr>
        <w:t xml:space="preserve"> contribution</w:t>
      </w:r>
      <w:r w:rsidR="00357343">
        <w:rPr>
          <w:color w:val="000000"/>
        </w:rPr>
        <w:t>s</w:t>
      </w:r>
      <w:r w:rsidR="00B45B8B">
        <w:rPr>
          <w:color w:val="000000"/>
        </w:rPr>
        <w:t xml:space="preserve"> to</w:t>
      </w:r>
      <w:r w:rsidR="00357343">
        <w:rPr>
          <w:color w:val="000000"/>
        </w:rPr>
        <w:t xml:space="preserve"> the discussion around</w:t>
      </w:r>
      <w:r w:rsidR="00B45B8B">
        <w:rPr>
          <w:color w:val="000000"/>
        </w:rPr>
        <w:t xml:space="preserve"> modern positive teaching was outlining one of the stances </w:t>
      </w:r>
      <w:r w:rsidR="00357343">
        <w:rPr>
          <w:color w:val="000000"/>
        </w:rPr>
        <w:t xml:space="preserve">against </w:t>
      </w:r>
      <w:r w:rsidR="00B45B8B">
        <w:rPr>
          <w:color w:val="000000"/>
        </w:rPr>
        <w:t>positive teaching</w:t>
      </w:r>
      <w:r w:rsidR="00F32BC6">
        <w:rPr>
          <w:color w:val="000000"/>
        </w:rPr>
        <w:t xml:space="preserve">. </w:t>
      </w:r>
      <w:r w:rsidR="00B45B8B">
        <w:t xml:space="preserve">They state that </w:t>
      </w:r>
      <w:r w:rsidR="00357343">
        <w:t xml:space="preserve">critics point to </w:t>
      </w:r>
      <w:r w:rsidR="00B45B8B">
        <w:t>positive teaching only treat</w:t>
      </w:r>
      <w:r w:rsidR="00357343">
        <w:t>ing</w:t>
      </w:r>
      <w:r w:rsidR="00B45B8B">
        <w:t xml:space="preserve"> the symptoms and not the causes</w:t>
      </w:r>
      <w:r w:rsidR="00357343">
        <w:t xml:space="preserve"> as a shortcoming of the theory</w:t>
      </w:r>
      <w:r w:rsidR="00B45B8B">
        <w:t>.</w:t>
      </w:r>
      <w:r w:rsidR="00357343">
        <w:t xml:space="preserve"> </w:t>
      </w:r>
      <w:proofErr w:type="spellStart"/>
      <w:r w:rsidR="00357343">
        <w:t>Wheldall</w:t>
      </w:r>
      <w:proofErr w:type="spellEnd"/>
      <w:r w:rsidR="00357343">
        <w:t xml:space="preserve"> and Merrett (1989) argue that it is the </w:t>
      </w:r>
      <w:r w:rsidR="00357343">
        <w:lastRenderedPageBreak/>
        <w:t>symptoms that are the primary concern of the educator anyway and that the causes should be left to psychological professionals.</w:t>
      </w:r>
      <w:r w:rsidR="00B45B8B">
        <w:t xml:space="preserve"> Yet,</w:t>
      </w:r>
      <w:r w:rsidR="00357343">
        <w:t xml:space="preserve"> </w:t>
      </w:r>
      <w:proofErr w:type="spellStart"/>
      <w:r w:rsidR="00357343">
        <w:t>Wheldall</w:t>
      </w:r>
      <w:proofErr w:type="spellEnd"/>
      <w:r w:rsidR="00357343">
        <w:t xml:space="preserve"> and Merrett (1989)</w:t>
      </w:r>
      <w:r w:rsidR="00B45B8B">
        <w:t xml:space="preserve"> neglect to recognise that the fundamental issue that once the classroom framework of support is removed </w:t>
      </w:r>
      <w:r w:rsidR="003E2D4A">
        <w:t xml:space="preserve">and they enter the working world, these issues will persist to have an influence over their adult lives. Nonetheless, </w:t>
      </w:r>
      <w:r w:rsidR="00CF5FA8">
        <w:t xml:space="preserve">as Wright highlight, </w:t>
      </w:r>
      <w:r w:rsidR="003E2D4A">
        <w:t>positive teaching pedagogy has shown to have a positive influence over teaching outcomes and classroom engagement and should be considered when dealing with issues in this field</w:t>
      </w:r>
      <w:r w:rsidR="00CF5FA8">
        <w:t xml:space="preserve"> (Wright 2006)</w:t>
      </w:r>
      <w:r w:rsidR="003E2D4A">
        <w:t>.</w:t>
      </w:r>
    </w:p>
    <w:p w14:paraId="6C77A33E" w14:textId="77777777" w:rsidR="003E2D4A" w:rsidRDefault="003E2D4A" w:rsidP="00EA3B36"/>
    <w:p w14:paraId="567EA80D" w14:textId="77777777" w:rsidR="003E2D4A" w:rsidRDefault="003E2D4A" w:rsidP="00EA3B36"/>
    <w:p w14:paraId="6B16B5DB" w14:textId="6589FA7A" w:rsidR="00EF3901" w:rsidRDefault="003E2D4A" w:rsidP="00EA3B36">
      <w:r>
        <w:t xml:space="preserve">The assimilation of the outside socio-political environment encouraged by the Piaget-influenced positive learning is a point of contention for supporters of the co-learning principles. Instead of seeing school as an opportunity to mould the individual to suit the socio-political reality they step into, co-learning sees teaching as an opportunity to protect the individual from the strains of modern life and what would have been lost to modern neoliberalism if it was not protected beforehand. </w:t>
      </w:r>
      <w:r w:rsidR="00A654BF">
        <w:t>This</w:t>
      </w:r>
      <w:r w:rsidR="00CF5FA8">
        <w:t xml:space="preserve"> means rejecting theories of individualism in the classroom and encouraging a collaborative collective. </w:t>
      </w:r>
      <w:r w:rsidR="00357343">
        <w:t>C</w:t>
      </w:r>
      <w:r w:rsidR="00CF5FA8">
        <w:t>o-learning appears to align with Condorcet’s</w:t>
      </w:r>
      <w:r w:rsidR="00F32BC6">
        <w:t xml:space="preserve"> (1795)</w:t>
      </w:r>
      <w:r w:rsidR="00CF5FA8">
        <w:t xml:space="preserve"> vision of the future, which envisioned the specialisation that has occurred but coupled with an emphasis on the needs of the individual as a social being, which has not</w:t>
      </w:r>
      <w:r w:rsidR="00F32BC6">
        <w:t xml:space="preserve">. </w:t>
      </w:r>
      <w:r w:rsidR="00CF5FA8">
        <w:t>Yet, if Ecclestone and Hayes</w:t>
      </w:r>
      <w:r w:rsidR="00F32BC6">
        <w:t xml:space="preserve"> (2009)</w:t>
      </w:r>
      <w:r w:rsidR="00CF5FA8">
        <w:t xml:space="preserve"> are to be believed then this is set to be the next preoccupation of national governments</w:t>
      </w:r>
      <w:r w:rsidR="00441291">
        <w:t xml:space="preserve">. A predilection which is supported by former Prime Minister advisor </w:t>
      </w:r>
      <w:proofErr w:type="spellStart"/>
      <w:r w:rsidR="00441291">
        <w:t>Mulgan</w:t>
      </w:r>
      <w:proofErr w:type="spellEnd"/>
      <w:r w:rsidR="00441291">
        <w:t xml:space="preserve"> in Evans’</w:t>
      </w:r>
      <w:r w:rsidR="00F32BC6">
        <w:t xml:space="preserve"> (2008)</w:t>
      </w:r>
      <w:r w:rsidR="00441291">
        <w:t xml:space="preserve"> article in the </w:t>
      </w:r>
      <w:r w:rsidR="00441291" w:rsidRPr="00441291">
        <w:rPr>
          <w:i/>
          <w:iCs/>
        </w:rPr>
        <w:t>Sunday Times</w:t>
      </w:r>
      <w:r w:rsidR="00441291">
        <w:t>: ‘</w:t>
      </w:r>
      <w:r w:rsidR="00441291" w:rsidRPr="00FF2E62">
        <w:t>Teaching happiness: the classes in wellbeing that are helping our children</w:t>
      </w:r>
      <w:r w:rsidR="00441291">
        <w:t>’</w:t>
      </w:r>
      <w:r w:rsidR="00F32BC6">
        <w:t xml:space="preserve">. </w:t>
      </w:r>
      <w:proofErr w:type="spellStart"/>
      <w:r w:rsidR="00441291">
        <w:t>Mulgan</w:t>
      </w:r>
      <w:proofErr w:type="spellEnd"/>
      <w:r w:rsidR="008E163A">
        <w:t xml:space="preserve">, </w:t>
      </w:r>
      <w:r w:rsidR="00441291">
        <w:t>Ecclestone and Hayes</w:t>
      </w:r>
      <w:r w:rsidR="00F32BC6">
        <w:t xml:space="preserve"> (2009)</w:t>
      </w:r>
      <w:r w:rsidR="00441291">
        <w:t xml:space="preserve"> see education as pivotal in this upcoming </w:t>
      </w:r>
      <w:r w:rsidR="008E163A">
        <w:t xml:space="preserve">focus </w:t>
      </w:r>
      <w:r w:rsidR="00441291">
        <w:t>o</w:t>
      </w:r>
      <w:r w:rsidR="008E163A">
        <w:t>n</w:t>
      </w:r>
      <w:r w:rsidR="00441291">
        <w:t xml:space="preserve"> individual wellbeing (Evans 2008). Wellbeing has had a growing influence over education already, with it playing a pivotal role in the Welsh curriculum. While </w:t>
      </w:r>
      <w:proofErr w:type="spellStart"/>
      <w:r w:rsidR="00441291">
        <w:t>Segliman</w:t>
      </w:r>
      <w:proofErr w:type="spellEnd"/>
      <w:r w:rsidR="00441291">
        <w:t xml:space="preserve"> et al.’s study on Geelong Grammar School in Australia show that it has become the principle focus of some schools with great success</w:t>
      </w:r>
      <w:r w:rsidR="00A654BF">
        <w:t xml:space="preserve"> for engagement and learning</w:t>
      </w:r>
      <w:r w:rsidR="00441291">
        <w:t xml:space="preserve"> (</w:t>
      </w:r>
      <w:proofErr w:type="spellStart"/>
      <w:r w:rsidR="00441291">
        <w:t>Segliman</w:t>
      </w:r>
      <w:proofErr w:type="spellEnd"/>
      <w:r w:rsidR="00441291">
        <w:t xml:space="preserve"> et al 2009)</w:t>
      </w:r>
      <w:r w:rsidR="00813C8A">
        <w:t xml:space="preserve">. </w:t>
      </w:r>
      <w:r w:rsidR="00441291">
        <w:t>However, as the mental and physical health crises facing the country seemingly continue to worsen, it will only grow in importance and co-learning is best placed to provide the support needed. Equally, this focus on wellbeing has a positive impact on engagement as it aims to help alleviate or fix the causes of disruption and disengagement which simultaneously fixes the limitations of positive learning</w:t>
      </w:r>
      <w:r w:rsidR="00A654BF">
        <w:t xml:space="preserve"> as presented by </w:t>
      </w:r>
      <w:proofErr w:type="spellStart"/>
      <w:r w:rsidR="00A654BF">
        <w:t>Wheldall</w:t>
      </w:r>
      <w:proofErr w:type="spellEnd"/>
      <w:r w:rsidR="00A654BF">
        <w:t xml:space="preserve"> and Merrett (1989)</w:t>
      </w:r>
      <w:r w:rsidR="00441291">
        <w:t>.</w:t>
      </w:r>
      <w:r w:rsidR="00AD54BF">
        <w:t xml:space="preserve"> </w:t>
      </w:r>
      <w:r w:rsidR="00813C8A">
        <w:t xml:space="preserve">Galton </w:t>
      </w:r>
      <w:r w:rsidR="00F32BC6">
        <w:t xml:space="preserve">(2009) </w:t>
      </w:r>
      <w:r w:rsidR="00813C8A">
        <w:t xml:space="preserve">presents the argument that the social component to this style of teaching </w:t>
      </w:r>
      <w:r w:rsidR="008E163A">
        <w:t>encourages</w:t>
      </w:r>
      <w:r w:rsidR="00813C8A">
        <w:t xml:space="preserve"> further engagement.</w:t>
      </w:r>
      <w:r w:rsidR="008E163A">
        <w:t xml:space="preserve"> </w:t>
      </w:r>
      <w:r w:rsidR="00AD54BF">
        <w:t>Galton</w:t>
      </w:r>
      <w:r w:rsidR="00F32BC6">
        <w:t xml:space="preserve"> (2009)</w:t>
      </w:r>
      <w:r w:rsidR="00AD54BF">
        <w:t xml:space="preserve"> </w:t>
      </w:r>
      <w:r w:rsidR="008E163A">
        <w:t xml:space="preserve">also </w:t>
      </w:r>
      <w:r w:rsidR="00AD54BF">
        <w:t>argues that using a community approach to learning, results in more emotional resilience that is vital</w:t>
      </w:r>
      <w:r w:rsidR="00813C8A">
        <w:t xml:space="preserve"> in reaction to the intensity of school test culture.</w:t>
      </w:r>
      <w:r w:rsidR="00441291">
        <w:t xml:space="preserve"> </w:t>
      </w:r>
      <w:r w:rsidR="00A654BF">
        <w:t>Co-learning aims to do this with c</w:t>
      </w:r>
      <w:r w:rsidR="00AD54BF">
        <w:t>ollective and collaborative workspaces that prioritise relationships in the process of learning (Wragg 2001). This collaborative style of learning leans into Vygotsky’s ideas of proximal development as it provides each learner with a respective peer that can help push their development further (</w:t>
      </w:r>
      <w:r w:rsidR="00AD54BF" w:rsidRPr="000F41AB">
        <w:t>Yu-Chia Huang</w:t>
      </w:r>
      <w:r w:rsidR="00AD54BF">
        <w:t xml:space="preserve"> 2021).</w:t>
      </w:r>
      <w:r w:rsidR="00813C8A">
        <w:t xml:space="preserve"> This explains the evidence presented by </w:t>
      </w:r>
      <w:proofErr w:type="spellStart"/>
      <w:r w:rsidR="00813C8A">
        <w:t>Omelicheva</w:t>
      </w:r>
      <w:proofErr w:type="spellEnd"/>
      <w:r w:rsidR="00813C8A">
        <w:t xml:space="preserve"> and </w:t>
      </w:r>
      <w:proofErr w:type="spellStart"/>
      <w:r w:rsidR="00813C8A">
        <w:t>Avdeyeva</w:t>
      </w:r>
      <w:proofErr w:type="spellEnd"/>
      <w:r w:rsidR="00813C8A">
        <w:t xml:space="preserve"> </w:t>
      </w:r>
      <w:r w:rsidR="001B0326">
        <w:t xml:space="preserve">(2008) </w:t>
      </w:r>
      <w:r w:rsidR="00813C8A">
        <w:t xml:space="preserve">that shows collaborative learning is the best method of learning complex ideas. </w:t>
      </w:r>
      <w:proofErr w:type="spellStart"/>
      <w:r w:rsidR="00E95A08">
        <w:t>Trimbur</w:t>
      </w:r>
      <w:proofErr w:type="spellEnd"/>
      <w:r w:rsidR="00E95A08">
        <w:t xml:space="preserve"> (1989) notes that this method of teaching bring a democratic component to lessons which wards off the authoritarian principles which often undermine individualistic methods of teaching. He further strengthens these advantages of collective learning by emphasising the potential for discussion across cultural and socio-economic backgrounds bringing a globalized sense of </w:t>
      </w:r>
      <w:r w:rsidR="001B0326">
        <w:t xml:space="preserve">belonging and an understanding of how to accept, consider, discuss, and potentially politely disagree with different </w:t>
      </w:r>
      <w:r w:rsidR="001B0326">
        <w:lastRenderedPageBreak/>
        <w:t xml:space="preserve">perspectives on certain subjects. </w:t>
      </w:r>
      <w:r w:rsidR="00813C8A">
        <w:t>If not due to the collaboration of different lived experiences and ideas collating into one collective community and strengthening</w:t>
      </w:r>
      <w:r w:rsidR="00FE7894">
        <w:t xml:space="preserve"> and rounding out our sense of understanding which is in stark contrast to the </w:t>
      </w:r>
      <w:r w:rsidR="00FE7894" w:rsidRPr="00FE7894">
        <w:t>exclusionary</w:t>
      </w:r>
      <w:r w:rsidR="00FE7894">
        <w:t xml:space="preserve"> components of traditional teaching as outlined by Gregory and Fergus (2017). Instead of treating all discussion as antithetical to learning, this perspective provides teachers with the opportunity to utilise this inherently neutral component of a lesson to further a learners’ understanding. Equally, in understanding how to use discussion productively a teacher can also neutralise one of the key components to misbehaviour further strengthening engagement in class. Studies from Albert et al</w:t>
      </w:r>
      <w:r w:rsidR="00C81FD9">
        <w:t>.</w:t>
      </w:r>
      <w:r w:rsidR="00FE7894">
        <w:t xml:space="preserve"> and </w:t>
      </w:r>
      <w:r w:rsidR="00FE7894" w:rsidRPr="00791D43">
        <w:t>Somerville</w:t>
      </w:r>
      <w:r w:rsidR="00FE7894">
        <w:t xml:space="preserve"> </w:t>
      </w:r>
      <w:r w:rsidR="00F32BC6">
        <w:t xml:space="preserve">(2013) </w:t>
      </w:r>
      <w:r w:rsidR="00FE7894">
        <w:t>on peer influences on adolescents and the adolescent brain’s sensitivity to social evaluation highlight that one of the key motivators for disengagement and high-risk behaviour in classrooms is tied to the</w:t>
      </w:r>
      <w:r w:rsidR="00C81FD9">
        <w:t xml:space="preserve"> extrinsic and intrinsic</w:t>
      </w:r>
      <w:r w:rsidR="00FE7894">
        <w:t xml:space="preserve"> social</w:t>
      </w:r>
      <w:r w:rsidR="00C81FD9">
        <w:t xml:space="preserve"> reward and</w:t>
      </w:r>
      <w:r w:rsidR="008E163A">
        <w:t>/or</w:t>
      </w:r>
      <w:r w:rsidR="00C81FD9">
        <w:t xml:space="preserve"> consequences of doing or not doing that behaviour within their social groups</w:t>
      </w:r>
      <w:r w:rsidR="00F32BC6">
        <w:t xml:space="preserve">. </w:t>
      </w:r>
      <w:proofErr w:type="gramStart"/>
      <w:r w:rsidR="008E163A">
        <w:t>So</w:t>
      </w:r>
      <w:proofErr w:type="gramEnd"/>
      <w:r w:rsidR="008E163A">
        <w:t xml:space="preserve"> if a teacher can utilise these pre-formed social groups and direct them in a positive direction for interpersonal relationships and education then it will go a long way to nullifying these social components as motivating factors for misbehaviour and thus improving engagement in the classroom.</w:t>
      </w:r>
      <w:r w:rsidR="000303ED">
        <w:t xml:space="preserve"> This can also help to ward off potential social victimisation and bullying an issue highlighted in Faris and </w:t>
      </w:r>
      <w:proofErr w:type="spellStart"/>
      <w:r w:rsidR="000303ED">
        <w:t>Felmlee</w:t>
      </w:r>
      <w:proofErr w:type="spellEnd"/>
      <w:r w:rsidR="000303ED">
        <w:t xml:space="preserve"> </w:t>
      </w:r>
      <w:r w:rsidR="001B0326">
        <w:t xml:space="preserve">(2014) </w:t>
      </w:r>
      <w:r w:rsidR="000303ED">
        <w:t xml:space="preserve">concerning study on the subject. Yet, there are some concerns about this method of teaching. Steward and Page </w:t>
      </w:r>
      <w:r w:rsidR="00F32BC6">
        <w:t xml:space="preserve">(2009) </w:t>
      </w:r>
      <w:r w:rsidR="000303ED">
        <w:t>warn that it could be difficult to apply some of these principles to different classrooms and subjects meaning the teacher will have to make a subjective call on whether they can or should apply these theories to their classroom</w:t>
      </w:r>
      <w:r w:rsidR="00F32BC6">
        <w:t xml:space="preserve">. </w:t>
      </w:r>
      <w:r w:rsidR="000303ED">
        <w:t>Equally,</w:t>
      </w:r>
      <w:r w:rsidR="001B0326">
        <w:t xml:space="preserve"> each of these co-learning studies emphasise the importance of class size in relation to their successes in the classroom indicating that larger classes will not produce similar outcomes to the smaller ones as seen in the critical incident under scrutiny here. </w:t>
      </w:r>
      <w:r w:rsidR="000303ED">
        <w:t>To limit the potential of these adverse outcomes, Hargreaves</w:t>
      </w:r>
      <w:r w:rsidR="00F32BC6">
        <w:t xml:space="preserve"> (2009)</w:t>
      </w:r>
      <w:r w:rsidR="000303ED">
        <w:t xml:space="preserve"> has outlined the important features of a successful co-learning classroom, which emphasises prioritising clear instructions and intention when setting a task</w:t>
      </w:r>
      <w:r w:rsidR="00F32BC6">
        <w:t xml:space="preserve">. </w:t>
      </w:r>
      <w:r w:rsidR="0070493E">
        <w:t xml:space="preserve">Galton </w:t>
      </w:r>
      <w:r w:rsidR="00F32BC6">
        <w:t xml:space="preserve">(2009) </w:t>
      </w:r>
      <w:r w:rsidR="0070493E">
        <w:t xml:space="preserve">reemphasises these ideas claiming that a mastery of these aspects will not only help reduce the risk of negative impacts but also show further improvement in their outcomes. The idea of co-learning emphasises the methods of teaching that create heavy social bonds and strengthen the teacher-student dynamic through methods of collaborative work. In turn this has resulted in some impressive empirical results. However, it has limitations as it cannot be applied across the board and its poor application will only worsen the </w:t>
      </w:r>
      <w:r w:rsidR="001B0326">
        <w:t>students’</w:t>
      </w:r>
      <w:r w:rsidR="0070493E">
        <w:t xml:space="preserve"> outcomes.</w:t>
      </w:r>
    </w:p>
    <w:p w14:paraId="7CFF43D9" w14:textId="77777777" w:rsidR="0070493E" w:rsidRDefault="0070493E" w:rsidP="00EA3B36"/>
    <w:p w14:paraId="1EEE14B8" w14:textId="7CE2E067" w:rsidR="0070493E" w:rsidRDefault="0070493E" w:rsidP="00EA3B36">
      <w:r>
        <w:t xml:space="preserve">The critical incident was summarised in the introduction as off-task discussion throughout the classroom. It is important to note that these discussions occurred between different groups no larger than four people. In this class the teacher primarily deployed a traditional, teacher-centred method of teaching. They stayed relatively central as a primary focus of the room and primarily set individual tasks. While it is important to cover key aspects of a curriculum, it appeared as though the work lacked differentiation, which could have had an influence on the perceived critical incident, but that is not a point of discussion in this essay. Traditional teaching methodology would evaluate this situation and reason that there needs to be a stronger disciplinary line to keep the young </w:t>
      </w:r>
      <w:r w:rsidR="001B0326">
        <w:t>people’s</w:t>
      </w:r>
      <w:r>
        <w:t xml:space="preserve"> focus as there was an absence of punishment in the classroom. While this discipline-first methodology may work in getting students to be focused and on-task it is antithetical to ideas of positive teaching and co-learning that have both shown to be </w:t>
      </w:r>
      <w:r w:rsidR="003C4574">
        <w:t xml:space="preserve">empirically beneficial for </w:t>
      </w:r>
      <w:r w:rsidR="001B0326">
        <w:t>not only students’</w:t>
      </w:r>
      <w:r w:rsidR="003C4574">
        <w:t xml:space="preserve"> </w:t>
      </w:r>
      <w:r w:rsidR="001B0326">
        <w:t>academic development but personal</w:t>
      </w:r>
      <w:r w:rsidR="003C4574">
        <w:t xml:space="preserve"> development</w:t>
      </w:r>
      <w:r w:rsidR="001B0326">
        <w:t xml:space="preserve"> too</w:t>
      </w:r>
      <w:r w:rsidR="003C4574">
        <w:t xml:space="preserve">. However, this can result in an uneven </w:t>
      </w:r>
      <w:r w:rsidR="003C4574">
        <w:lastRenderedPageBreak/>
        <w:t>distribution of positive attention in turn neglecting the invisible young people and causing unintended resentment and potential reactionary misbehaviour as a result. Conversely, positive teaching would also dissuade discussion as individualisation is the primary goal. However, instead they may encourage this behaviour with positive motivation rather than negative consequences, while simultaneously trying to push the young person into recognising the importance of their own academic and personal development through spending their lesson time wisely. Finally, co-learning would not see these discussions as an inherently negative process of learning. Instead, it would encourage the teacher to adopt and utilise these conversations by bringing them on task and creating a collaborative working environment which recent studies indicates can produce better academic results. However, it does take a skilled practitioner to use these discussions and not lose the momentum of the class to more off-topic discussion that the teacher may have inadvertently encouraged. While each of these methodologies represent an alternative way of dealing with this critical incident; not all of them are made equal.</w:t>
      </w:r>
    </w:p>
    <w:p w14:paraId="2CF3DF07" w14:textId="77777777" w:rsidR="009B48FF" w:rsidRDefault="009B48FF" w:rsidP="00EA3B36"/>
    <w:p w14:paraId="6D303E57" w14:textId="46455FE5" w:rsidR="001B0326" w:rsidRDefault="009B48FF" w:rsidP="00EA3B36">
      <w:r>
        <w:t xml:space="preserve">It is easy to argue that co-learning is the best methodology for this critical incident. Introducing conversation can be one of the biggest challenges in building a classroom with strong co-learning principles, but that already exists in this classroom. </w:t>
      </w:r>
      <w:r w:rsidR="00F32BC6">
        <w:t xml:space="preserve">In doing so, the teacher can maximise the benefits of Vygotsky’s (1997) ideas of proximal development to push the students further on the subject matter. This is supported by contemporary evidence from </w:t>
      </w:r>
      <w:proofErr w:type="spellStart"/>
      <w:r w:rsidR="00F32BC6">
        <w:t>Omelicheva</w:t>
      </w:r>
      <w:proofErr w:type="spellEnd"/>
      <w:r w:rsidR="00F32BC6">
        <w:t xml:space="preserve"> and </w:t>
      </w:r>
      <w:proofErr w:type="spellStart"/>
      <w:r w:rsidR="00F32BC6">
        <w:t>Avdeyeva</w:t>
      </w:r>
      <w:proofErr w:type="spellEnd"/>
      <w:r w:rsidR="00F32BC6">
        <w:t xml:space="preserve"> </w:t>
      </w:r>
      <w:r w:rsidR="00F32BC6">
        <w:t>(2008)</w:t>
      </w:r>
      <w:r w:rsidR="00F32BC6">
        <w:t xml:space="preserve"> who showed that collaborative work is beneficial when stretching a </w:t>
      </w:r>
      <w:r w:rsidR="00BB2CD7">
        <w:t>young personas’</w:t>
      </w:r>
      <w:r w:rsidR="00F32BC6">
        <w:t xml:space="preserve"> understanding on a topic. </w:t>
      </w:r>
      <w:r>
        <w:t xml:space="preserve">However, it would take a confident educator to successfully pull this off without losing control of the class altogether. Nonetheless, it’s important to realise the potential of this theory in </w:t>
      </w:r>
      <w:r w:rsidR="00F32BC6">
        <w:t xml:space="preserve">such a </w:t>
      </w:r>
      <w:r>
        <w:t>classroom.</w:t>
      </w:r>
      <w:r w:rsidR="00F32BC6">
        <w:t xml:space="preserve"> </w:t>
      </w:r>
      <w:r>
        <w:t>Con</w:t>
      </w:r>
      <w:r w:rsidR="00F32BC6">
        <w:t>versely</w:t>
      </w:r>
      <w:r>
        <w:t>, positive teaching still encourages a student-centred method of teaching and positive reinforcement has been shown to have a good impact on student behaviour as endorphin releases can provide a very good internal motivator to extrinsic stimulus.</w:t>
      </w:r>
      <w:r w:rsidR="00BB2CD7">
        <w:t xml:space="preserve"> </w:t>
      </w:r>
      <w:proofErr w:type="spellStart"/>
      <w:r w:rsidR="00BB2CD7">
        <w:t>Wheldand</w:t>
      </w:r>
      <w:proofErr w:type="spellEnd"/>
      <w:r w:rsidR="00BB2CD7">
        <w:t xml:space="preserve"> and Merrett (1989) highlight its proficiency in stamping out negative behaviours in a classroom setting, although concerns about this continuing when the classroom-based scaffolding comes down as they enter the professional world remains.</w:t>
      </w:r>
      <w:r>
        <w:t xml:space="preserve"> In turn, it would help maintain engagement and keep them on task. However, in turn, the benefits of co-learning would be </w:t>
      </w:r>
      <w:proofErr w:type="gramStart"/>
      <w:r>
        <w:t>lost</w:t>
      </w:r>
      <w:proofErr w:type="gramEnd"/>
      <w:r>
        <w:t xml:space="preserve"> and it could be misconstrued by young people as a ‘soft’ teacher resulting in potential further misbehaviour and this low engagement if not done well. When done well the traditional teaching method is good at establishing and maintaining classroom authority. </w:t>
      </w:r>
      <w:r w:rsidR="00BB2CD7">
        <w:t>While its ability to support comprehension of written and simple tasks means that it is a valuable option with low cognitive level work (</w:t>
      </w:r>
      <w:proofErr w:type="spellStart"/>
      <w:r w:rsidR="00BB2CD7">
        <w:t>Omelicheva</w:t>
      </w:r>
      <w:proofErr w:type="spellEnd"/>
      <w:r w:rsidR="00BB2CD7">
        <w:t xml:space="preserve"> and </w:t>
      </w:r>
      <w:proofErr w:type="spellStart"/>
      <w:r w:rsidR="00BB2CD7">
        <w:t>Avdeyeva</w:t>
      </w:r>
      <w:proofErr w:type="spellEnd"/>
      <w:r w:rsidR="00BB2CD7">
        <w:t xml:space="preserve"> 2008)</w:t>
      </w:r>
      <w:r w:rsidR="00BB2CD7">
        <w:t xml:space="preserve">. </w:t>
      </w:r>
      <w:proofErr w:type="gramStart"/>
      <w:r>
        <w:t>However</w:t>
      </w:r>
      <w:proofErr w:type="gramEnd"/>
      <w:r>
        <w:t xml:space="preserve">, negative reinforcement could have negative consequences on the young </w:t>
      </w:r>
      <w:proofErr w:type="spellStart"/>
      <w:r>
        <w:t>peoples</w:t>
      </w:r>
      <w:proofErr w:type="spellEnd"/>
      <w:r>
        <w:t xml:space="preserve"> learning in comparison to the alternatives. While it still has a place in maintaining engagement it should be reserved for more problematic behaviours than the ones displayed in this critical incident</w:t>
      </w:r>
      <w:r w:rsidR="001B0326">
        <w:t>.</w:t>
      </w:r>
    </w:p>
    <w:p w14:paraId="673F9C54" w14:textId="77777777" w:rsidR="001B0326" w:rsidRDefault="001B0326" w:rsidP="00EA3B36"/>
    <w:p w14:paraId="122FCA08" w14:textId="4715CCE4" w:rsidR="009B48FF" w:rsidRDefault="00BB2CD7" w:rsidP="00EA3B36">
      <w:r>
        <w:t>The Welsh curriculum is pivotal in deciding which methodology to</w:t>
      </w:r>
      <w:r w:rsidR="007B1269">
        <w:t xml:space="preserve"> prioritise</w:t>
      </w:r>
      <w:r>
        <w:t>.</w:t>
      </w:r>
      <w:r w:rsidR="007B1269">
        <w:t xml:space="preserve"> The curriculum highlights the governments intentions for education and highlights the demands and expectations it places on its teachers across the board.</w:t>
      </w:r>
      <w:r>
        <w:t xml:space="preserve"> For the curriculum to be a success then teachers need to strive towards the key components of the curriculum. </w:t>
      </w:r>
      <w:r w:rsidR="001B0326">
        <w:t xml:space="preserve">In terms of the Welsh curriculum, co-learning presents the most applicable methodology. It supports the emotional wellbeing of its students, strengthens the </w:t>
      </w:r>
      <w:r w:rsidR="007B1269">
        <w:t>students’</w:t>
      </w:r>
      <w:r w:rsidR="001B0326">
        <w:t xml:space="preserve"> sense of </w:t>
      </w:r>
      <w:proofErr w:type="spellStart"/>
      <w:r w:rsidR="001B0326" w:rsidRPr="001B0326">
        <w:t>Cynefin</w:t>
      </w:r>
      <w:proofErr w:type="spellEnd"/>
      <w:r w:rsidR="001B0326">
        <w:t xml:space="preserve">, within the </w:t>
      </w:r>
      <w:r w:rsidR="001B0326">
        <w:lastRenderedPageBreak/>
        <w:t xml:space="preserve">school, Wales and beyond, and allows an open dialogue with people with a wide range of experiences exposing them to their place within the </w:t>
      </w:r>
      <w:proofErr w:type="gramStart"/>
      <w:r w:rsidR="001B0326">
        <w:t>world as a whole</w:t>
      </w:r>
      <w:proofErr w:type="gramEnd"/>
      <w:r w:rsidR="001B0326">
        <w:t>. Meanwhile, positive teaching does provide students with the scaffolding to become life-long learners and appreciate the importance of education which can be applied to a cross-curriculum environment with relative ease, helping to build the bridges between subjects. Finally, traditional teaching represents the least applicable, but does establish consequential realities of not being an active learner once moving on from school.</w:t>
      </w:r>
    </w:p>
    <w:p w14:paraId="4AF8D769" w14:textId="77777777" w:rsidR="00443D11" w:rsidRDefault="00443D11" w:rsidP="00EA3B36"/>
    <w:p w14:paraId="366D1409" w14:textId="51024064" w:rsidR="00EF3901" w:rsidRDefault="00443D11" w:rsidP="00EA3B36">
      <w:r>
        <w:t xml:space="preserve">This essay has presented three methodologies that can be used to get and maintain classroom engagement. While not all are made equal, each should be a tool in the teacher toolbox as a well varied and flexible method of teaching allows an educator to be on top of any situation that may arise and divert attention from the task at hand. In this </w:t>
      </w:r>
      <w:r w:rsidR="00F32BC6">
        <w:t>critical</w:t>
      </w:r>
      <w:r>
        <w:t xml:space="preserve"> incident, the optimal methodology would be to adopt a co-learning stance to the young people’s education. This would allow collaborative on-task discussion in pre-established social groupings allowing an educator to utilise these social dynamics towards the end goal of their education and furthering strong working relationships. Yet, a judgement has to be made on the </w:t>
      </w:r>
      <w:proofErr w:type="gramStart"/>
      <w:r>
        <w:t>teachers</w:t>
      </w:r>
      <w:proofErr w:type="gramEnd"/>
      <w:r>
        <w:t xml:space="preserve"> ability to apply this methodology to the classroom without losing the class before advancing with this methodology. The </w:t>
      </w:r>
      <w:proofErr w:type="gramStart"/>
      <w:r>
        <w:t>second best</w:t>
      </w:r>
      <w:proofErr w:type="gramEnd"/>
      <w:r>
        <w:t xml:space="preserve"> theory is the positive teaching method. This allows the teacher to utilise positive motivators to get the students to reach their academic achievements. </w:t>
      </w:r>
      <w:r w:rsidRPr="00BB08DE">
        <w:rPr>
          <w:color w:val="000000" w:themeColor="text1"/>
        </w:rPr>
        <w:t xml:space="preserve">Furthermore, if applied correctly, it can coincide in a drop in individual intrinsic and extrinsic motivators to </w:t>
      </w:r>
      <w:r w:rsidR="00C84B06" w:rsidRPr="00BB08DE">
        <w:rPr>
          <w:color w:val="000000" w:themeColor="text1"/>
        </w:rPr>
        <w:t>ensure that they maintain the correct direction into their adult life once these have stabilised</w:t>
      </w:r>
      <w:r w:rsidR="00BB08DE" w:rsidRPr="00BB08DE">
        <w:rPr>
          <w:color w:val="000000" w:themeColor="text1"/>
        </w:rPr>
        <w:t xml:space="preserve"> (Gilet et al. 2012)</w:t>
      </w:r>
      <w:r w:rsidR="00C84B06" w:rsidRPr="00BB08DE">
        <w:rPr>
          <w:color w:val="000000" w:themeColor="text1"/>
        </w:rPr>
        <w:t xml:space="preserve">. </w:t>
      </w:r>
      <w:r w:rsidR="00C84B06">
        <w:t xml:space="preserve">Finally, traditional teaching may be the way forward in particular case types with more extreme behaviours. It can also be useful to establish your authority in the classroom if dealing with a particularly difficult class. However, in this instance, traditional teaching should not become a crutch but a way of transitioning into a more positive method of teaching. This is key as such methods will have an adverse impact on the </w:t>
      </w:r>
      <w:r w:rsidR="001B0326">
        <w:t>student’s</w:t>
      </w:r>
      <w:r w:rsidR="00C84B06">
        <w:t xml:space="preserve"> wellbeing and the student-teacher relationship over the long term.</w:t>
      </w:r>
      <w:r w:rsidR="001B0326">
        <w:t xml:space="preserve"> </w:t>
      </w:r>
    </w:p>
    <w:p w14:paraId="1A7F8AB6" w14:textId="77777777" w:rsidR="00C84B06" w:rsidRDefault="00C84B06" w:rsidP="00EA3B36"/>
    <w:p w14:paraId="5886FB25" w14:textId="2D0C84AD" w:rsidR="00C84B06" w:rsidRDefault="00C84B06" w:rsidP="00EA3B36">
      <w:r>
        <w:t xml:space="preserve">While this essay has not presented an analysed and evaluated comprehensive list of methodologies, it has presented three of the most prominent ones in education today. In turn evaluating their usefulness in the </w:t>
      </w:r>
      <w:proofErr w:type="gramStart"/>
      <w:r>
        <w:t>modern day</w:t>
      </w:r>
      <w:proofErr w:type="gramEnd"/>
      <w:r>
        <w:t xml:space="preserve"> classroom within the scope of classroom engagement. Ultimately, summarising with a personal hierarchical presentation of each in relation to the other. Whether this perspective is mirrored by other teachers or not is one of the beauties of teaching. Every teacher goes into the classroom with their own concepts and styles of teaching a class and </w:t>
      </w:r>
      <w:proofErr w:type="gramStart"/>
      <w:r>
        <w:t>as long as</w:t>
      </w:r>
      <w:proofErr w:type="gramEnd"/>
      <w:r>
        <w:t xml:space="preserve"> these are directed towards the development of their students, and these methods can be backed by evidence, then their personal endeavour is a worthy and valuable one.</w:t>
      </w:r>
    </w:p>
    <w:p w14:paraId="374320BA" w14:textId="77777777" w:rsidR="00EF3901" w:rsidRDefault="00EF3901" w:rsidP="00EA3B36"/>
    <w:p w14:paraId="57755A05" w14:textId="77777777" w:rsidR="00EF3901" w:rsidRDefault="00EF3901" w:rsidP="00EA3B36"/>
    <w:p w14:paraId="6C505070" w14:textId="77777777" w:rsidR="00EF3901" w:rsidRDefault="00EF3901" w:rsidP="00EA3B36"/>
    <w:p w14:paraId="5542E2E9" w14:textId="77777777" w:rsidR="00BF714C" w:rsidRDefault="00BF714C" w:rsidP="00EA3B36"/>
    <w:p w14:paraId="0228B5A5" w14:textId="77777777" w:rsidR="00BF714C" w:rsidRDefault="00BF714C" w:rsidP="00EA3B36"/>
    <w:p w14:paraId="52C7ED07" w14:textId="77777777" w:rsidR="00BF714C" w:rsidRDefault="00BF714C" w:rsidP="00EA3B36"/>
    <w:p w14:paraId="6E51C0D6" w14:textId="77777777" w:rsidR="00BF714C" w:rsidRDefault="00BF714C" w:rsidP="00EA3B36"/>
    <w:p w14:paraId="6176A025" w14:textId="77777777" w:rsidR="00BF714C" w:rsidRDefault="00BF714C" w:rsidP="00EA3B36"/>
    <w:p w14:paraId="29D660FD" w14:textId="77777777" w:rsidR="00BF714C" w:rsidRDefault="00BF714C" w:rsidP="00EA3B36"/>
    <w:p w14:paraId="41484ABF" w14:textId="77777777" w:rsidR="00BF714C" w:rsidRDefault="00BF714C" w:rsidP="00EA3B36"/>
    <w:p w14:paraId="74B4D1F1" w14:textId="77777777" w:rsidR="00BF714C" w:rsidRDefault="00BF714C" w:rsidP="00EA3B36"/>
    <w:p w14:paraId="5410513E" w14:textId="77777777" w:rsidR="00BF714C" w:rsidRDefault="00BF714C" w:rsidP="00EA3B36"/>
    <w:p w14:paraId="39EBEDFF" w14:textId="77777777" w:rsidR="00BF714C" w:rsidRDefault="00BF714C" w:rsidP="00EA3B36"/>
    <w:p w14:paraId="0C675D50" w14:textId="77777777" w:rsidR="00BF714C" w:rsidRDefault="00BF714C" w:rsidP="00EA3B36"/>
    <w:p w14:paraId="634E9CEC" w14:textId="315E6234" w:rsidR="00EF3901" w:rsidRDefault="00EF3901" w:rsidP="00EF3901">
      <w:pPr>
        <w:jc w:val="center"/>
        <w:rPr>
          <w:u w:val="single"/>
        </w:rPr>
      </w:pPr>
      <w:r>
        <w:rPr>
          <w:u w:val="single"/>
        </w:rPr>
        <w:t>Reference List:</w:t>
      </w:r>
    </w:p>
    <w:p w14:paraId="12947B3C" w14:textId="3E12E1D8" w:rsidR="00206711" w:rsidRDefault="00BF714C" w:rsidP="00206711">
      <w:r>
        <w:t xml:space="preserve">Albert, D., </w:t>
      </w:r>
      <w:proofErr w:type="spellStart"/>
      <w:r>
        <w:t>Chein</w:t>
      </w:r>
      <w:proofErr w:type="spellEnd"/>
      <w:r>
        <w:t>, J., Steinburg, L. (2013) ‘</w:t>
      </w:r>
      <w:r w:rsidRPr="00791D43">
        <w:t>The Teenage Brain: Peer Influences on Adolescent Decision Making</w:t>
      </w:r>
      <w:r>
        <w:t xml:space="preserve">’, </w:t>
      </w:r>
      <w:r w:rsidRPr="00791D43">
        <w:rPr>
          <w:i/>
          <w:iCs/>
        </w:rPr>
        <w:t>Current Directions in Psychological Science</w:t>
      </w:r>
      <w:r>
        <w:t>, 22(2), pp. 114-120</w:t>
      </w:r>
    </w:p>
    <w:p w14:paraId="10E3BDE6" w14:textId="25F83FB7" w:rsidR="00206711" w:rsidRDefault="00206711" w:rsidP="00206711">
      <w:r w:rsidRPr="00C30961">
        <w:t xml:space="preserve">Binder, C. </w:t>
      </w:r>
      <w:r>
        <w:t>(</w:t>
      </w:r>
      <w:r w:rsidRPr="00C30961">
        <w:t>2019</w:t>
      </w:r>
      <w:r>
        <w:t>)</w:t>
      </w:r>
      <w:r w:rsidRPr="00C30961">
        <w:t xml:space="preserve"> </w:t>
      </w:r>
      <w:r>
        <w:t>‘</w:t>
      </w:r>
      <w:r w:rsidRPr="00C30961">
        <w:t>Redistribution and the Individualism–Collectivism Dimension of Culture.</w:t>
      </w:r>
      <w:r>
        <w:t>’</w:t>
      </w:r>
      <w:r w:rsidRPr="00C30961">
        <w:t xml:space="preserve"> Social Indicators Research, 142</w:t>
      </w:r>
      <w:r>
        <w:t>(</w:t>
      </w:r>
      <w:r w:rsidRPr="00C30961">
        <w:t>3</w:t>
      </w:r>
      <w:r>
        <w:t>)</w:t>
      </w:r>
      <w:r w:rsidRPr="00C30961">
        <w:t xml:space="preserve">, pp. 1175–92. </w:t>
      </w:r>
    </w:p>
    <w:p w14:paraId="6CEB13B1" w14:textId="115F5D8C" w:rsidR="00206711" w:rsidRDefault="00206711" w:rsidP="00EF3901">
      <w:r>
        <w:t xml:space="preserve">Blad, E. (2019) </w:t>
      </w:r>
      <w:r w:rsidRPr="00C06155">
        <w:rPr>
          <w:i/>
          <w:iCs/>
        </w:rPr>
        <w:t>Classroom Karma: Positive Teaching, Positive Behaviour, Positive Learning</w:t>
      </w:r>
      <w:r>
        <w:t>, (</w:t>
      </w:r>
      <w:r w:rsidRPr="00C06155">
        <w:t>London: David Fulton Publishers</w:t>
      </w:r>
      <w:r>
        <w:t>)</w:t>
      </w:r>
    </w:p>
    <w:p w14:paraId="551B55D3" w14:textId="4DBD3754" w:rsidR="00206711" w:rsidRPr="00206711" w:rsidRDefault="00206711" w:rsidP="00206711">
      <w:r>
        <w:t>Buck, G. (1992) ‘</w:t>
      </w:r>
      <w:r w:rsidRPr="001D290E">
        <w:t>Classroom Management and the Disruptive Child</w:t>
      </w:r>
      <w:r>
        <w:t xml:space="preserve">’, </w:t>
      </w:r>
      <w:r>
        <w:rPr>
          <w:i/>
          <w:iCs/>
        </w:rPr>
        <w:t>Music Educators Journal,</w:t>
      </w:r>
      <w:r>
        <w:t xml:space="preserve"> 79(3), </w:t>
      </w:r>
      <w:r w:rsidRPr="001C773B">
        <w:t>pp. 36-42</w:t>
      </w:r>
    </w:p>
    <w:p w14:paraId="3769136F" w14:textId="5B49A0CA" w:rsidR="00206711" w:rsidRDefault="00206711" w:rsidP="00EF3901">
      <w:r>
        <w:t>Condorcet, M. (1795)</w:t>
      </w:r>
      <w:r w:rsidR="00BF714C">
        <w:rPr>
          <w:i/>
          <w:iCs/>
        </w:rPr>
        <w:t xml:space="preserve"> Outlines of a Historical View on the</w:t>
      </w:r>
      <w:r w:rsidRPr="000F796A">
        <w:rPr>
          <w:i/>
          <w:iCs/>
        </w:rPr>
        <w:t xml:space="preserve"> Progress of the Human Mind</w:t>
      </w:r>
      <w:r>
        <w:rPr>
          <w:i/>
          <w:iCs/>
        </w:rPr>
        <w:t xml:space="preserve"> </w:t>
      </w:r>
      <w:r>
        <w:t>&lt;</w:t>
      </w:r>
      <w:hyperlink r:id="rId7" w:history="1">
        <w:r w:rsidRPr="00757DF0">
          <w:rPr>
            <w:rStyle w:val="Hyperlink"/>
          </w:rPr>
          <w:t>https://www.sas.upenn.edu/~cavitch/pdf-library/Condorcet_Future_Progress.pdf</w:t>
        </w:r>
      </w:hyperlink>
      <w:r>
        <w:t xml:space="preserve">&gt; </w:t>
      </w:r>
    </w:p>
    <w:p w14:paraId="5A3D483F" w14:textId="14D8D4D6" w:rsidR="00BF714C" w:rsidRDefault="00BF714C" w:rsidP="00EF3901">
      <w:proofErr w:type="spellStart"/>
      <w:r w:rsidRPr="003510A2">
        <w:t>Domjan</w:t>
      </w:r>
      <w:proofErr w:type="spellEnd"/>
      <w:r>
        <w:t xml:space="preserve">, M. (2023) </w:t>
      </w:r>
      <w:r w:rsidRPr="003510A2">
        <w:rPr>
          <w:i/>
          <w:iCs/>
        </w:rPr>
        <w:t>The Essentials of Conditioning and Learning</w:t>
      </w:r>
      <w:r>
        <w:t xml:space="preserve"> (Washington: </w:t>
      </w:r>
      <w:r w:rsidRPr="003510A2">
        <w:t>American Psychological Association</w:t>
      </w:r>
      <w:r>
        <w:t>)</w:t>
      </w:r>
    </w:p>
    <w:p w14:paraId="15BF0702" w14:textId="5D69CC83" w:rsidR="00BF714C" w:rsidRPr="00BF714C" w:rsidRDefault="00BF714C" w:rsidP="00BF714C">
      <w:r>
        <w:t>Ecclestone, K. and Hayes, D. (2009) ‘</w:t>
      </w:r>
      <w:r w:rsidRPr="006B5A02">
        <w:t>Changing the subject: the educational implications of developing emotional well-being</w:t>
      </w:r>
      <w:r>
        <w:t xml:space="preserve">’, </w:t>
      </w:r>
      <w:r w:rsidRPr="006B5A02">
        <w:rPr>
          <w:i/>
          <w:iCs/>
        </w:rPr>
        <w:t>Oxford Review of Education</w:t>
      </w:r>
      <w:r>
        <w:t>, 35(3), pp. 371-389</w:t>
      </w:r>
    </w:p>
    <w:p w14:paraId="5C7C94F1" w14:textId="77777777" w:rsidR="00BF714C" w:rsidRDefault="00BF714C" w:rsidP="00BF714C">
      <w:r>
        <w:t>Evans, J. (2008) ‘</w:t>
      </w:r>
      <w:r w:rsidRPr="00FF2E62">
        <w:t>Teaching happiness: the classes in wellbeing that are helping our children</w:t>
      </w:r>
      <w:r>
        <w:t xml:space="preserve">’, </w:t>
      </w:r>
      <w:r>
        <w:rPr>
          <w:i/>
          <w:iCs/>
        </w:rPr>
        <w:t xml:space="preserve">The Sunday Times </w:t>
      </w:r>
      <w:r>
        <w:t>(18 February 2008)</w:t>
      </w:r>
    </w:p>
    <w:p w14:paraId="7B3A00FB" w14:textId="2091C10E" w:rsidR="00BF714C" w:rsidRDefault="00BF714C" w:rsidP="00EF3901">
      <w:r>
        <w:t xml:space="preserve">Faris, R. and </w:t>
      </w:r>
      <w:proofErr w:type="spellStart"/>
      <w:r>
        <w:t>Felmlee</w:t>
      </w:r>
      <w:proofErr w:type="spellEnd"/>
      <w:r>
        <w:t xml:space="preserve">, D. (2014) ‘Casualties of Social Combat: School Networks of Peer Victimization and Their Consequences’, </w:t>
      </w:r>
      <w:r>
        <w:rPr>
          <w:i/>
          <w:iCs/>
        </w:rPr>
        <w:t>American Sociological Review</w:t>
      </w:r>
      <w:r>
        <w:t>, 79(2), pp. 228-257</w:t>
      </w:r>
    </w:p>
    <w:p w14:paraId="3CB1AFED" w14:textId="77777777" w:rsidR="00206711" w:rsidRDefault="00206711" w:rsidP="00206711">
      <w:r>
        <w:t>Gregory, A. and Fergus, E. (2017) ‘</w:t>
      </w:r>
      <w:r w:rsidRPr="00376BC3">
        <w:t>Social and Emotional Learning and Equity in School Discipline</w:t>
      </w:r>
      <w:r>
        <w:t xml:space="preserve">’, </w:t>
      </w:r>
      <w:r w:rsidRPr="00376BC3">
        <w:rPr>
          <w:i/>
          <w:iCs/>
        </w:rPr>
        <w:t>The Future of Children</w:t>
      </w:r>
      <w:r>
        <w:t>, 27(1), pp. 117-136</w:t>
      </w:r>
    </w:p>
    <w:p w14:paraId="5B081C34" w14:textId="77777777" w:rsidR="00206711" w:rsidRDefault="00206711" w:rsidP="00206711">
      <w:r>
        <w:t xml:space="preserve">Galton, M. (2009) ‘One Big Family? Promoting Harmony and Resilience’, </w:t>
      </w:r>
      <w:r>
        <w:rPr>
          <w:i/>
          <w:iCs/>
        </w:rPr>
        <w:t>Motivating your Secondary Class</w:t>
      </w:r>
      <w:r>
        <w:t xml:space="preserve">, Maurice Galton, Susan Steward, Linda Hargreaves, Charlotte </w:t>
      </w:r>
      <w:proofErr w:type="gramStart"/>
      <w:r>
        <w:t>Page</w:t>
      </w:r>
      <w:proofErr w:type="gramEnd"/>
      <w:r>
        <w:t xml:space="preserve"> and Anthony Pell (London: Sage), pp. 151- 174</w:t>
      </w:r>
    </w:p>
    <w:p w14:paraId="1F6476FB" w14:textId="77777777" w:rsidR="00206711" w:rsidRDefault="00206711" w:rsidP="00206711">
      <w:r>
        <w:t xml:space="preserve">Galton, M. (2009) ‘Initial Encounters: Moving to Secondary Schools’, </w:t>
      </w:r>
      <w:r>
        <w:rPr>
          <w:i/>
          <w:iCs/>
        </w:rPr>
        <w:t>Motivating your Secondary Class</w:t>
      </w:r>
      <w:r>
        <w:t xml:space="preserve">, Maurice Galton, Susan Steward, Linda Hargreaves, Charlotte </w:t>
      </w:r>
      <w:proofErr w:type="gramStart"/>
      <w:r>
        <w:t>Page</w:t>
      </w:r>
      <w:proofErr w:type="gramEnd"/>
      <w:r>
        <w:t xml:space="preserve"> and Anthony Pell (London: Sage), pp. 37-59</w:t>
      </w:r>
    </w:p>
    <w:p w14:paraId="71FC2DA5" w14:textId="4F31147C" w:rsidR="00206711" w:rsidRDefault="00206711" w:rsidP="00206711">
      <w:r>
        <w:t xml:space="preserve">Galton, M. (2009) ‘Working Together – Learning Together: Cooperative Working in the Classroom’, </w:t>
      </w:r>
      <w:r>
        <w:rPr>
          <w:i/>
          <w:iCs/>
        </w:rPr>
        <w:t>Motivating your Secondary Class</w:t>
      </w:r>
      <w:r>
        <w:t xml:space="preserve">, Maurice Galton, Susan Steward, Linda Hargreaves, Charlotte </w:t>
      </w:r>
      <w:proofErr w:type="gramStart"/>
      <w:r>
        <w:t>Page</w:t>
      </w:r>
      <w:proofErr w:type="gramEnd"/>
      <w:r>
        <w:t xml:space="preserve"> and Anthony Pell (London: Sage), pp. 60-79</w:t>
      </w:r>
    </w:p>
    <w:p w14:paraId="7ACAEF4A" w14:textId="11AA2F43" w:rsidR="00BB08DE" w:rsidRDefault="00BB08DE" w:rsidP="00206711">
      <w:r>
        <w:t>Gillet, N., Vallerand, R. and Lafrenière, M. (2012) ‘</w:t>
      </w:r>
      <w:r w:rsidRPr="00574505">
        <w:t>Intrinsic and extrinsic school motivation as a function of age: the mediating role of autonomy support</w:t>
      </w:r>
      <w:r>
        <w:t xml:space="preserve">’, </w:t>
      </w:r>
      <w:r w:rsidRPr="00BF2251">
        <w:rPr>
          <w:i/>
          <w:iCs/>
        </w:rPr>
        <w:t>Social Psychology of Education</w:t>
      </w:r>
      <w:r>
        <w:t>, 15(1), pp. 77-95</w:t>
      </w:r>
    </w:p>
    <w:p w14:paraId="727009B3" w14:textId="77777777" w:rsidR="00206711" w:rsidRDefault="00206711" w:rsidP="00206711">
      <w:r w:rsidRPr="004B4E88">
        <w:t>Huang</w:t>
      </w:r>
      <w:r>
        <w:t>, Y. (2021) ‘</w:t>
      </w:r>
      <w:r w:rsidRPr="000F41AB">
        <w:t>Comparison and Contrast of Piaget and Vygotsky's Theories</w:t>
      </w:r>
      <w:r>
        <w:t xml:space="preserve">’, </w:t>
      </w:r>
      <w:r w:rsidRPr="000F41AB">
        <w:rPr>
          <w:i/>
          <w:iCs/>
        </w:rPr>
        <w:t>Advances in Social Science, Education and Humanities Research</w:t>
      </w:r>
      <w:r>
        <w:t>, 554, pp. 28-32</w:t>
      </w:r>
    </w:p>
    <w:p w14:paraId="0568C544" w14:textId="68D9FBDC" w:rsidR="00206711" w:rsidRPr="00206711" w:rsidRDefault="00206711" w:rsidP="00206711">
      <w:pPr>
        <w:rPr>
          <w:color w:val="000000"/>
        </w:rPr>
      </w:pPr>
      <w:r>
        <w:rPr>
          <w:color w:val="000000"/>
        </w:rPr>
        <w:t>Marske, C. (1987) ‘Durkheim’s “Cult of the Individual” and the Moral Reconstitution of Society.”</w:t>
      </w:r>
      <w:r>
        <w:rPr>
          <w:rStyle w:val="apple-converted-space"/>
          <w:color w:val="000000"/>
        </w:rPr>
        <w:t> </w:t>
      </w:r>
      <w:r>
        <w:rPr>
          <w:i/>
          <w:iCs/>
          <w:color w:val="000000"/>
        </w:rPr>
        <w:t>Sociological Theory</w:t>
      </w:r>
      <w:r>
        <w:rPr>
          <w:color w:val="000000"/>
        </w:rPr>
        <w:t>, 5(1), pp. 1–14</w:t>
      </w:r>
    </w:p>
    <w:p w14:paraId="72C502F5" w14:textId="77777777" w:rsidR="00206711" w:rsidRDefault="00206711" w:rsidP="00206711">
      <w:proofErr w:type="spellStart"/>
      <w:r>
        <w:t>Omelicheva</w:t>
      </w:r>
      <w:proofErr w:type="spellEnd"/>
      <w:r>
        <w:t xml:space="preserve">, M. and </w:t>
      </w:r>
      <w:proofErr w:type="spellStart"/>
      <w:r>
        <w:t>Avdeyeva</w:t>
      </w:r>
      <w:proofErr w:type="spellEnd"/>
      <w:r>
        <w:t>, O. (2008) ‘</w:t>
      </w:r>
      <w:r w:rsidRPr="00147AD9">
        <w:t>Teaching with Lecture or Debate? Testing the Effectiveness of Traditional versus Active Learning Methods of Instruction</w:t>
      </w:r>
      <w:r>
        <w:t xml:space="preserve">’, </w:t>
      </w:r>
      <w:r w:rsidRPr="00147AD9">
        <w:rPr>
          <w:i/>
          <w:iCs/>
        </w:rPr>
        <w:t>PS: Political Science and Politics</w:t>
      </w:r>
      <w:r>
        <w:t>, 41(3), pp. 603-607</w:t>
      </w:r>
    </w:p>
    <w:p w14:paraId="0122FEEE" w14:textId="77777777" w:rsidR="00206711" w:rsidRDefault="00206711" w:rsidP="00206711">
      <w:r>
        <w:lastRenderedPageBreak/>
        <w:t xml:space="preserve">Pell, T. (2009) ‘Is There a Crisis in the Lower Secondary School?’, </w:t>
      </w:r>
      <w:r>
        <w:rPr>
          <w:i/>
          <w:iCs/>
        </w:rPr>
        <w:t>Motivating your Secondary Class</w:t>
      </w:r>
      <w:r>
        <w:t xml:space="preserve">, Maurice Galton, Susan Steward, Linda Hargreaves, Charlotte </w:t>
      </w:r>
      <w:proofErr w:type="gramStart"/>
      <w:r>
        <w:t>Page</w:t>
      </w:r>
      <w:proofErr w:type="gramEnd"/>
      <w:r>
        <w:t xml:space="preserve"> and Anthony Pell (London: Sage), pp. 1-36</w:t>
      </w:r>
    </w:p>
    <w:p w14:paraId="75B3DDBB" w14:textId="5BCBEF9E" w:rsidR="00BF714C" w:rsidRDefault="00206711" w:rsidP="00BF714C">
      <w:proofErr w:type="spellStart"/>
      <w:r w:rsidRPr="004F2E8E">
        <w:t>Razran</w:t>
      </w:r>
      <w:proofErr w:type="spellEnd"/>
      <w:r>
        <w:t>, G. (1955) ‘</w:t>
      </w:r>
      <w:r w:rsidRPr="004F2E8E">
        <w:t>Operant vs. Classical Conditioning</w:t>
      </w:r>
      <w:r>
        <w:t xml:space="preserve">’, </w:t>
      </w:r>
      <w:r w:rsidRPr="004F2E8E">
        <w:rPr>
          <w:i/>
          <w:iCs/>
        </w:rPr>
        <w:t>The American Journal of Psychology</w:t>
      </w:r>
      <w:r>
        <w:t>, 68(3), pp. 489-490</w:t>
      </w:r>
    </w:p>
    <w:p w14:paraId="1A4C21A8" w14:textId="2367AFB1" w:rsidR="00BF714C" w:rsidRDefault="00BF714C" w:rsidP="00206711">
      <w:proofErr w:type="spellStart"/>
      <w:r>
        <w:rPr>
          <w:rFonts w:ascii="Calibri" w:hAnsi="Calibri" w:cs="Calibri"/>
          <w:color w:val="000000" w:themeColor="text1"/>
          <w:spacing w:val="-5"/>
        </w:rPr>
        <w:t>Rotberg</w:t>
      </w:r>
      <w:proofErr w:type="spellEnd"/>
      <w:r>
        <w:rPr>
          <w:rFonts w:ascii="Calibri" w:hAnsi="Calibri" w:cs="Calibri"/>
          <w:color w:val="000000" w:themeColor="text1"/>
          <w:spacing w:val="-5"/>
        </w:rPr>
        <w:t>, J. (1973</w:t>
      </w:r>
      <w:proofErr w:type="gramStart"/>
      <w:r>
        <w:rPr>
          <w:rFonts w:ascii="Calibri" w:hAnsi="Calibri" w:cs="Calibri"/>
          <w:color w:val="000000" w:themeColor="text1"/>
          <w:spacing w:val="-5"/>
        </w:rPr>
        <w:t xml:space="preserve">)  </w:t>
      </w:r>
      <w:r>
        <w:t>‘</w:t>
      </w:r>
      <w:proofErr w:type="gramEnd"/>
      <w:r w:rsidRPr="008C4E8F">
        <w:t>Punishment in the Classroom</w:t>
      </w:r>
      <w:r>
        <w:t xml:space="preserve">’, </w:t>
      </w:r>
      <w:r w:rsidRPr="008C4E8F">
        <w:rPr>
          <w:i/>
          <w:iCs/>
        </w:rPr>
        <w:t>Education and Training of the Mentally Retarded</w:t>
      </w:r>
      <w:r>
        <w:rPr>
          <w:i/>
          <w:iCs/>
        </w:rPr>
        <w:t>,</w:t>
      </w:r>
      <w:r>
        <w:t xml:space="preserve"> 8(2), pp. 33-36</w:t>
      </w:r>
    </w:p>
    <w:p w14:paraId="6C0EC300" w14:textId="54A663DB" w:rsidR="00BF714C" w:rsidRDefault="00BF714C" w:rsidP="00BF714C">
      <w:pPr>
        <w:rPr>
          <w:color w:val="000000"/>
        </w:rPr>
      </w:pPr>
      <w:r w:rsidRPr="00206711">
        <w:rPr>
          <w:color w:val="000000"/>
        </w:rPr>
        <w:t>Seligman,</w:t>
      </w:r>
      <w:r>
        <w:rPr>
          <w:color w:val="000000"/>
        </w:rPr>
        <w:t xml:space="preserve"> M., E</w:t>
      </w:r>
      <w:r w:rsidRPr="00206711">
        <w:rPr>
          <w:color w:val="000000"/>
        </w:rPr>
        <w:t>rnst,</w:t>
      </w:r>
      <w:r>
        <w:rPr>
          <w:color w:val="000000"/>
        </w:rPr>
        <w:t xml:space="preserve"> R.,</w:t>
      </w:r>
      <w:r w:rsidRPr="00206711">
        <w:rPr>
          <w:color w:val="000000"/>
        </w:rPr>
        <w:t xml:space="preserve"> Gillham, </w:t>
      </w:r>
      <w:r>
        <w:rPr>
          <w:color w:val="000000"/>
        </w:rPr>
        <w:t xml:space="preserve">J., </w:t>
      </w:r>
      <w:proofErr w:type="spellStart"/>
      <w:r w:rsidRPr="00206711">
        <w:rPr>
          <w:color w:val="000000"/>
        </w:rPr>
        <w:t>Reivich</w:t>
      </w:r>
      <w:proofErr w:type="spellEnd"/>
      <w:r>
        <w:rPr>
          <w:color w:val="000000"/>
        </w:rPr>
        <w:t>, K.</w:t>
      </w:r>
      <w:r w:rsidRPr="00206711">
        <w:rPr>
          <w:color w:val="000000"/>
        </w:rPr>
        <w:t xml:space="preserve"> and Mark </w:t>
      </w:r>
      <w:proofErr w:type="spellStart"/>
      <w:r w:rsidRPr="00206711">
        <w:rPr>
          <w:color w:val="000000"/>
        </w:rPr>
        <w:t>Linkins</w:t>
      </w:r>
      <w:proofErr w:type="spellEnd"/>
      <w:r>
        <w:rPr>
          <w:color w:val="000000"/>
        </w:rPr>
        <w:t xml:space="preserve"> (2009) ‘</w:t>
      </w:r>
      <w:r w:rsidRPr="00206711">
        <w:rPr>
          <w:color w:val="000000"/>
        </w:rPr>
        <w:t>Positive education: positive psychology and classroom interventions</w:t>
      </w:r>
      <w:r>
        <w:rPr>
          <w:color w:val="000000"/>
        </w:rPr>
        <w:t xml:space="preserve">’, </w:t>
      </w:r>
      <w:r w:rsidRPr="00206711">
        <w:rPr>
          <w:i/>
          <w:iCs/>
          <w:color w:val="000000"/>
        </w:rPr>
        <w:t>Oxford Review of Education</w:t>
      </w:r>
      <w:r>
        <w:rPr>
          <w:color w:val="000000"/>
        </w:rPr>
        <w:t xml:space="preserve">, 35(3), pp. </w:t>
      </w:r>
      <w:r w:rsidRPr="00206711">
        <w:rPr>
          <w:color w:val="000000"/>
        </w:rPr>
        <w:t>293-311</w:t>
      </w:r>
    </w:p>
    <w:p w14:paraId="7C313E1E" w14:textId="14567A81" w:rsidR="00BF714C" w:rsidRDefault="00BF714C" w:rsidP="00206711">
      <w:r w:rsidRPr="00791D43">
        <w:t>Somerville</w:t>
      </w:r>
      <w:r>
        <w:t>, L. (2013) ‘</w:t>
      </w:r>
      <w:r w:rsidRPr="00791D43">
        <w:t>The Teenage Brain: Sensitivity to Social Evaluation</w:t>
      </w:r>
      <w:r>
        <w:t xml:space="preserve">’, </w:t>
      </w:r>
      <w:r w:rsidRPr="00791D43">
        <w:rPr>
          <w:i/>
          <w:iCs/>
        </w:rPr>
        <w:t>Current Directions in Psychological Science</w:t>
      </w:r>
      <w:r>
        <w:t>, 22(2), pp. 121-127</w:t>
      </w:r>
    </w:p>
    <w:p w14:paraId="3B6C34BB" w14:textId="5FD27BF9" w:rsidR="00BF714C" w:rsidRDefault="00BF714C" w:rsidP="00206711">
      <w:proofErr w:type="spellStart"/>
      <w:r w:rsidRPr="00734C48">
        <w:t>Trimbur</w:t>
      </w:r>
      <w:proofErr w:type="spellEnd"/>
      <w:r>
        <w:t>, J. (1989) ‘</w:t>
      </w:r>
      <w:r w:rsidRPr="00734C48">
        <w:t>Consensus and Difference in Collaborative Learning</w:t>
      </w:r>
      <w:r>
        <w:t xml:space="preserve">’, </w:t>
      </w:r>
      <w:r w:rsidRPr="00734C48">
        <w:rPr>
          <w:i/>
          <w:iCs/>
        </w:rPr>
        <w:t>College English</w:t>
      </w:r>
      <w:r>
        <w:rPr>
          <w:i/>
          <w:iCs/>
        </w:rPr>
        <w:t>,</w:t>
      </w:r>
      <w:r>
        <w:t xml:space="preserve"> 51(6), pp. 602-616</w:t>
      </w:r>
    </w:p>
    <w:p w14:paraId="679A2A29" w14:textId="4795D280" w:rsidR="00F32BC6" w:rsidRPr="00F32BC6" w:rsidRDefault="00F32BC6" w:rsidP="00206711">
      <w:r>
        <w:t xml:space="preserve">Vygotsky, L. (1997) ‘Readings on the Development of Children’, </w:t>
      </w:r>
      <w:r>
        <w:rPr>
          <w:i/>
          <w:iCs/>
        </w:rPr>
        <w:t>Mind and Society</w:t>
      </w:r>
      <w:r>
        <w:t>, pp. 79-91</w:t>
      </w:r>
    </w:p>
    <w:p w14:paraId="74E916C7" w14:textId="7473903D" w:rsidR="00206711" w:rsidRDefault="00206711" w:rsidP="00206711">
      <w:r>
        <w:t>Wai-shing, L. (2008) ‘</w:t>
      </w:r>
      <w:r w:rsidRPr="008B19F6">
        <w:t>Effective Classroom Management</w:t>
      </w:r>
      <w:r>
        <w:t xml:space="preserve">’, </w:t>
      </w:r>
      <w:r w:rsidRPr="008B19F6">
        <w:rPr>
          <w:i/>
          <w:iCs/>
        </w:rPr>
        <w:t>Classroom Management: Creating a Positive Learning Environment</w:t>
      </w:r>
      <w:r>
        <w:t xml:space="preserve"> (Hong Kong: Hong Kong University Press), pp. 45-62  </w:t>
      </w:r>
    </w:p>
    <w:p w14:paraId="3E2902C9" w14:textId="77777777" w:rsidR="00206711" w:rsidRDefault="00206711" w:rsidP="00206711">
      <w:r>
        <w:t xml:space="preserve">Way, S. (2011) ‘SCHOOL DISCIPLINE AND DISRUPTIVE CLASSROOM BEHAVIOR: The Moderating Effects of Student Perceptions’, </w:t>
      </w:r>
      <w:r w:rsidRPr="007D4537">
        <w:rPr>
          <w:i/>
          <w:iCs/>
        </w:rPr>
        <w:t>The Sociological Quarterly</w:t>
      </w:r>
      <w:r>
        <w:t xml:space="preserve">, 52(3), </w:t>
      </w:r>
      <w:r w:rsidRPr="007D4537">
        <w:t>pp. 346-375</w:t>
      </w:r>
    </w:p>
    <w:p w14:paraId="4CD6341C" w14:textId="77777777" w:rsidR="00206711" w:rsidRDefault="00206711" w:rsidP="00206711">
      <w:proofErr w:type="spellStart"/>
      <w:r>
        <w:t>Wheldall</w:t>
      </w:r>
      <w:proofErr w:type="spellEnd"/>
      <w:r>
        <w:t xml:space="preserve">, K. and Merrett, F. (1989), </w:t>
      </w:r>
      <w:r w:rsidRPr="00714747">
        <w:rPr>
          <w:i/>
          <w:iCs/>
        </w:rPr>
        <w:t>Effective Classroom Behaviour Management: Positive Teaching in the Secondary School</w:t>
      </w:r>
      <w:r>
        <w:t xml:space="preserve"> (London: Paul Chapman Publishing)</w:t>
      </w:r>
    </w:p>
    <w:p w14:paraId="03684BA6" w14:textId="77777777" w:rsidR="00206711" w:rsidRDefault="00206711" w:rsidP="00206711">
      <w:r>
        <w:t xml:space="preserve">Wright, D. (2006) </w:t>
      </w:r>
      <w:r w:rsidRPr="00C06155">
        <w:rPr>
          <w:i/>
          <w:iCs/>
        </w:rPr>
        <w:t>Classroom Karma: Positive Teaching, Positive Behaviour, Positive Learning</w:t>
      </w:r>
      <w:r>
        <w:t xml:space="preserve"> (</w:t>
      </w:r>
      <w:r w:rsidRPr="00C06155">
        <w:t>London: David Fulton Publishers</w:t>
      </w:r>
      <w:r>
        <w:t>)</w:t>
      </w:r>
    </w:p>
    <w:p w14:paraId="00457363" w14:textId="77777777" w:rsidR="00206711" w:rsidRDefault="00206711" w:rsidP="00206711"/>
    <w:p w14:paraId="189AEBBC" w14:textId="77777777" w:rsidR="00206711" w:rsidRDefault="00206711" w:rsidP="00EF3901"/>
    <w:p w14:paraId="298D846E" w14:textId="77777777" w:rsidR="00950704" w:rsidRDefault="00950704" w:rsidP="00EF3901"/>
    <w:p w14:paraId="310028CF" w14:textId="77777777" w:rsidR="00950704" w:rsidRDefault="00950704" w:rsidP="00EF3901"/>
    <w:p w14:paraId="2FB08356" w14:textId="59B94094" w:rsidR="00950704" w:rsidRDefault="00950704" w:rsidP="00EF3901"/>
    <w:p w14:paraId="43AEA7D8" w14:textId="77777777" w:rsidR="00950704" w:rsidRDefault="00950704" w:rsidP="00EF3901"/>
    <w:p w14:paraId="619AE457" w14:textId="77777777" w:rsidR="00950704" w:rsidRDefault="00950704" w:rsidP="00EF3901"/>
    <w:p w14:paraId="673EDE85" w14:textId="77777777" w:rsidR="00950704" w:rsidRDefault="00950704" w:rsidP="00EF3901"/>
    <w:p w14:paraId="72800896" w14:textId="77777777" w:rsidR="00950704" w:rsidRDefault="00950704" w:rsidP="00EF3901"/>
    <w:p w14:paraId="1C1440C3" w14:textId="77777777" w:rsidR="00950704" w:rsidRDefault="00950704" w:rsidP="00EF3901"/>
    <w:p w14:paraId="7572E3B4" w14:textId="77777777" w:rsidR="00950704" w:rsidRDefault="00950704" w:rsidP="00EF3901"/>
    <w:p w14:paraId="494B585A" w14:textId="77777777" w:rsidR="00950704" w:rsidRDefault="00950704" w:rsidP="00EF3901"/>
    <w:p w14:paraId="32F53428" w14:textId="77777777" w:rsidR="00950704" w:rsidRDefault="00950704" w:rsidP="00EF3901"/>
    <w:p w14:paraId="0F07E710" w14:textId="77777777" w:rsidR="00950704" w:rsidRDefault="00950704" w:rsidP="00EF3901"/>
    <w:p w14:paraId="2A8D6B19" w14:textId="77777777" w:rsidR="00950704" w:rsidRDefault="00950704" w:rsidP="00EF3901"/>
    <w:p w14:paraId="09DB6C6C" w14:textId="77777777" w:rsidR="00950704" w:rsidRDefault="00950704" w:rsidP="00EF3901"/>
    <w:p w14:paraId="0F978DE3" w14:textId="77777777" w:rsidR="00950704" w:rsidRDefault="00950704" w:rsidP="00EF3901"/>
    <w:p w14:paraId="3D1F8E18" w14:textId="77777777" w:rsidR="00950704" w:rsidRDefault="00950704" w:rsidP="00EF3901"/>
    <w:p w14:paraId="1E9B30FE" w14:textId="77777777" w:rsidR="00950704" w:rsidRDefault="00950704" w:rsidP="00EF3901"/>
    <w:p w14:paraId="70EED1BF" w14:textId="77777777" w:rsidR="00950704" w:rsidRDefault="00950704" w:rsidP="00EF3901"/>
    <w:p w14:paraId="0E91F24D" w14:textId="77777777" w:rsidR="00950704" w:rsidRDefault="00950704" w:rsidP="00EF3901"/>
    <w:p w14:paraId="492FE47A" w14:textId="77777777" w:rsidR="00950704" w:rsidRDefault="00950704" w:rsidP="00EF3901"/>
    <w:p w14:paraId="023CB5FE" w14:textId="77777777" w:rsidR="00950704" w:rsidRDefault="00950704" w:rsidP="00EF3901"/>
    <w:p w14:paraId="24D1A02D" w14:textId="77777777" w:rsidR="00950704" w:rsidRDefault="00950704" w:rsidP="00EF3901"/>
    <w:p w14:paraId="76FF36AA" w14:textId="77777777" w:rsidR="00BE1DFB" w:rsidRDefault="00BE1DFB" w:rsidP="00EF3901"/>
    <w:p w14:paraId="3A9145E9" w14:textId="77777777" w:rsidR="00BE1DFB" w:rsidRDefault="00BE1DFB" w:rsidP="00EF3901">
      <w:pPr>
        <w:rPr>
          <w:color w:val="000000"/>
        </w:rPr>
      </w:pPr>
    </w:p>
    <w:p w14:paraId="5C7735B5" w14:textId="72C661C5" w:rsidR="00206711" w:rsidRPr="00206711" w:rsidRDefault="00206711" w:rsidP="00EF3901">
      <w:pPr>
        <w:rPr>
          <w:color w:val="000000"/>
        </w:rPr>
      </w:pPr>
    </w:p>
    <w:sectPr w:rsidR="00206711" w:rsidRPr="00206711" w:rsidSect="00FA10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D2FB22" w14:textId="77777777" w:rsidR="00542B5B" w:rsidRDefault="00542B5B" w:rsidP="00E11BB7">
      <w:r>
        <w:separator/>
      </w:r>
    </w:p>
  </w:endnote>
  <w:endnote w:type="continuationSeparator" w:id="0">
    <w:p w14:paraId="61D7795A" w14:textId="77777777" w:rsidR="00542B5B" w:rsidRDefault="00542B5B" w:rsidP="00E11B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2E5F45" w14:textId="77777777" w:rsidR="00542B5B" w:rsidRDefault="00542B5B" w:rsidP="00E11BB7">
      <w:r>
        <w:separator/>
      </w:r>
    </w:p>
  </w:footnote>
  <w:footnote w:type="continuationSeparator" w:id="0">
    <w:p w14:paraId="4EB760E4" w14:textId="77777777" w:rsidR="00542B5B" w:rsidRDefault="00542B5B" w:rsidP="00E11BB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D4ADE"/>
    <w:multiLevelType w:val="hybridMultilevel"/>
    <w:tmpl w:val="808E5842"/>
    <w:lvl w:ilvl="0" w:tplc="AB88073A">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34835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mirrorMargins/>
  <w:proofState w:spelling="clean" w:grammar="clean"/>
  <w:defaultTabStop w:val="720"/>
  <w:evenAndOddHeaders/>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B97"/>
    <w:rsid w:val="0001444E"/>
    <w:rsid w:val="000303ED"/>
    <w:rsid w:val="001B0326"/>
    <w:rsid w:val="001B36B1"/>
    <w:rsid w:val="00206711"/>
    <w:rsid w:val="002C3AC1"/>
    <w:rsid w:val="00357343"/>
    <w:rsid w:val="003C4574"/>
    <w:rsid w:val="003C4A5A"/>
    <w:rsid w:val="003D1270"/>
    <w:rsid w:val="003E2D4A"/>
    <w:rsid w:val="00435F1C"/>
    <w:rsid w:val="00441291"/>
    <w:rsid w:val="00443D11"/>
    <w:rsid w:val="00486698"/>
    <w:rsid w:val="004A6C2E"/>
    <w:rsid w:val="00542B5B"/>
    <w:rsid w:val="00547457"/>
    <w:rsid w:val="0058615A"/>
    <w:rsid w:val="005A22FC"/>
    <w:rsid w:val="005A2A74"/>
    <w:rsid w:val="005F1467"/>
    <w:rsid w:val="005F2849"/>
    <w:rsid w:val="00672F37"/>
    <w:rsid w:val="0070493E"/>
    <w:rsid w:val="0078356A"/>
    <w:rsid w:val="00794D2E"/>
    <w:rsid w:val="007B1269"/>
    <w:rsid w:val="00813C8A"/>
    <w:rsid w:val="008712EA"/>
    <w:rsid w:val="008E163A"/>
    <w:rsid w:val="00950704"/>
    <w:rsid w:val="00974534"/>
    <w:rsid w:val="00981997"/>
    <w:rsid w:val="009B48FF"/>
    <w:rsid w:val="00A05252"/>
    <w:rsid w:val="00A130EE"/>
    <w:rsid w:val="00A654BF"/>
    <w:rsid w:val="00AD0BEF"/>
    <w:rsid w:val="00AD54BF"/>
    <w:rsid w:val="00B0794E"/>
    <w:rsid w:val="00B45B8B"/>
    <w:rsid w:val="00BB08DE"/>
    <w:rsid w:val="00BB2CD7"/>
    <w:rsid w:val="00BE1DFB"/>
    <w:rsid w:val="00BF714C"/>
    <w:rsid w:val="00C81FD9"/>
    <w:rsid w:val="00C84B06"/>
    <w:rsid w:val="00CF5FA8"/>
    <w:rsid w:val="00E11BB7"/>
    <w:rsid w:val="00E44E3C"/>
    <w:rsid w:val="00E50708"/>
    <w:rsid w:val="00E81B97"/>
    <w:rsid w:val="00E95A08"/>
    <w:rsid w:val="00EA3B36"/>
    <w:rsid w:val="00EF3901"/>
    <w:rsid w:val="00F32BC6"/>
    <w:rsid w:val="00F72737"/>
    <w:rsid w:val="00FA1049"/>
    <w:rsid w:val="00FE78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F3FF05"/>
  <w15:chartTrackingRefBased/>
  <w15:docId w15:val="{0F2FF3F4-C8BB-0246-8E7A-5E7F36DC1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1049"/>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11BB7"/>
    <w:rPr>
      <w:sz w:val="20"/>
      <w:szCs w:val="20"/>
    </w:rPr>
  </w:style>
  <w:style w:type="character" w:customStyle="1" w:styleId="FootnoteTextChar">
    <w:name w:val="Footnote Text Char"/>
    <w:basedOn w:val="DefaultParagraphFont"/>
    <w:link w:val="FootnoteText"/>
    <w:uiPriority w:val="99"/>
    <w:semiHidden/>
    <w:rsid w:val="00E11BB7"/>
    <w:rPr>
      <w:rFonts w:eastAsiaTheme="minorEastAsia"/>
      <w:sz w:val="20"/>
      <w:szCs w:val="20"/>
    </w:rPr>
  </w:style>
  <w:style w:type="character" w:styleId="FootnoteReference">
    <w:name w:val="footnote reference"/>
    <w:basedOn w:val="DefaultParagraphFont"/>
    <w:uiPriority w:val="99"/>
    <w:semiHidden/>
    <w:unhideWhenUsed/>
    <w:rsid w:val="00E11BB7"/>
    <w:rPr>
      <w:vertAlign w:val="superscript"/>
    </w:rPr>
  </w:style>
  <w:style w:type="paragraph" w:styleId="ListParagraph">
    <w:name w:val="List Paragraph"/>
    <w:basedOn w:val="Normal"/>
    <w:uiPriority w:val="34"/>
    <w:qFormat/>
    <w:rsid w:val="00974534"/>
    <w:pPr>
      <w:ind w:left="720"/>
      <w:contextualSpacing/>
    </w:pPr>
  </w:style>
  <w:style w:type="character" w:customStyle="1" w:styleId="apple-converted-space">
    <w:name w:val="apple-converted-space"/>
    <w:basedOn w:val="DefaultParagraphFont"/>
    <w:rsid w:val="00BE1DFB"/>
  </w:style>
  <w:style w:type="character" w:styleId="Hyperlink">
    <w:name w:val="Hyperlink"/>
    <w:basedOn w:val="DefaultParagraphFont"/>
    <w:uiPriority w:val="99"/>
    <w:unhideWhenUsed/>
    <w:rsid w:val="00BE1DFB"/>
    <w:rPr>
      <w:color w:val="0563C1" w:themeColor="hyperlink"/>
      <w:u w:val="single"/>
    </w:rPr>
  </w:style>
  <w:style w:type="character" w:styleId="UnresolvedMention">
    <w:name w:val="Unresolved Mention"/>
    <w:basedOn w:val="DefaultParagraphFont"/>
    <w:uiPriority w:val="99"/>
    <w:semiHidden/>
    <w:unhideWhenUsed/>
    <w:rsid w:val="00BE1D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8358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as.upenn.edu/~cavitch/pdf-library/Condorcet_Future_Progress.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376</TotalTime>
  <Pages>10</Pages>
  <Words>4648</Words>
  <Characters>26500</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KING M. (1913520)</dc:creator>
  <cp:keywords/>
  <dc:description/>
  <cp:lastModifiedBy>KING M. (1913520)</cp:lastModifiedBy>
  <cp:revision>10</cp:revision>
  <dcterms:created xsi:type="dcterms:W3CDTF">2023-11-05T13:51:00Z</dcterms:created>
  <dcterms:modified xsi:type="dcterms:W3CDTF">2023-11-06T23:30:00Z</dcterms:modified>
</cp:coreProperties>
</file>