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77812C" w14:textId="77777777" w:rsidR="00D57940" w:rsidRPr="00556B8D" w:rsidRDefault="00D57940" w:rsidP="00D57940">
      <w:pPr>
        <w:jc w:val="center"/>
        <w:rPr>
          <w:rFonts w:ascii="Arial" w:hAnsi="Arial" w:cs="Arial"/>
          <w:sz w:val="72"/>
          <w:szCs w:val="72"/>
        </w:rPr>
      </w:pPr>
      <w:r w:rsidRPr="00556B8D">
        <w:rPr>
          <w:rFonts w:ascii="Arial" w:hAnsi="Arial" w:cs="Arial"/>
          <w:sz w:val="72"/>
          <w:szCs w:val="72"/>
        </w:rPr>
        <w:t>LCLM500</w:t>
      </w:r>
      <w:r>
        <w:rPr>
          <w:rFonts w:ascii="Arial" w:hAnsi="Arial" w:cs="Arial"/>
          <w:sz w:val="72"/>
          <w:szCs w:val="72"/>
        </w:rPr>
        <w:t>5</w:t>
      </w:r>
      <w:r w:rsidRPr="00556B8D">
        <w:rPr>
          <w:rFonts w:ascii="Arial" w:hAnsi="Arial" w:cs="Arial"/>
          <w:sz w:val="72"/>
          <w:szCs w:val="72"/>
        </w:rPr>
        <w:t xml:space="preserve"> – </w:t>
      </w:r>
      <w:r>
        <w:rPr>
          <w:rFonts w:ascii="Arial" w:hAnsi="Arial" w:cs="Arial"/>
          <w:sz w:val="72"/>
          <w:szCs w:val="72"/>
        </w:rPr>
        <w:t>Organisational Culture</w:t>
      </w:r>
    </w:p>
    <w:p w14:paraId="6BA31820" w14:textId="77777777" w:rsidR="00D57940" w:rsidRPr="00556B8D" w:rsidRDefault="00D57940" w:rsidP="00D57940">
      <w:pPr>
        <w:jc w:val="center"/>
        <w:rPr>
          <w:rFonts w:ascii="Arial" w:hAnsi="Arial" w:cs="Arial"/>
          <w:sz w:val="72"/>
          <w:szCs w:val="72"/>
        </w:rPr>
      </w:pPr>
    </w:p>
    <w:p w14:paraId="6AE164BB" w14:textId="7415E539" w:rsidR="00D57940" w:rsidRDefault="00D57940" w:rsidP="00D57940">
      <w:pPr>
        <w:jc w:val="center"/>
        <w:rPr>
          <w:rFonts w:ascii="Arial" w:hAnsi="Arial" w:cs="Arial"/>
          <w:sz w:val="72"/>
          <w:szCs w:val="72"/>
        </w:rPr>
      </w:pPr>
      <w:r w:rsidRPr="007637DB">
        <w:rPr>
          <w:rFonts w:ascii="Arial" w:hAnsi="Arial" w:cs="Arial"/>
          <w:sz w:val="72"/>
          <w:szCs w:val="72"/>
        </w:rPr>
        <w:t xml:space="preserve">Component </w:t>
      </w:r>
      <w:r>
        <w:rPr>
          <w:rFonts w:ascii="Arial" w:hAnsi="Arial" w:cs="Arial"/>
          <w:sz w:val="72"/>
          <w:szCs w:val="72"/>
        </w:rPr>
        <w:t>2</w:t>
      </w:r>
      <w:r>
        <w:rPr>
          <w:rFonts w:ascii="Arial" w:hAnsi="Arial" w:cs="Arial"/>
          <w:sz w:val="72"/>
          <w:szCs w:val="72"/>
        </w:rPr>
        <w:t xml:space="preserve"> </w:t>
      </w:r>
      <w:r w:rsidRPr="007637DB">
        <w:rPr>
          <w:rFonts w:ascii="Arial" w:hAnsi="Arial" w:cs="Arial"/>
          <w:sz w:val="72"/>
          <w:szCs w:val="72"/>
        </w:rPr>
        <w:t xml:space="preserve">- Individual </w:t>
      </w:r>
      <w:r>
        <w:rPr>
          <w:rFonts w:ascii="Arial" w:hAnsi="Arial" w:cs="Arial"/>
          <w:sz w:val="72"/>
          <w:szCs w:val="72"/>
        </w:rPr>
        <w:t xml:space="preserve">Written </w:t>
      </w:r>
      <w:r w:rsidRPr="007637DB">
        <w:rPr>
          <w:rFonts w:ascii="Arial" w:hAnsi="Arial" w:cs="Arial"/>
          <w:sz w:val="72"/>
          <w:szCs w:val="72"/>
        </w:rPr>
        <w:t>Report</w:t>
      </w:r>
    </w:p>
    <w:p w14:paraId="63E2435B" w14:textId="77777777" w:rsidR="00D57940" w:rsidRPr="00556B8D" w:rsidRDefault="00D57940" w:rsidP="00D57940">
      <w:pPr>
        <w:jc w:val="center"/>
        <w:rPr>
          <w:rFonts w:ascii="Arial" w:hAnsi="Arial" w:cs="Arial"/>
          <w:sz w:val="72"/>
          <w:szCs w:val="72"/>
        </w:rPr>
      </w:pPr>
    </w:p>
    <w:p w14:paraId="7A3EE9C6" w14:textId="77777777" w:rsidR="00D57940" w:rsidRPr="00556B8D" w:rsidRDefault="00D57940" w:rsidP="00D57940">
      <w:pPr>
        <w:jc w:val="center"/>
        <w:rPr>
          <w:rFonts w:ascii="Arial" w:hAnsi="Arial" w:cs="Arial"/>
          <w:sz w:val="72"/>
          <w:szCs w:val="72"/>
        </w:rPr>
      </w:pPr>
      <w:r w:rsidRPr="00556B8D">
        <w:rPr>
          <w:rFonts w:ascii="Arial" w:hAnsi="Arial" w:cs="Arial"/>
          <w:sz w:val="72"/>
          <w:szCs w:val="72"/>
        </w:rPr>
        <w:t>L Paige Wallace – Alleyne</w:t>
      </w:r>
    </w:p>
    <w:p w14:paraId="5A9B4A76" w14:textId="77777777" w:rsidR="00D57940" w:rsidRDefault="00D57940" w:rsidP="00D57940">
      <w:pPr>
        <w:jc w:val="center"/>
        <w:rPr>
          <w:rFonts w:ascii="Arial" w:hAnsi="Arial" w:cs="Arial"/>
          <w:sz w:val="72"/>
          <w:szCs w:val="72"/>
        </w:rPr>
      </w:pPr>
      <w:r w:rsidRPr="00556B8D">
        <w:rPr>
          <w:rFonts w:ascii="Arial" w:hAnsi="Arial" w:cs="Arial"/>
          <w:sz w:val="72"/>
          <w:szCs w:val="72"/>
        </w:rPr>
        <w:t>2336338</w:t>
      </w:r>
    </w:p>
    <w:p w14:paraId="128482B0" w14:textId="77777777" w:rsidR="00D57940" w:rsidRDefault="00D57940" w:rsidP="00D57940">
      <w:pPr>
        <w:jc w:val="center"/>
        <w:rPr>
          <w:rFonts w:ascii="Arial" w:hAnsi="Arial" w:cs="Arial"/>
          <w:sz w:val="72"/>
          <w:szCs w:val="72"/>
        </w:rPr>
      </w:pPr>
    </w:p>
    <w:p w14:paraId="00964A0C" w14:textId="77777777" w:rsidR="00D57940" w:rsidRDefault="00D57940" w:rsidP="00D57940">
      <w:pPr>
        <w:jc w:val="center"/>
        <w:rPr>
          <w:rFonts w:ascii="Arial" w:hAnsi="Arial" w:cs="Arial"/>
          <w:sz w:val="48"/>
          <w:szCs w:val="48"/>
        </w:rPr>
      </w:pPr>
      <w:r>
        <w:rPr>
          <w:rFonts w:ascii="Arial" w:hAnsi="Arial" w:cs="Arial"/>
          <w:sz w:val="48"/>
          <w:szCs w:val="48"/>
        </w:rPr>
        <w:t>David Oyebisi</w:t>
      </w:r>
    </w:p>
    <w:p w14:paraId="405FC56D" w14:textId="0FB567F9" w:rsidR="00D57940" w:rsidRPr="00D57940" w:rsidRDefault="00D57940" w:rsidP="00D57940">
      <w:pPr>
        <w:jc w:val="center"/>
        <w:rPr>
          <w:rFonts w:ascii="Arial" w:hAnsi="Arial" w:cs="Arial"/>
          <w:sz w:val="72"/>
          <w:szCs w:val="72"/>
        </w:rPr>
      </w:pPr>
      <w:r>
        <w:rPr>
          <w:rFonts w:ascii="Arial" w:hAnsi="Arial" w:cs="Arial"/>
          <w:sz w:val="48"/>
          <w:szCs w:val="48"/>
        </w:rPr>
        <w:t>Rameses Manalang</w:t>
      </w:r>
    </w:p>
    <w:p w14:paraId="714F712B" w14:textId="77777777" w:rsidR="00D57940" w:rsidRDefault="00D57940" w:rsidP="00D57940">
      <w:pPr>
        <w:pStyle w:val="Heading1"/>
      </w:pPr>
    </w:p>
    <w:p w14:paraId="265FC6D3" w14:textId="77777777" w:rsidR="00D57940" w:rsidRDefault="00D57940" w:rsidP="00D57940">
      <w:pPr>
        <w:pStyle w:val="Heading1"/>
      </w:pPr>
    </w:p>
    <w:p w14:paraId="204A718F" w14:textId="77777777" w:rsidR="00D57940" w:rsidRDefault="00D57940" w:rsidP="00D57940"/>
    <w:p w14:paraId="25FE20A2" w14:textId="77777777" w:rsidR="00D57940" w:rsidRDefault="00D57940" w:rsidP="00D57940"/>
    <w:p w14:paraId="13C47EC6" w14:textId="62F32C7A" w:rsidR="00876292" w:rsidRDefault="00876292" w:rsidP="00D57940">
      <w:pPr>
        <w:pStyle w:val="Heading1"/>
      </w:pPr>
      <w:r w:rsidRPr="00876292">
        <w:lastRenderedPageBreak/>
        <w:t>Task 1: Emotional Intelligence in the Workplace</w:t>
      </w:r>
    </w:p>
    <w:p w14:paraId="7FA8F244" w14:textId="43D66A9A" w:rsidR="00EE0F2D" w:rsidRPr="00C57308" w:rsidRDefault="00EE0F2D" w:rsidP="00C57308">
      <w:pPr>
        <w:spacing w:line="360" w:lineRule="auto"/>
        <w:jc w:val="both"/>
        <w:rPr>
          <w:rFonts w:ascii="Arial" w:hAnsi="Arial" w:cs="Arial"/>
          <w:sz w:val="22"/>
          <w:szCs w:val="22"/>
        </w:rPr>
      </w:pPr>
      <w:r w:rsidRPr="00C57308">
        <w:rPr>
          <w:rFonts w:ascii="Arial" w:hAnsi="Arial" w:cs="Arial"/>
          <w:sz w:val="22"/>
          <w:szCs w:val="22"/>
        </w:rPr>
        <w:t>Emotional intelligence (EI) has become increasingly significant in contemporary organisations because workplace performance depends not only on technical competence, but also on how effectively employees understand and manage emotions. However, EI is a contested construct rather than a single, universally accepted capability. Mayer, Salovey and Caruso’s (2004) Ability Model conceptualises EI as the capacity to perceive, use, understand and regulate emotion, whereas Goleman’s (1998) framework extends it to self-awareness, self-regulation, motivation, empathy and social skills. Bar-On (2006) adopts a broader emotional-social perspective encompassing adaptability, interpersonal functioning, stress management and general mood. Mindfulness complements these capabilities by encouraging non-judgemental attention to present experience, potentially strengthening awareness and emotional regulation, although workplace benefits remain dependent on context and implementation (Good et al., 2016). This section critically evaluates how these perspectives can guide employee behaviour and examines their contribution to performance, collaboration, well-being, communication, conflict management, leadership and decision-making, while recognising conceptual overlap, measurement problems and the danger of treating EI as a universal solution.</w:t>
      </w:r>
    </w:p>
    <w:p w14:paraId="1FC7340D" w14:textId="77777777" w:rsidR="00876292" w:rsidRDefault="00876292" w:rsidP="00C57308">
      <w:pPr>
        <w:spacing w:line="360" w:lineRule="auto"/>
        <w:jc w:val="both"/>
        <w:rPr>
          <w:rFonts w:ascii="Arial" w:hAnsi="Arial" w:cs="Arial"/>
          <w:sz w:val="22"/>
          <w:szCs w:val="22"/>
        </w:rPr>
      </w:pPr>
    </w:p>
    <w:p w14:paraId="544E94CB" w14:textId="57EC5008" w:rsidR="00C57308" w:rsidRPr="00C57308" w:rsidRDefault="00C57308" w:rsidP="00C57308">
      <w:pPr>
        <w:spacing w:line="360" w:lineRule="auto"/>
        <w:jc w:val="both"/>
        <w:rPr>
          <w:rFonts w:ascii="Arial" w:hAnsi="Arial" w:cs="Arial"/>
          <w:sz w:val="22"/>
          <w:szCs w:val="22"/>
        </w:rPr>
      </w:pPr>
      <w:r w:rsidRPr="00C57308">
        <w:rPr>
          <w:rFonts w:ascii="Arial" w:hAnsi="Arial" w:cs="Arial"/>
          <w:sz w:val="22"/>
          <w:szCs w:val="22"/>
        </w:rPr>
        <w:t>The three models do not define precisely the same construct. Mayer, Salovey and Caruso’s (2004) Ability Model offers the narrowest conceptualisation, treating EI as four related abilities: perceiving emotions, using emotions to facilitate thought, understanding emotional meanings and managing emotions. Performance-based assessment reduces reliance on employees rating themselves; however, identifying objectively “correct” responses to complex emotional situations is difficult, and test performance may not represent behaviour under workplace pressure.</w:t>
      </w:r>
    </w:p>
    <w:p w14:paraId="65AF03D0" w14:textId="77777777" w:rsidR="00C57308" w:rsidRPr="00C57308" w:rsidRDefault="00C57308" w:rsidP="00C57308">
      <w:pPr>
        <w:spacing w:line="360" w:lineRule="auto"/>
        <w:jc w:val="both"/>
        <w:rPr>
          <w:rFonts w:ascii="Arial" w:hAnsi="Arial" w:cs="Arial"/>
          <w:sz w:val="22"/>
          <w:szCs w:val="22"/>
        </w:rPr>
      </w:pPr>
      <w:r w:rsidRPr="00C57308">
        <w:rPr>
          <w:rFonts w:ascii="Arial" w:hAnsi="Arial" w:cs="Arial"/>
          <w:sz w:val="22"/>
          <w:szCs w:val="22"/>
        </w:rPr>
        <w:t>Goleman’s (1998) mixed model translates EI into self-awareness, self-regulation, motivation, empathy and social skills. Its accessible structure connects emotional awareness with workplace behaviours such as adapting communication and maintaining relationships. Nevertheless, including motivation and broad social competencies creates overlap with personality, leadership and employability skills. Performance associated with the model therefore cannot automatically be attributed to emotional ability alone. Coronado-Maldonado and Benítez-Márquez (2023) also emphasise that Goleman popularised an adaptation of earlier EI research rather than originating the academic construct.</w:t>
      </w:r>
    </w:p>
    <w:p w14:paraId="06323B20" w14:textId="77777777" w:rsidR="00C57308" w:rsidRPr="00C57308" w:rsidRDefault="00C57308" w:rsidP="00C57308">
      <w:pPr>
        <w:spacing w:line="360" w:lineRule="auto"/>
        <w:jc w:val="both"/>
        <w:rPr>
          <w:rFonts w:ascii="Arial" w:hAnsi="Arial" w:cs="Arial"/>
          <w:sz w:val="22"/>
          <w:szCs w:val="22"/>
        </w:rPr>
      </w:pPr>
      <w:r w:rsidRPr="00C57308">
        <w:rPr>
          <w:rFonts w:ascii="Arial" w:hAnsi="Arial" w:cs="Arial"/>
          <w:sz w:val="22"/>
          <w:szCs w:val="22"/>
        </w:rPr>
        <w:lastRenderedPageBreak/>
        <w:t>Bar-On’s (2006) Emotional-Social Intelligence Model incorporates intrapersonal and interpersonal skills, adaptability, stress management and general mood. Its breadth recognises resilience and adjustment, but risks defining EI so widely that it becomes difficult to distinguish from personality or psychological health. Furthermore, the self-report and observer-report measures commonly associated with mixed models may be distorted by social desirability, inaccurate self-perception or organisational politics.</w:t>
      </w:r>
    </w:p>
    <w:p w14:paraId="5012F811" w14:textId="77777777" w:rsidR="00C57308" w:rsidRPr="00C57308" w:rsidRDefault="00C57308" w:rsidP="00C57308">
      <w:pPr>
        <w:spacing w:line="360" w:lineRule="auto"/>
        <w:jc w:val="both"/>
        <w:rPr>
          <w:rFonts w:ascii="Arial" w:hAnsi="Arial" w:cs="Arial"/>
          <w:sz w:val="22"/>
          <w:szCs w:val="22"/>
        </w:rPr>
      </w:pPr>
      <w:r w:rsidRPr="00C57308">
        <w:rPr>
          <w:rFonts w:ascii="Arial" w:hAnsi="Arial" w:cs="Arial"/>
          <w:sz w:val="22"/>
          <w:szCs w:val="22"/>
        </w:rPr>
        <w:t>The models should therefore be treated as complementary rather than interchangeable. The Ability Model provides greater conceptual precision, whereas the mixed models offer more immediate workplace application. Doğru’s (2022) meta-analysis found positive relationships between ability, self-report and mixed EI and several employee outcomes, but also identified methodological and contextual limitations. Mehler et al. (2024) similarly found that workplace emotional competencies can improve through training, although high heterogeneity and limited study quality reduce certainty. Organisations should therefore select models according to purpose and avoid treating any EI score as a definitive measure of employee capability</w:t>
      </w:r>
    </w:p>
    <w:p w14:paraId="55269C8B" w14:textId="02C37BEC" w:rsidR="00EE0F2D" w:rsidRPr="00C57308" w:rsidRDefault="00EE0F2D" w:rsidP="00C57308">
      <w:pPr>
        <w:spacing w:line="360" w:lineRule="auto"/>
        <w:jc w:val="both"/>
        <w:rPr>
          <w:rFonts w:ascii="Arial" w:hAnsi="Arial" w:cs="Arial"/>
          <w:sz w:val="22"/>
          <w:szCs w:val="22"/>
        </w:rPr>
      </w:pPr>
    </w:p>
    <w:p w14:paraId="1623CFEC" w14:textId="5C9170D2" w:rsidR="00C57308" w:rsidRPr="00C57308" w:rsidRDefault="00C57308" w:rsidP="00C57308">
      <w:pPr>
        <w:spacing w:line="360" w:lineRule="auto"/>
        <w:jc w:val="both"/>
        <w:rPr>
          <w:rFonts w:ascii="Arial" w:hAnsi="Arial" w:cs="Arial"/>
          <w:sz w:val="22"/>
          <w:szCs w:val="22"/>
        </w:rPr>
      </w:pPr>
      <w:r w:rsidRPr="00C57308">
        <w:rPr>
          <w:rFonts w:ascii="Arial" w:hAnsi="Arial" w:cs="Arial"/>
          <w:sz w:val="22"/>
          <w:szCs w:val="22"/>
        </w:rPr>
        <w:t>Applying EI begins with self-awareness: employees identify their emotional state, its cause and its possible influence on behaviour. Recognising anxiety before presenting or irritation following feedback allows an employee to separate emotion from immediate reaction. However, awareness is useful only when it produces appropriate action; repeatedly monitoring feelings without changing behaviour may encourage rumination.</w:t>
      </w:r>
    </w:p>
    <w:p w14:paraId="76EC4E19" w14:textId="77777777" w:rsidR="00C57308" w:rsidRPr="00C57308" w:rsidRDefault="00C57308" w:rsidP="00C57308">
      <w:pPr>
        <w:spacing w:line="360" w:lineRule="auto"/>
        <w:jc w:val="both"/>
        <w:rPr>
          <w:rFonts w:ascii="Arial" w:hAnsi="Arial" w:cs="Arial"/>
          <w:sz w:val="22"/>
          <w:szCs w:val="22"/>
        </w:rPr>
      </w:pPr>
      <w:r w:rsidRPr="00C57308">
        <w:rPr>
          <w:rFonts w:ascii="Arial" w:hAnsi="Arial" w:cs="Arial"/>
          <w:sz w:val="22"/>
          <w:szCs w:val="22"/>
        </w:rPr>
        <w:t>Self-regulation involves pausing, reassessing an emotionally charged situation and responding appropriately. An employee receiving criticism could seek clarification and evaluate the evidence instead of becoming defensive. Regulation does not require suppressing every negative emotion, because respectfully expressed concern may reveal unreasonable workloads, unethical practices or exclusion. Mindful breathing or a brief attentional pause can create space for appraisal, but mindfulness should support rather than replace action on harmful working conditions.</w:t>
      </w:r>
    </w:p>
    <w:p w14:paraId="627D0C37" w14:textId="77777777" w:rsidR="00C57308" w:rsidRPr="00C57308" w:rsidRDefault="00C57308" w:rsidP="00C57308">
      <w:pPr>
        <w:spacing w:line="360" w:lineRule="auto"/>
        <w:jc w:val="both"/>
        <w:rPr>
          <w:rFonts w:ascii="Arial" w:hAnsi="Arial" w:cs="Arial"/>
          <w:sz w:val="22"/>
          <w:szCs w:val="22"/>
        </w:rPr>
      </w:pPr>
      <w:r w:rsidRPr="00C57308">
        <w:rPr>
          <w:rFonts w:ascii="Arial" w:hAnsi="Arial" w:cs="Arial"/>
          <w:sz w:val="22"/>
          <w:szCs w:val="22"/>
        </w:rPr>
        <w:t>Motivation can help employees persist after setbacks by reconnecting tasks with meaningful objectives. Nevertheless, motivation is also shaped by pay, workload, autonomy and managerial support. Treating it solely as an emotional competency could unfairly transfer responsibility for organisational problems to individuals. Bar-On’s emphasis on adaptability and stress management consequently remains relevant, although these capacities also depend on organisational resources.</w:t>
      </w:r>
    </w:p>
    <w:p w14:paraId="724A92FD" w14:textId="77777777" w:rsidR="00C57308" w:rsidRPr="00C57308" w:rsidRDefault="00C57308" w:rsidP="00C57308">
      <w:pPr>
        <w:spacing w:line="360" w:lineRule="auto"/>
        <w:jc w:val="both"/>
        <w:rPr>
          <w:rFonts w:ascii="Arial" w:hAnsi="Arial" w:cs="Arial"/>
          <w:sz w:val="22"/>
          <w:szCs w:val="22"/>
        </w:rPr>
      </w:pPr>
      <w:r w:rsidRPr="00C57308">
        <w:rPr>
          <w:rFonts w:ascii="Arial" w:hAnsi="Arial" w:cs="Arial"/>
          <w:sz w:val="22"/>
          <w:szCs w:val="22"/>
        </w:rPr>
        <w:lastRenderedPageBreak/>
        <w:t>Empathy and social skills extend EI from individual regulation to collaboration. Employees can attend to verbal and non-verbal cues, ask open questions and check their interpretations instead of assuming how colleagues feel. This supports sensitive communication, feedback and stronger relationships. However, empathy must be balanced with professional boundaries: understanding distress does not require excusing harmful conduct. Mehler et al.’s (2024) meta-analysis found moderate improvements following workplace emotional-competency training. Nevertheless, substantial variation and generally limited methodological quality mean organisations should assess observable behavioural change rather than relying only on self-reported improvement.</w:t>
      </w:r>
    </w:p>
    <w:p w14:paraId="2F3B8759" w14:textId="31F5DB2A" w:rsidR="008F4656" w:rsidRPr="00C57308" w:rsidRDefault="008F4656" w:rsidP="00C57308">
      <w:pPr>
        <w:spacing w:line="360" w:lineRule="auto"/>
        <w:jc w:val="both"/>
        <w:rPr>
          <w:rFonts w:ascii="Arial" w:hAnsi="Arial" w:cs="Arial"/>
          <w:sz w:val="22"/>
          <w:szCs w:val="22"/>
        </w:rPr>
      </w:pPr>
    </w:p>
    <w:p w14:paraId="4F473CDD" w14:textId="6E6EC5D5" w:rsidR="007D09A5" w:rsidRPr="00C57308" w:rsidRDefault="007D09A5" w:rsidP="00C57308">
      <w:pPr>
        <w:spacing w:line="360" w:lineRule="auto"/>
        <w:jc w:val="both"/>
        <w:rPr>
          <w:rFonts w:ascii="Arial" w:hAnsi="Arial" w:cs="Arial"/>
          <w:sz w:val="22"/>
          <w:szCs w:val="22"/>
        </w:rPr>
      </w:pPr>
      <w:r w:rsidRPr="00C57308">
        <w:rPr>
          <w:rFonts w:ascii="Arial" w:hAnsi="Arial" w:cs="Arial"/>
          <w:sz w:val="22"/>
          <w:szCs w:val="22"/>
        </w:rPr>
        <w:t>Applying EI begins with self-awareness: employees must identify their emotional state, its cause and its possible influence on behaviour. For example, recognising anxiety before presenting or irritation following critical feedback allows an employee to separate the emotion from the immediate response. This reflects Goleman’s self-awareness component and Mayer, Salovey and Caruso’s ability to perceive emotion. However, awareness is valuable only when it leads to appropriate action; repeatedly monitoring feelings without adjusting behaviour may encourage rumination rather than effectiveness.</w:t>
      </w:r>
    </w:p>
    <w:p w14:paraId="7AF6D3B5" w14:textId="77777777" w:rsidR="007D09A5" w:rsidRPr="00C57308" w:rsidRDefault="007D09A5" w:rsidP="00C57308">
      <w:pPr>
        <w:spacing w:line="360" w:lineRule="auto"/>
        <w:jc w:val="both"/>
        <w:rPr>
          <w:rFonts w:ascii="Arial" w:hAnsi="Arial" w:cs="Arial"/>
          <w:sz w:val="22"/>
          <w:szCs w:val="22"/>
        </w:rPr>
      </w:pPr>
      <w:r w:rsidRPr="00C57308">
        <w:rPr>
          <w:rFonts w:ascii="Arial" w:hAnsi="Arial" w:cs="Arial"/>
          <w:sz w:val="22"/>
          <w:szCs w:val="22"/>
        </w:rPr>
        <w:t>Self-regulation involves pausing, reassessing an emotionally charged situation and selecting behaviour appropriate to organisational goals. An employee receiving unexpected criticism could seek clarification and evaluate the evidence instead of becoming defensive. Regulation does not mean suppressing all negative emotions because respectfully expressed concern may expose unreasonable workloads, unethical practices or exclusion. Mindful breathing or a brief attentional pause can create space for appraisal, but mindfulness should support rather than replace action addressing harmful working conditions.</w:t>
      </w:r>
    </w:p>
    <w:p w14:paraId="6A24B665" w14:textId="77777777" w:rsidR="007D09A5" w:rsidRPr="00C57308" w:rsidRDefault="007D09A5" w:rsidP="00C57308">
      <w:pPr>
        <w:spacing w:line="360" w:lineRule="auto"/>
        <w:jc w:val="both"/>
        <w:rPr>
          <w:rFonts w:ascii="Arial" w:hAnsi="Arial" w:cs="Arial"/>
          <w:sz w:val="22"/>
          <w:szCs w:val="22"/>
        </w:rPr>
      </w:pPr>
      <w:r w:rsidRPr="00C57308">
        <w:rPr>
          <w:rFonts w:ascii="Arial" w:hAnsi="Arial" w:cs="Arial"/>
          <w:sz w:val="22"/>
          <w:szCs w:val="22"/>
        </w:rPr>
        <w:t>Motivation can help employees persist after setbacks by reconnecting tasks with meaningful personal or organisational objectives. Nevertheless, motivation is also shaped by pay, workload, autonomy and managerial support. Presenting it solely as an emotional competency could therefore place unfair responsibility for organisational problems on individuals. Bar-On’s emphasis on adaptability and stress management provides a broader explanation of how employees respond to changing priorities, hybrid working and uncertainty, although these capacities also depend upon organisational resources.</w:t>
      </w:r>
    </w:p>
    <w:p w14:paraId="1D763369" w14:textId="77777777" w:rsidR="007D09A5" w:rsidRPr="00C57308" w:rsidRDefault="007D09A5" w:rsidP="00C57308">
      <w:pPr>
        <w:spacing w:line="360" w:lineRule="auto"/>
        <w:jc w:val="both"/>
        <w:rPr>
          <w:rFonts w:ascii="Arial" w:hAnsi="Arial" w:cs="Arial"/>
          <w:sz w:val="22"/>
          <w:szCs w:val="22"/>
        </w:rPr>
      </w:pPr>
      <w:r w:rsidRPr="00C57308">
        <w:rPr>
          <w:rFonts w:ascii="Arial" w:hAnsi="Arial" w:cs="Arial"/>
          <w:sz w:val="22"/>
          <w:szCs w:val="22"/>
        </w:rPr>
        <w:t xml:space="preserve">Empathy and social skills extend EI from individual regulation to collaboration. Employees can attend to verbal and non-verbal cues, ask open questions and check their interpretations rather than assuming how colleagues feel. This supports culturally sensitive communication, appropriate feedback and stronger relationships. Nevertheless, empathy must be combined </w:t>
      </w:r>
      <w:r w:rsidRPr="00C57308">
        <w:rPr>
          <w:rFonts w:ascii="Arial" w:hAnsi="Arial" w:cs="Arial"/>
          <w:sz w:val="22"/>
          <w:szCs w:val="22"/>
        </w:rPr>
        <w:lastRenderedPageBreak/>
        <w:t>with professional boundaries and objective evidence: understanding someone’s distress does not require excusing harmful conduct or abandoning performance standards. Employees should therefore apply EI as context-sensitive practices rather than a fixed personal quality. Mehler et al.’s (2024) meta-analysis found moderate improvements following workplace emotional-competency training. However, substantial variation between studies and generally limited methodological quality mean organisations should evaluate observable behavioural change rather than relying only on employees’ self-reported improvement.</w:t>
      </w:r>
    </w:p>
    <w:p w14:paraId="296AE2E9" w14:textId="77777777" w:rsidR="00876292" w:rsidRDefault="00876292" w:rsidP="00C57308">
      <w:pPr>
        <w:spacing w:line="360" w:lineRule="auto"/>
        <w:jc w:val="both"/>
        <w:rPr>
          <w:rFonts w:ascii="Arial" w:hAnsi="Arial" w:cs="Arial"/>
          <w:sz w:val="22"/>
          <w:szCs w:val="22"/>
        </w:rPr>
      </w:pPr>
    </w:p>
    <w:p w14:paraId="405902FB" w14:textId="10FBDD71" w:rsidR="007D09A5" w:rsidRPr="00C57308" w:rsidRDefault="007D09A5" w:rsidP="00C57308">
      <w:pPr>
        <w:spacing w:line="360" w:lineRule="auto"/>
        <w:jc w:val="both"/>
        <w:rPr>
          <w:rFonts w:ascii="Arial" w:hAnsi="Arial" w:cs="Arial"/>
          <w:sz w:val="22"/>
          <w:szCs w:val="22"/>
        </w:rPr>
      </w:pPr>
      <w:r w:rsidRPr="00C57308">
        <w:rPr>
          <w:rFonts w:ascii="Arial" w:hAnsi="Arial" w:cs="Arial"/>
          <w:sz w:val="22"/>
          <w:szCs w:val="22"/>
        </w:rPr>
        <w:t>Emotionally intelligent communication requires employees to recognise both the content and emotional meaning of workplace interactions. Active listening, appropriate questioning and checking understanding can reduce ambiguity, while empathy enables feedback to be adapted without avoiding necessary criticism. These practices support collaboration by helping colleagues feel acknowledged and by making it safer to contribute alternative perspectives. Coronado-Maldonado and Benítez-Márquez’s (2023) review associates EI with stronger team attitudes and performance; however, emotionally sensitive communication cannot compensate for unclear responsibilities, information silos or exclusionary organisational cultures.</w:t>
      </w:r>
    </w:p>
    <w:p w14:paraId="31D43A64" w14:textId="77777777" w:rsidR="007D09A5" w:rsidRPr="00C57308" w:rsidRDefault="007D09A5" w:rsidP="00C57308">
      <w:pPr>
        <w:spacing w:line="360" w:lineRule="auto"/>
        <w:jc w:val="both"/>
        <w:rPr>
          <w:rFonts w:ascii="Arial" w:hAnsi="Arial" w:cs="Arial"/>
          <w:sz w:val="22"/>
          <w:szCs w:val="22"/>
        </w:rPr>
      </w:pPr>
      <w:r w:rsidRPr="00C57308">
        <w:rPr>
          <w:rFonts w:ascii="Arial" w:hAnsi="Arial" w:cs="Arial"/>
          <w:sz w:val="22"/>
          <w:szCs w:val="22"/>
        </w:rPr>
        <w:t>During conflict, self-awareness helps employees identify personal triggers, while regulation prevents frustration from becoming aggression, withdrawal or impulsive decision-making. Perspective-taking can distinguish disagreement about a task from perceived personal rejection. Employees can then describe the issue factually, acknowledge different interests and seek an integrating or compromising solution. A recent systematic review concluded that EI-supported conflict management strengthens teamwork and job satisfaction (</w:t>
      </w:r>
      <w:proofErr w:type="spellStart"/>
      <w:r w:rsidRPr="00C57308">
        <w:rPr>
          <w:rFonts w:ascii="Arial" w:hAnsi="Arial" w:cs="Arial"/>
          <w:sz w:val="22"/>
          <w:szCs w:val="22"/>
        </w:rPr>
        <w:t>Woime</w:t>
      </w:r>
      <w:proofErr w:type="spellEnd"/>
      <w:r w:rsidRPr="00C57308">
        <w:rPr>
          <w:rFonts w:ascii="Arial" w:hAnsi="Arial" w:cs="Arial"/>
          <w:sz w:val="22"/>
          <w:szCs w:val="22"/>
        </w:rPr>
        <w:t xml:space="preserve"> and </w:t>
      </w:r>
      <w:proofErr w:type="spellStart"/>
      <w:r w:rsidRPr="00C57308">
        <w:rPr>
          <w:rFonts w:ascii="Arial" w:hAnsi="Arial" w:cs="Arial"/>
          <w:sz w:val="22"/>
          <w:szCs w:val="22"/>
        </w:rPr>
        <w:t>Shato</w:t>
      </w:r>
      <w:proofErr w:type="spellEnd"/>
      <w:r w:rsidRPr="00C57308">
        <w:rPr>
          <w:rFonts w:ascii="Arial" w:hAnsi="Arial" w:cs="Arial"/>
          <w:sz w:val="22"/>
          <w:szCs w:val="22"/>
        </w:rPr>
        <w:t>, 2025). Nevertheless, conflict is not inherently harmful: respectful task disagreement may expose risks and stimulate innovation. Excessive emphasis on harmony could silence legitimate challenge, particularly where power is unequal.</w:t>
      </w:r>
    </w:p>
    <w:p w14:paraId="35D0D4B0" w14:textId="77777777" w:rsidR="007D09A5" w:rsidRPr="00C57308" w:rsidRDefault="007D09A5" w:rsidP="00C57308">
      <w:pPr>
        <w:spacing w:line="360" w:lineRule="auto"/>
        <w:jc w:val="both"/>
        <w:rPr>
          <w:rFonts w:ascii="Arial" w:hAnsi="Arial" w:cs="Arial"/>
          <w:sz w:val="22"/>
          <w:szCs w:val="22"/>
        </w:rPr>
      </w:pPr>
      <w:r w:rsidRPr="00C57308">
        <w:rPr>
          <w:rFonts w:ascii="Arial" w:hAnsi="Arial" w:cs="Arial"/>
          <w:sz w:val="22"/>
          <w:szCs w:val="22"/>
        </w:rPr>
        <w:t>Mindfulness can support conflict management through a deliberate pause before responding and non-judgemental attention while another person speaks. Yet EI may also be used manipulatively to identify vulnerabilities or suppress dissent. Organisations must therefore combine EI with transparent procedures, ethical expectations and formal routes for addressing bullying, discrimination and serious misconduct.</w:t>
      </w:r>
    </w:p>
    <w:p w14:paraId="6C83494C" w14:textId="277C2CEB" w:rsidR="007D09A5" w:rsidRPr="00C57308" w:rsidRDefault="007D09A5" w:rsidP="00C57308">
      <w:pPr>
        <w:spacing w:line="360" w:lineRule="auto"/>
        <w:jc w:val="both"/>
        <w:rPr>
          <w:rFonts w:ascii="Arial" w:hAnsi="Arial" w:cs="Arial"/>
          <w:sz w:val="22"/>
          <w:szCs w:val="22"/>
        </w:rPr>
      </w:pPr>
    </w:p>
    <w:p w14:paraId="0AC631B1" w14:textId="1DC19372" w:rsidR="000C7466" w:rsidRPr="00C57308" w:rsidRDefault="000C7466" w:rsidP="00C57308">
      <w:pPr>
        <w:spacing w:line="360" w:lineRule="auto"/>
        <w:jc w:val="both"/>
        <w:rPr>
          <w:rFonts w:ascii="Arial" w:hAnsi="Arial" w:cs="Arial"/>
          <w:sz w:val="22"/>
          <w:szCs w:val="22"/>
        </w:rPr>
      </w:pPr>
      <w:r w:rsidRPr="00C57308">
        <w:rPr>
          <w:rFonts w:ascii="Arial" w:hAnsi="Arial" w:cs="Arial"/>
          <w:sz w:val="22"/>
          <w:szCs w:val="22"/>
        </w:rPr>
        <w:t xml:space="preserve">EI supports inclusive leadership by helping managers recognise how their tone, behaviour and emotional state affect employees. Self-regulation enables leaders to remain measured during </w:t>
      </w:r>
      <w:r w:rsidRPr="00C57308">
        <w:rPr>
          <w:rFonts w:ascii="Arial" w:hAnsi="Arial" w:cs="Arial"/>
          <w:sz w:val="22"/>
          <w:szCs w:val="22"/>
        </w:rPr>
        <w:lastRenderedPageBreak/>
        <w:t>uncertainty, while empathy helps them adapt support and encourage contributions from employees who might otherwise remain silent. This can strengthen psychological safety, although safety also depends on whether leaders respond fairly when concerns are raised. Coronado-Maldonado and Benítez-Márquez’s (2023) review indicates that emotionally intelligent leadership can improve team behaviour and organisational outcomes, but much of the literature remains context-dependent.</w:t>
      </w:r>
    </w:p>
    <w:p w14:paraId="706D17C8" w14:textId="77777777" w:rsidR="000C7466" w:rsidRPr="00C57308" w:rsidRDefault="000C7466" w:rsidP="00C57308">
      <w:pPr>
        <w:spacing w:line="360" w:lineRule="auto"/>
        <w:jc w:val="both"/>
        <w:rPr>
          <w:rFonts w:ascii="Arial" w:hAnsi="Arial" w:cs="Arial"/>
          <w:sz w:val="22"/>
          <w:szCs w:val="22"/>
        </w:rPr>
      </w:pPr>
      <w:r w:rsidRPr="00C57308">
        <w:rPr>
          <w:rFonts w:ascii="Arial" w:hAnsi="Arial" w:cs="Arial"/>
          <w:sz w:val="22"/>
          <w:szCs w:val="22"/>
        </w:rPr>
        <w:t>In decision-making, emotions provide information about risk, values and stakeholder reactions, yet they may also introduce fear, overconfidence or personal bias. EI allows employees and leaders to identify these influences before combining emotional information with evidence, ethical standards and organisational objectives. A mindful pause can reduce impulsive judgement, particularly under pressure. Nevertheless, empathy should not become favouritism, and emotional confidence should not override specialist evidence. Effective decisions therefore require EI alongside critical reasoning, diverse consultation and accountability. Used in this balanced manner, EI can support humane leadership without being treated as a replacement for professional competence or sound organisational systems.</w:t>
      </w:r>
    </w:p>
    <w:p w14:paraId="1A5FD825" w14:textId="2436549C" w:rsidR="000C7466" w:rsidRDefault="000C7466" w:rsidP="00C57308">
      <w:pPr>
        <w:spacing w:line="360" w:lineRule="auto"/>
        <w:jc w:val="both"/>
        <w:rPr>
          <w:rFonts w:ascii="Arial" w:hAnsi="Arial" w:cs="Arial"/>
          <w:sz w:val="22"/>
          <w:szCs w:val="22"/>
        </w:rPr>
      </w:pPr>
    </w:p>
    <w:p w14:paraId="422EAFEC" w14:textId="77777777" w:rsidR="00876292" w:rsidRDefault="00876292" w:rsidP="00C57308">
      <w:pPr>
        <w:spacing w:line="360" w:lineRule="auto"/>
        <w:jc w:val="both"/>
        <w:rPr>
          <w:rFonts w:ascii="Arial" w:hAnsi="Arial" w:cs="Arial"/>
          <w:sz w:val="22"/>
          <w:szCs w:val="22"/>
        </w:rPr>
      </w:pPr>
    </w:p>
    <w:p w14:paraId="207AB44C" w14:textId="77777777" w:rsidR="00876292" w:rsidRDefault="00876292" w:rsidP="00C57308">
      <w:pPr>
        <w:spacing w:line="360" w:lineRule="auto"/>
        <w:jc w:val="both"/>
        <w:rPr>
          <w:rFonts w:ascii="Arial" w:hAnsi="Arial" w:cs="Arial"/>
          <w:sz w:val="22"/>
          <w:szCs w:val="22"/>
        </w:rPr>
      </w:pPr>
    </w:p>
    <w:p w14:paraId="6916F0EE" w14:textId="77777777" w:rsidR="00876292" w:rsidRDefault="00876292" w:rsidP="00C57308">
      <w:pPr>
        <w:spacing w:line="360" w:lineRule="auto"/>
        <w:jc w:val="both"/>
        <w:rPr>
          <w:rFonts w:ascii="Arial" w:hAnsi="Arial" w:cs="Arial"/>
          <w:sz w:val="22"/>
          <w:szCs w:val="22"/>
        </w:rPr>
      </w:pPr>
    </w:p>
    <w:p w14:paraId="34937C57" w14:textId="77777777" w:rsidR="00876292" w:rsidRDefault="00876292" w:rsidP="00C57308">
      <w:pPr>
        <w:spacing w:line="360" w:lineRule="auto"/>
        <w:jc w:val="both"/>
        <w:rPr>
          <w:rFonts w:ascii="Arial" w:hAnsi="Arial" w:cs="Arial"/>
          <w:sz w:val="22"/>
          <w:szCs w:val="22"/>
        </w:rPr>
      </w:pPr>
    </w:p>
    <w:p w14:paraId="779E7075" w14:textId="77777777" w:rsidR="00876292" w:rsidRDefault="00876292" w:rsidP="00C57308">
      <w:pPr>
        <w:spacing w:line="360" w:lineRule="auto"/>
        <w:jc w:val="both"/>
        <w:rPr>
          <w:rFonts w:ascii="Arial" w:hAnsi="Arial" w:cs="Arial"/>
          <w:sz w:val="22"/>
          <w:szCs w:val="22"/>
        </w:rPr>
      </w:pPr>
    </w:p>
    <w:p w14:paraId="6F0FC5BF" w14:textId="77777777" w:rsidR="00876292" w:rsidRDefault="00876292" w:rsidP="00C57308">
      <w:pPr>
        <w:spacing w:line="360" w:lineRule="auto"/>
        <w:jc w:val="both"/>
        <w:rPr>
          <w:rFonts w:ascii="Arial" w:hAnsi="Arial" w:cs="Arial"/>
          <w:sz w:val="22"/>
          <w:szCs w:val="22"/>
        </w:rPr>
      </w:pPr>
    </w:p>
    <w:p w14:paraId="76E322E0" w14:textId="77777777" w:rsidR="00876292" w:rsidRDefault="00876292" w:rsidP="00C57308">
      <w:pPr>
        <w:spacing w:line="360" w:lineRule="auto"/>
        <w:jc w:val="both"/>
        <w:rPr>
          <w:rFonts w:ascii="Arial" w:hAnsi="Arial" w:cs="Arial"/>
          <w:sz w:val="22"/>
          <w:szCs w:val="22"/>
        </w:rPr>
      </w:pPr>
    </w:p>
    <w:p w14:paraId="4B95F7FE" w14:textId="77777777" w:rsidR="00876292" w:rsidRDefault="00876292" w:rsidP="00C57308">
      <w:pPr>
        <w:spacing w:line="360" w:lineRule="auto"/>
        <w:jc w:val="both"/>
        <w:rPr>
          <w:rFonts w:ascii="Arial" w:hAnsi="Arial" w:cs="Arial"/>
          <w:sz w:val="22"/>
          <w:szCs w:val="22"/>
        </w:rPr>
      </w:pPr>
    </w:p>
    <w:p w14:paraId="63AB5A9D" w14:textId="77777777" w:rsidR="00876292" w:rsidRDefault="00876292" w:rsidP="00C57308">
      <w:pPr>
        <w:spacing w:line="360" w:lineRule="auto"/>
        <w:jc w:val="both"/>
        <w:rPr>
          <w:rFonts w:ascii="Arial" w:hAnsi="Arial" w:cs="Arial"/>
          <w:sz w:val="22"/>
          <w:szCs w:val="22"/>
        </w:rPr>
      </w:pPr>
    </w:p>
    <w:p w14:paraId="4AD9BC6C" w14:textId="77777777" w:rsidR="00876292" w:rsidRDefault="00876292" w:rsidP="00C57308">
      <w:pPr>
        <w:spacing w:line="360" w:lineRule="auto"/>
        <w:jc w:val="both"/>
        <w:rPr>
          <w:rFonts w:ascii="Arial" w:hAnsi="Arial" w:cs="Arial"/>
          <w:sz w:val="22"/>
          <w:szCs w:val="22"/>
        </w:rPr>
      </w:pPr>
    </w:p>
    <w:p w14:paraId="0A626638" w14:textId="77777777" w:rsidR="00876292" w:rsidRDefault="00876292" w:rsidP="00C57308">
      <w:pPr>
        <w:spacing w:line="360" w:lineRule="auto"/>
        <w:jc w:val="both"/>
        <w:rPr>
          <w:rFonts w:ascii="Arial" w:hAnsi="Arial" w:cs="Arial"/>
          <w:sz w:val="22"/>
          <w:szCs w:val="22"/>
        </w:rPr>
      </w:pPr>
    </w:p>
    <w:p w14:paraId="3711BAA5" w14:textId="19E2C259" w:rsidR="00876292" w:rsidRDefault="00D57940" w:rsidP="00D57940">
      <w:pPr>
        <w:pStyle w:val="Heading1"/>
      </w:pPr>
      <w:r>
        <w:lastRenderedPageBreak/>
        <w:t xml:space="preserve">Task 2: </w:t>
      </w:r>
      <w:r w:rsidR="00876292" w:rsidRPr="00876292">
        <w:t>Managing a Multigenerational Workforce</w:t>
      </w:r>
    </w:p>
    <w:p w14:paraId="20EDDDBA" w14:textId="098DF4ED" w:rsidR="00876292" w:rsidRDefault="00876292" w:rsidP="00C57308">
      <w:pPr>
        <w:spacing w:line="360" w:lineRule="auto"/>
        <w:jc w:val="both"/>
        <w:rPr>
          <w:rFonts w:ascii="Arial" w:hAnsi="Arial" w:cs="Arial"/>
          <w:sz w:val="22"/>
          <w:szCs w:val="22"/>
        </w:rPr>
      </w:pPr>
      <w:r w:rsidRPr="00876292">
        <w:rPr>
          <w:rFonts w:ascii="Arial" w:hAnsi="Arial" w:cs="Arial"/>
          <w:sz w:val="22"/>
          <w:szCs w:val="22"/>
        </w:rPr>
        <w:t>Managing a multigenerational workforce requires awareness of potentially different experiences without reducing employees to generational labels. Generation X, Generation Y and Generation Z entered employment under different economic, social and technological conditions and now occupy varied career stages. However, birth-year boundaries are inconsistent, and apparent differences may reflect age, organisational context or historical period rather than stable generational characteristics. Ravid, Costanza and Romero’s (2025) meta-analysis found few systematic, meaningful differences across generations and warned that academic reporting can perpetuate stereotypes despite limited evidence. This section therefore treats reported preferences as tentative prompts for individual dialogue rather than fixed rules. It evaluates values, communication, motivation and technological adaptability before examining how emotionally intelligent and mindful management can support inclusive recruitment, performance and retention.</w:t>
      </w:r>
    </w:p>
    <w:p w14:paraId="3D7266AB" w14:textId="77777777" w:rsidR="00876292" w:rsidRDefault="00876292" w:rsidP="00C57308">
      <w:pPr>
        <w:spacing w:line="360" w:lineRule="auto"/>
        <w:jc w:val="both"/>
        <w:rPr>
          <w:rFonts w:ascii="Arial" w:hAnsi="Arial" w:cs="Arial"/>
          <w:sz w:val="22"/>
          <w:szCs w:val="22"/>
        </w:rPr>
      </w:pPr>
    </w:p>
    <w:p w14:paraId="723EC531" w14:textId="7C2D364C" w:rsidR="00876292" w:rsidRPr="00876292" w:rsidRDefault="00876292" w:rsidP="00876292">
      <w:pPr>
        <w:spacing w:line="360" w:lineRule="auto"/>
        <w:jc w:val="both"/>
        <w:rPr>
          <w:rFonts w:ascii="Arial" w:hAnsi="Arial" w:cs="Arial"/>
          <w:sz w:val="22"/>
          <w:szCs w:val="22"/>
        </w:rPr>
      </w:pPr>
      <w:r w:rsidRPr="00876292">
        <w:rPr>
          <w:rFonts w:ascii="Arial" w:hAnsi="Arial" w:cs="Arial"/>
          <w:sz w:val="22"/>
          <w:szCs w:val="22"/>
        </w:rPr>
        <w:t>Generation X, commonly associated with births from the mid-1960s to around 1980, now largely occupies mid-career and senior roles. Reported preferences include autonomy, job security, direct communication and recognition of accumulated expertise. Having experienced both analogue and digital working, many combine institutional knowledge with technological experience. OECD (2025) data nevertheless show that workers aged 55–65 use advanced ICT skills less frequently than younger employees within comparable occupations. This does not demonstrate inability: access to training, job design and opportunities to use technology also influence proficiency. Managers should therefore avoid equating age with resistance to change.</w:t>
      </w:r>
    </w:p>
    <w:p w14:paraId="6D1FE9D3" w14:textId="77777777" w:rsidR="00876292" w:rsidRPr="00876292" w:rsidRDefault="00876292" w:rsidP="00876292">
      <w:pPr>
        <w:spacing w:line="360" w:lineRule="auto"/>
        <w:jc w:val="both"/>
        <w:rPr>
          <w:rFonts w:ascii="Arial" w:hAnsi="Arial" w:cs="Arial"/>
          <w:sz w:val="22"/>
          <w:szCs w:val="22"/>
        </w:rPr>
      </w:pPr>
      <w:r w:rsidRPr="00876292">
        <w:rPr>
          <w:rFonts w:ascii="Arial" w:hAnsi="Arial" w:cs="Arial"/>
          <w:sz w:val="22"/>
          <w:szCs w:val="22"/>
        </w:rPr>
        <w:t>Generation Y, or Millennials, generally entered employment during rapid internet expansion, globalisation and economic instability. They are frequently associated with collaborative working, digital communication, regular feedback, career development, meaningful work and flexibility. However, Millennials now include experienced professionals and managers whose priorities may have shifted towards financial security, caregiving flexibility and progression. Deloitte’s (2026) global survey reports that Millennials and Gen Z prioritise stability, skills and well-being, illustrating that current economic pressures may shape preferences shared across cohorts rather than proving permanent generational values.</w:t>
      </w:r>
    </w:p>
    <w:p w14:paraId="7C5A3BC2" w14:textId="77777777" w:rsidR="00876292" w:rsidRPr="00876292" w:rsidRDefault="00876292" w:rsidP="00876292">
      <w:pPr>
        <w:spacing w:line="360" w:lineRule="auto"/>
        <w:jc w:val="both"/>
        <w:rPr>
          <w:rFonts w:ascii="Arial" w:hAnsi="Arial" w:cs="Arial"/>
          <w:sz w:val="22"/>
          <w:szCs w:val="22"/>
        </w:rPr>
      </w:pPr>
      <w:r w:rsidRPr="00876292">
        <w:rPr>
          <w:rFonts w:ascii="Arial" w:hAnsi="Arial" w:cs="Arial"/>
          <w:sz w:val="22"/>
          <w:szCs w:val="22"/>
        </w:rPr>
        <w:t xml:space="preserve">Generation Z entered employment amid social media, artificial intelligence, pandemic disruption and heightened living-cost pressures. They may expect accessible technology, rapid information exchange, inclusive culture, transparent progression and stronger well-being </w:t>
      </w:r>
      <w:r w:rsidRPr="00876292">
        <w:rPr>
          <w:rFonts w:ascii="Arial" w:hAnsi="Arial" w:cs="Arial"/>
          <w:sz w:val="22"/>
          <w:szCs w:val="22"/>
        </w:rPr>
        <w:lastRenderedPageBreak/>
        <w:t>boundaries. Although often described as digital natives, familiarity with consumer technology does not guarantee workplace data, cybersecurity or interpersonal communication competence. Structured onboarding and human mentorship therefore remain important.</w:t>
      </w:r>
    </w:p>
    <w:p w14:paraId="7A369193" w14:textId="296E581D" w:rsidR="00876292" w:rsidRDefault="00876292" w:rsidP="00C57308">
      <w:pPr>
        <w:spacing w:line="360" w:lineRule="auto"/>
        <w:jc w:val="both"/>
        <w:rPr>
          <w:rFonts w:ascii="Arial" w:hAnsi="Arial" w:cs="Arial"/>
          <w:sz w:val="22"/>
          <w:szCs w:val="22"/>
        </w:rPr>
      </w:pPr>
      <w:r w:rsidRPr="00876292">
        <w:rPr>
          <w:rFonts w:ascii="Arial" w:hAnsi="Arial" w:cs="Arial"/>
          <w:sz w:val="22"/>
          <w:szCs w:val="22"/>
        </w:rPr>
        <w:t>These profiles indicate possible tendencies, not reliable predictions about individuals. Ravid, Costanza and Romero (2025) found few meaningful generational differences across workplace outcomes, while work-values research identified substantial similarity in basic needs and sustainability-related priorities across cohorts (</w:t>
      </w:r>
      <w:proofErr w:type="spellStart"/>
      <w:r w:rsidRPr="00876292">
        <w:rPr>
          <w:rFonts w:ascii="Arial" w:hAnsi="Arial" w:cs="Arial"/>
          <w:sz w:val="22"/>
          <w:szCs w:val="22"/>
        </w:rPr>
        <w:t>Stiglbauer</w:t>
      </w:r>
      <w:proofErr w:type="spellEnd"/>
      <w:r w:rsidRPr="00876292">
        <w:rPr>
          <w:rFonts w:ascii="Arial" w:hAnsi="Arial" w:cs="Arial"/>
          <w:sz w:val="22"/>
          <w:szCs w:val="22"/>
        </w:rPr>
        <w:t xml:space="preserve">, Penz and </w:t>
      </w:r>
      <w:proofErr w:type="spellStart"/>
      <w:r w:rsidRPr="00876292">
        <w:rPr>
          <w:rFonts w:ascii="Arial" w:hAnsi="Arial" w:cs="Arial"/>
          <w:sz w:val="22"/>
          <w:szCs w:val="22"/>
        </w:rPr>
        <w:t>Batinic</w:t>
      </w:r>
      <w:proofErr w:type="spellEnd"/>
      <w:r w:rsidRPr="00876292">
        <w:rPr>
          <w:rFonts w:ascii="Arial" w:hAnsi="Arial" w:cs="Arial"/>
          <w:sz w:val="22"/>
          <w:szCs w:val="22"/>
        </w:rPr>
        <w:t>, 2022). Managers should consequently investigate employees’ actual preferences, skills and circumstances instead of assigning communication or motivational strategies solely by birth group.</w:t>
      </w:r>
    </w:p>
    <w:p w14:paraId="24953439" w14:textId="77777777" w:rsidR="00850CA4" w:rsidRDefault="00850CA4" w:rsidP="00C57308">
      <w:pPr>
        <w:spacing w:line="360" w:lineRule="auto"/>
        <w:jc w:val="both"/>
        <w:rPr>
          <w:rFonts w:ascii="Arial" w:hAnsi="Arial" w:cs="Arial"/>
          <w:sz w:val="22"/>
          <w:szCs w:val="22"/>
        </w:rPr>
      </w:pPr>
    </w:p>
    <w:p w14:paraId="19D3DC67" w14:textId="3AF7E73E" w:rsidR="00850CA4" w:rsidRPr="00850CA4" w:rsidRDefault="00850CA4" w:rsidP="00850CA4">
      <w:pPr>
        <w:spacing w:line="360" w:lineRule="auto"/>
        <w:jc w:val="both"/>
        <w:rPr>
          <w:rFonts w:ascii="Arial" w:hAnsi="Arial" w:cs="Arial"/>
          <w:sz w:val="22"/>
          <w:szCs w:val="22"/>
        </w:rPr>
      </w:pPr>
      <w:r w:rsidRPr="00850CA4">
        <w:rPr>
          <w:rFonts w:ascii="Arial" w:hAnsi="Arial" w:cs="Arial"/>
          <w:sz w:val="22"/>
          <w:szCs w:val="22"/>
        </w:rPr>
        <w:t xml:space="preserve">A multigenerational workforce can strengthen organisational effectiveness when varied experience is converted into complementary knowledge. Experienced employees may contribute institutional memory, professional networks and risk awareness, while newer entrants may introduce emerging technologies and alternative customer perspectives. Two-way mentoring can therefore protect organisational knowledge while accelerating digital learning. </w:t>
      </w:r>
      <w:proofErr w:type="spellStart"/>
      <w:r w:rsidRPr="00850CA4">
        <w:rPr>
          <w:rFonts w:ascii="Arial" w:hAnsi="Arial" w:cs="Arial"/>
          <w:sz w:val="22"/>
          <w:szCs w:val="22"/>
        </w:rPr>
        <w:t>Pfrombeck</w:t>
      </w:r>
      <w:proofErr w:type="spellEnd"/>
      <w:r w:rsidRPr="00850CA4">
        <w:rPr>
          <w:rFonts w:ascii="Arial" w:hAnsi="Arial" w:cs="Arial"/>
          <w:sz w:val="22"/>
          <w:szCs w:val="22"/>
        </w:rPr>
        <w:t>, Burmeister and Grote (2024) found that older employees’ knowledge-seeking from younger colleagues supported learning and motivation to continue working, although embarrassment weakened some benefits. This demonstrates that psychological climate, rather than age diversity alone, determines whether knowledge is exchanged.</w:t>
      </w:r>
    </w:p>
    <w:p w14:paraId="6FBB0CA5" w14:textId="77777777" w:rsidR="00850CA4" w:rsidRPr="00850CA4" w:rsidRDefault="00850CA4" w:rsidP="00850CA4">
      <w:pPr>
        <w:spacing w:line="360" w:lineRule="auto"/>
        <w:jc w:val="both"/>
        <w:rPr>
          <w:rFonts w:ascii="Arial" w:hAnsi="Arial" w:cs="Arial"/>
          <w:sz w:val="22"/>
          <w:szCs w:val="22"/>
        </w:rPr>
      </w:pPr>
      <w:r w:rsidRPr="00850CA4">
        <w:rPr>
          <w:rFonts w:ascii="Arial" w:hAnsi="Arial" w:cs="Arial"/>
          <w:sz w:val="22"/>
          <w:szCs w:val="22"/>
        </w:rPr>
        <w:t>Conversely, assumptions about preferred communication, work ethic or technological ability can produce mistrust and self-fulfilling conflict. Differences in feedback frequency, channel choice or flexibility needs may delay coordination when expectations remain implicit. Standardising one approach, however, may reduce motivation and exclude employees whose needs arise from disability, caring responsibilities, career stage or job design rather than generation.</w:t>
      </w:r>
    </w:p>
    <w:p w14:paraId="75E0FCBD" w14:textId="77777777" w:rsidR="00850CA4" w:rsidRPr="00850CA4" w:rsidRDefault="00850CA4" w:rsidP="00850CA4">
      <w:pPr>
        <w:spacing w:line="360" w:lineRule="auto"/>
        <w:jc w:val="both"/>
        <w:rPr>
          <w:rFonts w:ascii="Arial" w:hAnsi="Arial" w:cs="Arial"/>
          <w:sz w:val="22"/>
          <w:szCs w:val="22"/>
        </w:rPr>
      </w:pPr>
      <w:r w:rsidRPr="00850CA4">
        <w:rPr>
          <w:rFonts w:ascii="Arial" w:hAnsi="Arial" w:cs="Arial"/>
          <w:sz w:val="22"/>
          <w:szCs w:val="22"/>
        </w:rPr>
        <w:t>Organisational effectiveness therefore depends on combining consistent standards with individual flexibility. Shared objectives, clear responsibilities, accessible technology and multiple communication channels can improve coordination, while reciprocal mentoring supports learning in both directions. Because Ravid, Costanza and Romero (2025) found few meaningful generational effects, performance, recruitment and retention data should be analysed by role and individual circumstances instead of attributing organisational outcomes to generational membership.</w:t>
      </w:r>
    </w:p>
    <w:p w14:paraId="1EB91A9B" w14:textId="662EBA25" w:rsidR="00850CA4" w:rsidRPr="00850CA4" w:rsidRDefault="00850CA4" w:rsidP="00850CA4">
      <w:pPr>
        <w:spacing w:line="360" w:lineRule="auto"/>
        <w:jc w:val="both"/>
        <w:rPr>
          <w:rFonts w:ascii="Arial" w:hAnsi="Arial" w:cs="Arial"/>
          <w:sz w:val="22"/>
          <w:szCs w:val="22"/>
        </w:rPr>
      </w:pPr>
      <w:r w:rsidRPr="00850CA4">
        <w:rPr>
          <w:rFonts w:ascii="Arial" w:hAnsi="Arial" w:cs="Arial"/>
          <w:sz w:val="22"/>
          <w:szCs w:val="22"/>
        </w:rPr>
        <w:lastRenderedPageBreak/>
        <w:t>During recruitment, emotionally intelligent managers should recognise how assumptions about age, communication style or technology may distort judgements. Age-neutral advertisements, skills-based criteria, accessible application routes and structured interviews allow candidates to demonstrate job-relevant competence rather than conformity to a generational image. Mindfulness can support a deliberate pause before selection decisions, helping recruiters notice automatic reactions. However, empathy must not become subjective “culture fit”, which may reproduce similarity bias; scoring, documented evidence and diverse panels remain necessary.</w:t>
      </w:r>
    </w:p>
    <w:p w14:paraId="3E3E7DD5" w14:textId="77777777" w:rsidR="00850CA4" w:rsidRPr="00850CA4" w:rsidRDefault="00850CA4" w:rsidP="00850CA4">
      <w:pPr>
        <w:spacing w:line="360" w:lineRule="auto"/>
        <w:jc w:val="both"/>
        <w:rPr>
          <w:rFonts w:ascii="Arial" w:hAnsi="Arial" w:cs="Arial"/>
          <w:sz w:val="22"/>
          <w:szCs w:val="22"/>
        </w:rPr>
      </w:pPr>
      <w:r w:rsidRPr="00850CA4">
        <w:rPr>
          <w:rFonts w:ascii="Arial" w:hAnsi="Arial" w:cs="Arial"/>
          <w:sz w:val="22"/>
          <w:szCs w:val="22"/>
        </w:rPr>
        <w:t>In day-to-day management, EI enables managers to identify frustration, adapt feedback and discuss preferences without presuming that every Gen X employee wants autonomy or every Gen Z employee wants constant digital contact. Individual check-ins can clarify communication channels, developmental goals, flexibility and support needs. Self-regulation assists managers during intergenerational disagreement, while perspective-taking helps separate genuine performance issues from differences in style. Reciprocal mentoring can pair institutional knowledge with emerging technical skills, but participation should be respectful rather than portraying one group as obsolete and another as inexperienced. Mehler et al. (2024) found moderate improvements from workplace emotional-competency training, although methodological limitations mean behavioural outcomes should be evaluated.</w:t>
      </w:r>
    </w:p>
    <w:p w14:paraId="45D9B320" w14:textId="29A812B5" w:rsidR="00850CA4" w:rsidRDefault="00850CA4" w:rsidP="00C57308">
      <w:pPr>
        <w:spacing w:line="360" w:lineRule="auto"/>
        <w:jc w:val="both"/>
        <w:rPr>
          <w:rFonts w:ascii="Arial" w:hAnsi="Arial" w:cs="Arial"/>
          <w:sz w:val="22"/>
          <w:szCs w:val="22"/>
        </w:rPr>
      </w:pPr>
      <w:r w:rsidRPr="00850CA4">
        <w:rPr>
          <w:rFonts w:ascii="Arial" w:hAnsi="Arial" w:cs="Arial"/>
          <w:sz w:val="22"/>
          <w:szCs w:val="22"/>
        </w:rPr>
        <w:t xml:space="preserve">Retention requires fair pay, transparent progression, learning opportunities, manageable workloads and flexibility across life stages. Deloitte (2026) indicates that skills, stability and well-being are important to Millennials and Gen Z, yet these provisions may also benefit Gen X employees. Managers should therefore offer a flexible range of resources rather than generation-specific packages. Mindful listening can identify disengagement before it becomes resignation, while emotionally intelligent conversations can connect individual goals with meaningful work. </w:t>
      </w:r>
      <w:proofErr w:type="spellStart"/>
      <w:r w:rsidRPr="00850CA4">
        <w:rPr>
          <w:rFonts w:ascii="Arial" w:hAnsi="Arial" w:cs="Arial"/>
          <w:sz w:val="22"/>
          <w:szCs w:val="22"/>
        </w:rPr>
        <w:t>Sentin</w:t>
      </w:r>
      <w:proofErr w:type="spellEnd"/>
      <w:r w:rsidRPr="00850CA4">
        <w:rPr>
          <w:rFonts w:ascii="Arial" w:hAnsi="Arial" w:cs="Arial"/>
          <w:sz w:val="22"/>
          <w:szCs w:val="22"/>
        </w:rPr>
        <w:t xml:space="preserve"> et al. (2025) associated mindfulness with lower perceived stress and improved well-being, but its cross-sectional design cannot establish causality. Consequently, mindfulness initiatives should complement—not replace—adequate staffing, psychological safety and action on discrimination. Used ethically, EI supports personalisation, whereas consistent procedures protect employees from favouritism and stereotyping.</w:t>
      </w:r>
    </w:p>
    <w:p w14:paraId="1BA94064" w14:textId="77777777" w:rsidR="00D57940" w:rsidRDefault="00D57940" w:rsidP="00C57308">
      <w:pPr>
        <w:spacing w:line="360" w:lineRule="auto"/>
        <w:jc w:val="both"/>
        <w:rPr>
          <w:rFonts w:ascii="Arial" w:hAnsi="Arial" w:cs="Arial"/>
          <w:sz w:val="22"/>
          <w:szCs w:val="22"/>
        </w:rPr>
      </w:pPr>
    </w:p>
    <w:p w14:paraId="19F2ADB2" w14:textId="7DE71187" w:rsidR="00D57940" w:rsidRPr="00C57308" w:rsidRDefault="00D57940" w:rsidP="00C57308">
      <w:pPr>
        <w:spacing w:line="360" w:lineRule="auto"/>
        <w:jc w:val="both"/>
        <w:rPr>
          <w:rFonts w:ascii="Arial" w:hAnsi="Arial" w:cs="Arial"/>
          <w:sz w:val="22"/>
          <w:szCs w:val="22"/>
        </w:rPr>
      </w:pPr>
      <w:r w:rsidRPr="00D57940">
        <w:rPr>
          <w:rFonts w:ascii="Arial" w:hAnsi="Arial" w:cs="Arial"/>
          <w:sz w:val="22"/>
          <w:szCs w:val="22"/>
        </w:rPr>
        <w:t xml:space="preserve">Effective multigenerational management requires individualised, </w:t>
      </w:r>
      <w:proofErr w:type="gramStart"/>
      <w:r w:rsidRPr="00D57940">
        <w:rPr>
          <w:rFonts w:ascii="Arial" w:hAnsi="Arial" w:cs="Arial"/>
          <w:sz w:val="22"/>
          <w:szCs w:val="22"/>
        </w:rPr>
        <w:t>evidence based</w:t>
      </w:r>
      <w:proofErr w:type="gramEnd"/>
      <w:r w:rsidRPr="00D57940">
        <w:rPr>
          <w:rFonts w:ascii="Arial" w:hAnsi="Arial" w:cs="Arial"/>
          <w:sz w:val="22"/>
          <w:szCs w:val="22"/>
        </w:rPr>
        <w:t xml:space="preserve"> practice rather than generational assumptions. Managers should combine structured recruitment, flexible communication, reciprocal mentoring, equitable development and wellbeing support. EI and mindfulness can strengthen listening, regulation and inclusion, but must operate </w:t>
      </w:r>
      <w:r w:rsidRPr="00D57940">
        <w:rPr>
          <w:rFonts w:ascii="Arial" w:hAnsi="Arial" w:cs="Arial"/>
          <w:sz w:val="22"/>
          <w:szCs w:val="22"/>
        </w:rPr>
        <w:lastRenderedPageBreak/>
        <w:t>alongside fair and transparent organisational systems. This balanced approach can improve collaboration, knowledge transfer, performance and retention across all career stages.</w:t>
      </w:r>
    </w:p>
    <w:sectPr w:rsidR="00D57940" w:rsidRPr="00C573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F2D"/>
    <w:rsid w:val="000C7466"/>
    <w:rsid w:val="003A1341"/>
    <w:rsid w:val="007D09A5"/>
    <w:rsid w:val="00850CA4"/>
    <w:rsid w:val="00876292"/>
    <w:rsid w:val="008F4656"/>
    <w:rsid w:val="00923BE1"/>
    <w:rsid w:val="00C57308"/>
    <w:rsid w:val="00D57940"/>
    <w:rsid w:val="00EE0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B06DC"/>
  <w15:chartTrackingRefBased/>
  <w15:docId w15:val="{FA6DE3A7-BA61-4A33-AEA1-B5BC45856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F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0F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0F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F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F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F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F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F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F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F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0F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0F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F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F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F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F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F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F2D"/>
    <w:rPr>
      <w:rFonts w:eastAsiaTheme="majorEastAsia" w:cstheme="majorBidi"/>
      <w:color w:val="272727" w:themeColor="text1" w:themeTint="D8"/>
    </w:rPr>
  </w:style>
  <w:style w:type="paragraph" w:styleId="Title">
    <w:name w:val="Title"/>
    <w:basedOn w:val="Normal"/>
    <w:next w:val="Normal"/>
    <w:link w:val="TitleChar"/>
    <w:uiPriority w:val="10"/>
    <w:qFormat/>
    <w:rsid w:val="00EE0F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F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F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F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F2D"/>
    <w:pPr>
      <w:spacing w:before="160"/>
      <w:jc w:val="center"/>
    </w:pPr>
    <w:rPr>
      <w:i/>
      <w:iCs/>
      <w:color w:val="404040" w:themeColor="text1" w:themeTint="BF"/>
    </w:rPr>
  </w:style>
  <w:style w:type="character" w:customStyle="1" w:styleId="QuoteChar">
    <w:name w:val="Quote Char"/>
    <w:basedOn w:val="DefaultParagraphFont"/>
    <w:link w:val="Quote"/>
    <w:uiPriority w:val="29"/>
    <w:rsid w:val="00EE0F2D"/>
    <w:rPr>
      <w:i/>
      <w:iCs/>
      <w:color w:val="404040" w:themeColor="text1" w:themeTint="BF"/>
    </w:rPr>
  </w:style>
  <w:style w:type="paragraph" w:styleId="ListParagraph">
    <w:name w:val="List Paragraph"/>
    <w:basedOn w:val="Normal"/>
    <w:uiPriority w:val="34"/>
    <w:qFormat/>
    <w:rsid w:val="00EE0F2D"/>
    <w:pPr>
      <w:ind w:left="720"/>
      <w:contextualSpacing/>
    </w:pPr>
  </w:style>
  <w:style w:type="character" w:styleId="IntenseEmphasis">
    <w:name w:val="Intense Emphasis"/>
    <w:basedOn w:val="DefaultParagraphFont"/>
    <w:uiPriority w:val="21"/>
    <w:qFormat/>
    <w:rsid w:val="00EE0F2D"/>
    <w:rPr>
      <w:i/>
      <w:iCs/>
      <w:color w:val="0F4761" w:themeColor="accent1" w:themeShade="BF"/>
    </w:rPr>
  </w:style>
  <w:style w:type="paragraph" w:styleId="IntenseQuote">
    <w:name w:val="Intense Quote"/>
    <w:basedOn w:val="Normal"/>
    <w:next w:val="Normal"/>
    <w:link w:val="IntenseQuoteChar"/>
    <w:uiPriority w:val="30"/>
    <w:qFormat/>
    <w:rsid w:val="00EE0F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F2D"/>
    <w:rPr>
      <w:i/>
      <w:iCs/>
      <w:color w:val="0F4761" w:themeColor="accent1" w:themeShade="BF"/>
    </w:rPr>
  </w:style>
  <w:style w:type="character" w:styleId="IntenseReference">
    <w:name w:val="Intense Reference"/>
    <w:basedOn w:val="DefaultParagraphFont"/>
    <w:uiPriority w:val="32"/>
    <w:qFormat/>
    <w:rsid w:val="00EE0F2D"/>
    <w:rPr>
      <w:b/>
      <w:bCs/>
      <w:smallCaps/>
      <w:color w:val="0F4761" w:themeColor="accent1" w:themeShade="BF"/>
      <w:spacing w:val="5"/>
    </w:rPr>
  </w:style>
  <w:style w:type="paragraph" w:styleId="NormalWeb">
    <w:name w:val="Normal (Web)"/>
    <w:basedOn w:val="Normal"/>
    <w:uiPriority w:val="99"/>
    <w:semiHidden/>
    <w:unhideWhenUsed/>
    <w:rsid w:val="007D09A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10</Pages>
  <Words>3102</Words>
  <Characters>17687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Latif Beauty</dc:creator>
  <cp:keywords/>
  <dc:description/>
  <cp:lastModifiedBy>Latif Beauty</cp:lastModifiedBy>
  <cp:revision>1</cp:revision>
  <dcterms:created xsi:type="dcterms:W3CDTF">2026-08-24T10:56:00Z</dcterms:created>
  <dcterms:modified xsi:type="dcterms:W3CDTF">2026-08-24T13:20:00Z</dcterms:modified>
</cp:coreProperties>
</file>