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14680" w14:textId="0A6497EA" w:rsidR="005F1A09" w:rsidRDefault="00EF2B22" w:rsidP="00EF2B22">
      <w:pPr>
        <w:tabs>
          <w:tab w:val="left" w:pos="664"/>
          <w:tab w:val="left" w:pos="666"/>
        </w:tabs>
        <w:spacing w:after="0" w:line="276" w:lineRule="auto"/>
        <w:ind w:right="928" w:hanging="666"/>
      </w:pPr>
      <w:r>
        <w:t xml:space="preserve">             </w:t>
      </w:r>
      <w:r w:rsidR="005F1A09" w:rsidRPr="00FA1D8C">
        <w:rPr>
          <w:b/>
          <w:bCs/>
        </w:rPr>
        <w:t>Name</w:t>
      </w:r>
      <w:r w:rsidR="005F1A09">
        <w:t xml:space="preserve"> – Aaron Perry</w:t>
      </w:r>
    </w:p>
    <w:p w14:paraId="562A76F0" w14:textId="707AE960" w:rsidR="005F1A09" w:rsidRDefault="00EF2B22" w:rsidP="00EF2B22">
      <w:pPr>
        <w:tabs>
          <w:tab w:val="left" w:pos="664"/>
          <w:tab w:val="left" w:pos="666"/>
        </w:tabs>
        <w:spacing w:after="0" w:line="276" w:lineRule="auto"/>
        <w:ind w:right="928" w:hanging="666"/>
      </w:pPr>
      <w:r>
        <w:t xml:space="preserve">             </w:t>
      </w:r>
      <w:r w:rsidR="005F1A09" w:rsidRPr="00FA1D8C">
        <w:rPr>
          <w:b/>
          <w:bCs/>
        </w:rPr>
        <w:t>Learner number</w:t>
      </w:r>
      <w:r w:rsidR="005F1A09">
        <w:t xml:space="preserve"> - 2124652  </w:t>
      </w:r>
    </w:p>
    <w:p w14:paraId="3621B83E" w14:textId="77777777" w:rsidR="005F1A09" w:rsidRDefault="005F1A09" w:rsidP="00EF2B22">
      <w:pPr>
        <w:tabs>
          <w:tab w:val="left" w:pos="664"/>
          <w:tab w:val="left" w:pos="666"/>
        </w:tabs>
        <w:spacing w:after="0" w:line="276" w:lineRule="auto"/>
        <w:ind w:right="928" w:hanging="666"/>
      </w:pPr>
    </w:p>
    <w:p w14:paraId="46A6014F" w14:textId="28C9A8CF" w:rsidR="005F1A09" w:rsidRPr="00FA1D8C" w:rsidRDefault="005F1A09" w:rsidP="00EF2B22">
      <w:pPr>
        <w:tabs>
          <w:tab w:val="left" w:pos="664"/>
          <w:tab w:val="left" w:pos="666"/>
        </w:tabs>
        <w:spacing w:after="0" w:line="276" w:lineRule="auto"/>
        <w:ind w:right="928"/>
        <w:rPr>
          <w:b/>
          <w:bCs/>
        </w:rPr>
      </w:pPr>
      <w:r w:rsidRPr="00FA1D8C">
        <w:rPr>
          <w:b/>
          <w:bCs/>
        </w:rPr>
        <w:t>What</w:t>
      </w:r>
      <w:r w:rsidRPr="00FA1D8C">
        <w:rPr>
          <w:b/>
          <w:bCs/>
          <w:spacing w:val="-2"/>
        </w:rPr>
        <w:t xml:space="preserve"> </w:t>
      </w:r>
      <w:r w:rsidRPr="00FA1D8C">
        <w:rPr>
          <w:b/>
          <w:bCs/>
        </w:rPr>
        <w:t>are</w:t>
      </w:r>
      <w:r w:rsidRPr="00FA1D8C">
        <w:rPr>
          <w:b/>
          <w:bCs/>
          <w:spacing w:val="-4"/>
        </w:rPr>
        <w:t xml:space="preserve"> </w:t>
      </w:r>
      <w:r w:rsidRPr="00FA1D8C">
        <w:rPr>
          <w:b/>
          <w:bCs/>
        </w:rPr>
        <w:t>the</w:t>
      </w:r>
      <w:r w:rsidRPr="00FA1D8C">
        <w:rPr>
          <w:b/>
          <w:bCs/>
          <w:spacing w:val="-4"/>
        </w:rPr>
        <w:t xml:space="preserve"> </w:t>
      </w:r>
      <w:r w:rsidRPr="00FA1D8C">
        <w:rPr>
          <w:b/>
          <w:bCs/>
        </w:rPr>
        <w:t>risks</w:t>
      </w:r>
      <w:r w:rsidRPr="00FA1D8C">
        <w:rPr>
          <w:b/>
          <w:bCs/>
          <w:spacing w:val="-4"/>
        </w:rPr>
        <w:t xml:space="preserve"> </w:t>
      </w:r>
      <w:r w:rsidRPr="00FA1D8C">
        <w:rPr>
          <w:b/>
          <w:bCs/>
        </w:rPr>
        <w:t>of</w:t>
      </w:r>
      <w:r w:rsidRPr="00FA1D8C">
        <w:rPr>
          <w:b/>
          <w:bCs/>
          <w:spacing w:val="-2"/>
        </w:rPr>
        <w:t xml:space="preserve"> </w:t>
      </w:r>
      <w:r w:rsidRPr="00FA1D8C">
        <w:rPr>
          <w:b/>
          <w:bCs/>
        </w:rPr>
        <w:t>ineffective</w:t>
      </w:r>
      <w:r w:rsidRPr="00FA1D8C">
        <w:rPr>
          <w:b/>
          <w:bCs/>
          <w:spacing w:val="-4"/>
        </w:rPr>
        <w:t xml:space="preserve"> </w:t>
      </w:r>
      <w:r w:rsidRPr="00FA1D8C">
        <w:rPr>
          <w:b/>
          <w:bCs/>
        </w:rPr>
        <w:t>engagement between</w:t>
      </w:r>
      <w:r w:rsidRPr="00FA1D8C">
        <w:rPr>
          <w:b/>
          <w:bCs/>
          <w:spacing w:val="-2"/>
        </w:rPr>
        <w:t xml:space="preserve"> </w:t>
      </w:r>
      <w:r w:rsidRPr="00FA1D8C">
        <w:rPr>
          <w:b/>
          <w:bCs/>
        </w:rPr>
        <w:t>police</w:t>
      </w:r>
      <w:r w:rsidRPr="00FA1D8C">
        <w:rPr>
          <w:b/>
          <w:bCs/>
          <w:spacing w:val="-2"/>
        </w:rPr>
        <w:t xml:space="preserve"> </w:t>
      </w:r>
      <w:r w:rsidRPr="00FA1D8C">
        <w:rPr>
          <w:b/>
          <w:bCs/>
        </w:rPr>
        <w:t>and</w:t>
      </w:r>
      <w:r w:rsidRPr="00FA1D8C">
        <w:rPr>
          <w:b/>
          <w:bCs/>
          <w:spacing w:val="-1"/>
        </w:rPr>
        <w:t xml:space="preserve"> </w:t>
      </w:r>
      <w:r w:rsidRPr="00FA1D8C">
        <w:rPr>
          <w:b/>
          <w:bCs/>
        </w:rPr>
        <w:t>local</w:t>
      </w:r>
      <w:r w:rsidRPr="00FA1D8C">
        <w:rPr>
          <w:b/>
          <w:bCs/>
          <w:spacing w:val="-2"/>
        </w:rPr>
        <w:t xml:space="preserve"> </w:t>
      </w:r>
      <w:r w:rsidRPr="00FA1D8C">
        <w:rPr>
          <w:b/>
          <w:bCs/>
        </w:rPr>
        <w:t>communities,</w:t>
      </w:r>
      <w:r w:rsidRPr="00FA1D8C">
        <w:rPr>
          <w:b/>
          <w:bCs/>
          <w:spacing w:val="-2"/>
        </w:rPr>
        <w:t xml:space="preserve"> </w:t>
      </w:r>
      <w:r w:rsidRPr="00FA1D8C">
        <w:rPr>
          <w:b/>
          <w:bCs/>
        </w:rPr>
        <w:t>and</w:t>
      </w:r>
      <w:r w:rsidRPr="00FA1D8C">
        <w:rPr>
          <w:b/>
          <w:bCs/>
          <w:spacing w:val="-2"/>
        </w:rPr>
        <w:t xml:space="preserve"> </w:t>
      </w:r>
      <w:r w:rsidRPr="00FA1D8C">
        <w:rPr>
          <w:b/>
          <w:bCs/>
        </w:rPr>
        <w:t>how                         might poor engagement affect community cohesion? Your answer should be based on academic     research, although you may make reference to relevant case studies. (2000 words)</w:t>
      </w:r>
    </w:p>
    <w:p w14:paraId="698D04EB" w14:textId="77777777" w:rsidR="005F1A09" w:rsidRDefault="005F1A09" w:rsidP="00EF2B22">
      <w:pPr>
        <w:tabs>
          <w:tab w:val="left" w:pos="664"/>
          <w:tab w:val="left" w:pos="666"/>
        </w:tabs>
        <w:spacing w:after="0" w:line="276" w:lineRule="auto"/>
        <w:ind w:right="928" w:hanging="666"/>
      </w:pPr>
    </w:p>
    <w:p w14:paraId="6202A7AD" w14:textId="17EA3EC5" w:rsidR="005F1A09" w:rsidRDefault="005F1A09" w:rsidP="00EF2B22">
      <w:pPr>
        <w:tabs>
          <w:tab w:val="left" w:pos="664"/>
          <w:tab w:val="left" w:pos="666"/>
        </w:tabs>
        <w:spacing w:after="0" w:line="276" w:lineRule="auto"/>
        <w:ind w:hanging="666"/>
      </w:pPr>
      <w:r>
        <w:t xml:space="preserve">             </w:t>
      </w:r>
      <w:r w:rsidRPr="00C0455E">
        <w:t>A crucial component of preserving social order and public safety is the relationship between the</w:t>
      </w:r>
      <w:r>
        <w:t xml:space="preserve"> </w:t>
      </w:r>
      <w:r w:rsidRPr="00C0455E">
        <w:t>police an</w:t>
      </w:r>
      <w:r>
        <w:t xml:space="preserve">d </w:t>
      </w:r>
      <w:r w:rsidRPr="00C0455E">
        <w:t xml:space="preserve">the communities they serve. However, improper communication between these two parties can result in a number of unwanted consequences, such as decreased trust, raised crime rates, and damaged community cohesion. In order to provide a thorough knowledge of this complicated problem, </w:t>
      </w:r>
      <w:r w:rsidR="004D20C3">
        <w:t>my</w:t>
      </w:r>
      <w:r w:rsidRPr="00C0455E">
        <w:t xml:space="preserve"> study</w:t>
      </w:r>
      <w:r w:rsidR="004D20C3">
        <w:t xml:space="preserve"> </w:t>
      </w:r>
      <w:r w:rsidR="00FF184D">
        <w:t>and rese</w:t>
      </w:r>
      <w:r w:rsidR="004D21B1">
        <w:t xml:space="preserve">arch </w:t>
      </w:r>
      <w:r w:rsidR="004D20C3">
        <w:t>on this topic</w:t>
      </w:r>
      <w:r w:rsidRPr="00C0455E">
        <w:t xml:space="preserve"> will examine the risk associated with inadequate police-community involvement and the potential effects on community cohesion</w:t>
      </w:r>
      <w:r w:rsidR="009433AC">
        <w:t xml:space="preserve"> </w:t>
      </w:r>
      <w:r w:rsidR="009433AC" w:rsidRPr="009433AC">
        <w:t>(Roberg et al.)</w:t>
      </w:r>
      <w:r w:rsidR="009433AC">
        <w:t>.</w:t>
      </w:r>
    </w:p>
    <w:p w14:paraId="1AE77ECD" w14:textId="77777777" w:rsidR="005F1A09" w:rsidRDefault="005F1A09" w:rsidP="00EF2B22">
      <w:pPr>
        <w:tabs>
          <w:tab w:val="left" w:pos="664"/>
          <w:tab w:val="left" w:pos="666"/>
        </w:tabs>
        <w:spacing w:after="0" w:line="276" w:lineRule="auto"/>
        <w:ind w:hanging="666"/>
      </w:pPr>
      <w:r>
        <w:t xml:space="preserve">             </w:t>
      </w:r>
    </w:p>
    <w:p w14:paraId="486B6824" w14:textId="360872B3" w:rsidR="00D27EB1" w:rsidRDefault="005F1A09" w:rsidP="007B5966">
      <w:pPr>
        <w:tabs>
          <w:tab w:val="left" w:pos="664"/>
          <w:tab w:val="left" w:pos="666"/>
        </w:tabs>
        <w:spacing w:after="0" w:line="276" w:lineRule="auto"/>
        <w:ind w:hanging="666"/>
      </w:pPr>
      <w:r>
        <w:t xml:space="preserve">             </w:t>
      </w:r>
      <w:r w:rsidRPr="00A37828">
        <w:t>The term "community cohesion" has a variety of definitions. Definitions, on the other hand, emphasise the connection between the individual, their group, and larger society. They emphasise giving people chances to communicate, collaborate, form wholesome relationships</w:t>
      </w:r>
      <w:r w:rsidR="004D21B1">
        <w:t xml:space="preserve"> with one another</w:t>
      </w:r>
      <w:r w:rsidRPr="00A37828">
        <w:t>, and give back to their society. They also stress the significance of a shared vision, values focused on democracy, equality, diversity, tolerance, fairness, and justice, as well as creating a sense of community</w:t>
      </w:r>
      <w:r w:rsidR="00830476">
        <w:t xml:space="preserve">. </w:t>
      </w:r>
      <w:r w:rsidR="00830476" w:rsidRPr="00830476">
        <w:t xml:space="preserve">It's crucial to make reference to the progression from equality of access to equality of result across society. The </w:t>
      </w:r>
      <w:r w:rsidR="0080137B">
        <w:t>Teachers Union (</w:t>
      </w:r>
      <w:r w:rsidR="00830476" w:rsidRPr="00830476">
        <w:t>NASUWT</w:t>
      </w:r>
      <w:r w:rsidR="0080137B">
        <w:t>)</w:t>
      </w:r>
      <w:r w:rsidR="00830476" w:rsidRPr="00830476">
        <w:t>, however, thinks that empowerment of people and communities is necessary to promote equality of result. The relationships between people and groups inside the framework of society and institutions must therefore also be addressed. The NASUWT is dedicated to supporting educators and administrators at schools in promoting community cohesion since unions have a crucial role to play in empowering both people and groups.</w:t>
      </w:r>
      <w:r>
        <w:t xml:space="preserve"> </w:t>
      </w:r>
      <w:r w:rsidRPr="002520C4">
        <w:t>(NASUWT</w:t>
      </w:r>
      <w:r w:rsidR="00447190">
        <w:t>, 2023</w:t>
      </w:r>
      <w:r>
        <w:t>).</w:t>
      </w:r>
    </w:p>
    <w:p w14:paraId="41DCB33A" w14:textId="77777777" w:rsidR="00B465CD" w:rsidRDefault="00B465CD" w:rsidP="00B465CD">
      <w:pPr>
        <w:tabs>
          <w:tab w:val="left" w:pos="664"/>
          <w:tab w:val="left" w:pos="666"/>
        </w:tabs>
        <w:spacing w:after="0" w:line="276" w:lineRule="auto"/>
      </w:pPr>
    </w:p>
    <w:p w14:paraId="2DB80746" w14:textId="51CB1C3E" w:rsidR="00B465CD" w:rsidRDefault="00F23BCE" w:rsidP="00B465CD">
      <w:pPr>
        <w:tabs>
          <w:tab w:val="left" w:pos="664"/>
          <w:tab w:val="left" w:pos="666"/>
        </w:tabs>
        <w:spacing w:after="0" w:line="276" w:lineRule="auto"/>
      </w:pPr>
      <w:r>
        <w:t>A key component of community cohesion is social capital</w:t>
      </w:r>
      <w:r w:rsidR="00647E34">
        <w:t xml:space="preserve">, which refers to the various networks of relationships between people who live and work in </w:t>
      </w:r>
      <w:r w:rsidR="00CD0CCC">
        <w:t xml:space="preserve">their respective </w:t>
      </w:r>
      <w:r w:rsidR="00B40FDC">
        <w:t>communitie</w:t>
      </w:r>
      <w:r w:rsidR="00CD0CCC">
        <w:t>s. Social capital can be cause</w:t>
      </w:r>
      <w:r w:rsidR="00406541">
        <w:t>d</w:t>
      </w:r>
      <w:r w:rsidR="00CD0CCC">
        <w:t xml:space="preserve"> to erode by ineffective police-community engagement</w:t>
      </w:r>
      <w:r w:rsidR="0013721E">
        <w:t xml:space="preserve"> by causing mistrust and division within the communities between the persons who reside there</w:t>
      </w:r>
      <w:r w:rsidR="00B40FDC">
        <w:t>. This mistrust and division may well be ca</w:t>
      </w:r>
      <w:r w:rsidR="00D14445">
        <w:t>use due to a lack of positive engagement or promotion from the police, or this could be from previous police failings and the communities they serve losing faith in the police force.</w:t>
      </w:r>
      <w:r w:rsidR="00667D79">
        <w:t xml:space="preserve"> (Putnam, 1994). </w:t>
      </w:r>
      <w:r w:rsidR="00A56862">
        <w:t xml:space="preserve">When these issues are caused within the community it can cause a breakdown </w:t>
      </w:r>
      <w:r w:rsidR="00F66C29">
        <w:t xml:space="preserve">of community networks and a decrease in collective </w:t>
      </w:r>
      <w:r w:rsidR="00A2575D">
        <w:t xml:space="preserve">value. The collective value and power within a community allows persons to maintain social order and solve problems as they arise </w:t>
      </w:r>
      <w:r w:rsidR="0019243C" w:rsidRPr="0019243C">
        <w:t>(Walker</w:t>
      </w:r>
      <w:r w:rsidR="0019243C">
        <w:t>, 2016</w:t>
      </w:r>
      <w:r w:rsidR="0019243C" w:rsidRPr="0019243C">
        <w:t>)</w:t>
      </w:r>
      <w:r w:rsidR="0019243C">
        <w:t>.</w:t>
      </w:r>
    </w:p>
    <w:p w14:paraId="40214BE0" w14:textId="77777777" w:rsidR="004B46E7" w:rsidRDefault="004B46E7" w:rsidP="00F73C1B">
      <w:pPr>
        <w:tabs>
          <w:tab w:val="left" w:pos="664"/>
          <w:tab w:val="left" w:pos="666"/>
        </w:tabs>
        <w:spacing w:after="0" w:line="276" w:lineRule="auto"/>
      </w:pPr>
    </w:p>
    <w:p w14:paraId="420EF4E3" w14:textId="530966B3" w:rsidR="004B46E7" w:rsidRDefault="004B46E7" w:rsidP="00EF2B22">
      <w:pPr>
        <w:tabs>
          <w:tab w:val="left" w:pos="664"/>
          <w:tab w:val="left" w:pos="666"/>
        </w:tabs>
        <w:spacing w:after="0" w:line="276" w:lineRule="auto"/>
        <w:ind w:hanging="666"/>
      </w:pPr>
      <w:r>
        <w:t xml:space="preserve">             </w:t>
      </w:r>
      <w:r w:rsidRPr="004B46E7">
        <w:t>Community policing, a method that places a strong emphasis on forming relationships and cooperating closely with community members, is built on effective police-community involvemen</w:t>
      </w:r>
      <w:r>
        <w:t xml:space="preserve">t </w:t>
      </w:r>
      <w:r w:rsidR="00941F29" w:rsidRPr="00941F29">
        <w:t>(Cherney</w:t>
      </w:r>
      <w:r w:rsidR="00941F29">
        <w:t>, 2018</w:t>
      </w:r>
      <w:r w:rsidR="00941F29" w:rsidRPr="00941F29">
        <w:t>)</w:t>
      </w:r>
      <w:r w:rsidRPr="004B46E7">
        <w:t>.</w:t>
      </w:r>
      <w:r w:rsidR="004A197F">
        <w:t xml:space="preserve"> </w:t>
      </w:r>
      <w:r w:rsidR="00B76255" w:rsidRPr="00B76255">
        <w:t>This strategy is based on the idea that police need the community's active cooperation and participation in order to effectively deal with issues related to public safety. When such involvement is successful, it can result in improved community cohesion, less fear of crime, improved perceptions of police legitimacy, and higher trust in the police</w:t>
      </w:r>
      <w:r w:rsidR="004512FC" w:rsidRPr="004512FC">
        <w:t xml:space="preserve"> (Tyler and Fagan</w:t>
      </w:r>
      <w:r w:rsidR="004512FC">
        <w:t>, 2008</w:t>
      </w:r>
      <w:r w:rsidR="004512FC" w:rsidRPr="004512FC">
        <w:t>)</w:t>
      </w:r>
      <w:r w:rsidR="00B76255" w:rsidRPr="00B76255">
        <w:t>.</w:t>
      </w:r>
      <w:r w:rsidR="000F294B">
        <w:t xml:space="preserve"> </w:t>
      </w:r>
    </w:p>
    <w:p w14:paraId="4F293093" w14:textId="77777777" w:rsidR="00B51B1B" w:rsidRDefault="00B51B1B" w:rsidP="00EF2B22">
      <w:pPr>
        <w:tabs>
          <w:tab w:val="left" w:pos="664"/>
          <w:tab w:val="left" w:pos="666"/>
        </w:tabs>
        <w:spacing w:after="0" w:line="276" w:lineRule="auto"/>
        <w:ind w:hanging="666"/>
      </w:pPr>
    </w:p>
    <w:p w14:paraId="034D9071" w14:textId="5D26AD7C" w:rsidR="00B51B1B" w:rsidRDefault="00B51B1B" w:rsidP="00EF2B22">
      <w:pPr>
        <w:tabs>
          <w:tab w:val="left" w:pos="664"/>
          <w:tab w:val="left" w:pos="666"/>
        </w:tabs>
        <w:spacing w:after="0" w:line="276" w:lineRule="auto"/>
        <w:ind w:hanging="666"/>
      </w:pPr>
      <w:r>
        <w:t xml:space="preserve">             </w:t>
      </w:r>
      <w:r w:rsidRPr="00B51B1B">
        <w:t>People in the community view the police as historical models of shared values and norm</w:t>
      </w:r>
      <w:r w:rsidR="00034E29">
        <w:t xml:space="preserve">s, </w:t>
      </w:r>
      <w:r w:rsidRPr="00B51B1B">
        <w:t xml:space="preserve">as moral role models who solve common issues and uphold the rule of law. The police need to reengage as an active </w:t>
      </w:r>
      <w:r w:rsidRPr="00B51B1B">
        <w:lastRenderedPageBreak/>
        <w:t>member of the society and represent and defend community values, norms, and morals in order to boost public confidence and reduce crime-related fear</w:t>
      </w:r>
      <w:r w:rsidR="00810A35">
        <w:t xml:space="preserve">. </w:t>
      </w:r>
      <w:r w:rsidR="00810A35" w:rsidRPr="00810A35">
        <w:t>It is either possible or even desirable for police to respond to issues with low-level disruption to society. The underlying root causes of the general public's fear of disorder may be more complex than what can (or ought to be) addressed by law enforcement agencies</w:t>
      </w:r>
      <w:r>
        <w:t xml:space="preserve"> </w:t>
      </w:r>
      <w:r w:rsidR="001959B9" w:rsidRPr="001959B9">
        <w:t>(Jackson et al.</w:t>
      </w:r>
      <w:r w:rsidR="001959B9">
        <w:t>, 2009</w:t>
      </w:r>
      <w:r w:rsidR="001959B9" w:rsidRPr="001959B9">
        <w:t>)</w:t>
      </w:r>
      <w:r w:rsidR="001959B9">
        <w:t>.</w:t>
      </w:r>
      <w:r w:rsidR="00034E29">
        <w:t xml:space="preserve"> Police over previous years have acted </w:t>
      </w:r>
      <w:r w:rsidR="008A35C7">
        <w:t xml:space="preserve">with at times, brutal force and treated members of the public with utter disrespect, which in turn has had a huge knock on effect as policing progresses. This kind of police behaviour stems from a lack of laws and </w:t>
      </w:r>
      <w:r w:rsidR="000159A3">
        <w:t xml:space="preserve">before the policing by consent policies were brought into effect. </w:t>
      </w:r>
      <w:r w:rsidR="004D3B51">
        <w:t>Policing by consent</w:t>
      </w:r>
      <w:r w:rsidR="00446F03">
        <w:t xml:space="preserve"> is defined as being able to prevent crime and disorder</w:t>
      </w:r>
      <w:r w:rsidR="00930D6A">
        <w:t xml:space="preserve">, recognise always the power of police to complete their duties and have approval from the public on their existence, </w:t>
      </w:r>
      <w:r w:rsidR="009776BA">
        <w:t xml:space="preserve">to recognise, secure and maintain respect and approval from the general public, also to seek and preserve public </w:t>
      </w:r>
      <w:r w:rsidR="00DD6037">
        <w:t>favour. Officers are also expected to use physical force but only where absolutely necessary and justifiable</w:t>
      </w:r>
      <w:r w:rsidR="00F9359B">
        <w:t xml:space="preserve">, to maintain a relationship with the public and to promote that police are also members of the public, however they are paid to </w:t>
      </w:r>
      <w:r w:rsidR="00996C05">
        <w:t xml:space="preserve">give full time attention to duties in relation to public reports of crime. Finally, to recognise that </w:t>
      </w:r>
      <w:r w:rsidR="00C04FBE">
        <w:t xml:space="preserve">police efficiency is the absence of crime and not the evidence of police action being taken to deal with said crimes </w:t>
      </w:r>
      <w:r w:rsidR="00C12109" w:rsidRPr="00C12109">
        <w:t>(Home Office</w:t>
      </w:r>
      <w:r w:rsidR="00C12109">
        <w:t>, 2012</w:t>
      </w:r>
      <w:r w:rsidR="00C12109" w:rsidRPr="00C12109">
        <w:t>)</w:t>
      </w:r>
      <w:r w:rsidR="00C12109">
        <w:t>.</w:t>
      </w:r>
    </w:p>
    <w:p w14:paraId="6D6BBF55" w14:textId="170ECA82" w:rsidR="00EF2B22" w:rsidRDefault="00EF2B22" w:rsidP="00EF2B22">
      <w:pPr>
        <w:tabs>
          <w:tab w:val="left" w:pos="664"/>
          <w:tab w:val="left" w:pos="666"/>
        </w:tabs>
        <w:spacing w:after="0" w:line="276" w:lineRule="auto"/>
      </w:pPr>
    </w:p>
    <w:p w14:paraId="785CBBB5" w14:textId="05209910" w:rsidR="00EF2B22" w:rsidRDefault="006F596B" w:rsidP="00EF2B22">
      <w:pPr>
        <w:tabs>
          <w:tab w:val="left" w:pos="664"/>
          <w:tab w:val="left" w:pos="666"/>
        </w:tabs>
        <w:spacing w:after="0" w:line="276" w:lineRule="auto"/>
      </w:pPr>
      <w:r w:rsidRPr="006F596B">
        <w:t xml:space="preserve">The fundamental components of legitimacy were determined to be a common purpose and trust. Instead of the sense of police effectiveness (in terms of reacting to emergencies, preventing and discovering crime, and maintaining order), this attitude was mostly influenced by the perception of police fairness. In other words, the public's perception of the police as legitimate relied heavily on the belief that officers would treat them with respect, provide fair decisions and take the time to explain </w:t>
      </w:r>
      <w:r w:rsidR="00F151CA">
        <w:t xml:space="preserve">to </w:t>
      </w:r>
      <w:r w:rsidRPr="006F596B">
        <w:t>them, and be approachable and courteous.</w:t>
      </w:r>
      <w:r w:rsidR="002F151B">
        <w:t xml:space="preserve"> </w:t>
      </w:r>
      <w:r w:rsidR="002F151B" w:rsidRPr="002F151B">
        <w:t xml:space="preserve">If the police are to take advantage of </w:t>
      </w:r>
      <w:r w:rsidR="002F151B">
        <w:t>the public</w:t>
      </w:r>
      <w:r w:rsidR="002F151B" w:rsidRPr="002F151B">
        <w:t xml:space="preserve"> working together, widespread cultural change is likely to be necessary.</w:t>
      </w:r>
      <w:r w:rsidR="00734FB3">
        <w:t xml:space="preserve"> National Policing Improvement Agency</w:t>
      </w:r>
      <w:r w:rsidR="002F151B" w:rsidRPr="002F151B">
        <w:t xml:space="preserve"> </w:t>
      </w:r>
      <w:r w:rsidR="00734FB3">
        <w:t>(</w:t>
      </w:r>
      <w:r w:rsidR="002F151B" w:rsidRPr="002F151B">
        <w:t>NPIA</w:t>
      </w:r>
      <w:r w:rsidR="00734FB3">
        <w:t>)</w:t>
      </w:r>
      <w:r w:rsidR="002F151B" w:rsidRPr="002F151B">
        <w:t xml:space="preserve"> research on how to make use of police time, for instance, has indicated a dominating belief among officers that visible patrol is essential to being effective and that positive public relations was given a lesser importance. The NPIA is now supporting two forces to better understand how leadership shapes the values of frontline officers and to assess the effects of fresh training on police engagement with crime victims in an effort to solve these larger challenges</w:t>
      </w:r>
      <w:r w:rsidR="002F151B">
        <w:t xml:space="preserve"> </w:t>
      </w:r>
      <w:r w:rsidR="004E0C6A" w:rsidRPr="004E0C6A">
        <w:t>(Myhill and Quinton</w:t>
      </w:r>
      <w:r w:rsidR="004E0C6A">
        <w:t>, 2011</w:t>
      </w:r>
      <w:r w:rsidR="004E0C6A" w:rsidRPr="004E0C6A">
        <w:t>)</w:t>
      </w:r>
      <w:r w:rsidR="004E0C6A">
        <w:t>.</w:t>
      </w:r>
    </w:p>
    <w:p w14:paraId="4B4F5B92" w14:textId="77777777" w:rsidR="003655BB" w:rsidRDefault="003655BB" w:rsidP="00EF2B22">
      <w:pPr>
        <w:tabs>
          <w:tab w:val="left" w:pos="664"/>
          <w:tab w:val="left" w:pos="666"/>
        </w:tabs>
        <w:spacing w:after="0" w:line="276" w:lineRule="auto"/>
      </w:pPr>
    </w:p>
    <w:p w14:paraId="38CC0698" w14:textId="70C2CCC9" w:rsidR="003655BB" w:rsidRDefault="00616531" w:rsidP="00EF2B22">
      <w:pPr>
        <w:tabs>
          <w:tab w:val="left" w:pos="664"/>
          <w:tab w:val="left" w:pos="666"/>
        </w:tabs>
        <w:spacing w:after="0" w:line="276" w:lineRule="auto"/>
      </w:pPr>
      <w:r>
        <w:t xml:space="preserve">A study conducted by (Kirk &amp; Matsuda, 2011) provides evidence </w:t>
      </w:r>
      <w:r w:rsidR="00890AD7">
        <w:t xml:space="preserve">that many crimes in poor, minority communities evade criminal justice punishments </w:t>
      </w:r>
      <w:r w:rsidR="00076363">
        <w:t xml:space="preserve">which in turn leads to a negative association between the proportion of minority residents in each neighbourhood and the arrest rates. </w:t>
      </w:r>
      <w:r w:rsidR="00AE4004">
        <w:t xml:space="preserve">To explain the findings, the exploration of legal cynicism is </w:t>
      </w:r>
      <w:r w:rsidR="00B1432F">
        <w:t xml:space="preserve">utilised. </w:t>
      </w:r>
      <w:r w:rsidR="006529BF" w:rsidRPr="006529BF">
        <w:t xml:space="preserve">Legal cynicism is a point of view in which people see the legal system and those who enforce it as unreliable, unresponsive, and unfit to protect the public. Because those </w:t>
      </w:r>
      <w:r w:rsidR="008F7D4C">
        <w:t xml:space="preserve">people </w:t>
      </w:r>
      <w:r w:rsidR="006529BF" w:rsidRPr="006529BF">
        <w:t xml:space="preserve">who think the law is unfair are less likely to follow it, crime may grow in areas where there is a high level of legal cynicism. </w:t>
      </w:r>
      <w:r w:rsidR="008F7D4C">
        <w:t>Unfortunately</w:t>
      </w:r>
      <w:r w:rsidR="006529BF" w:rsidRPr="006529BF">
        <w:t>, because of this, crimes may go unreported which means th</w:t>
      </w:r>
      <w:r w:rsidR="007136B0">
        <w:t>at there is no punishment delivered to the offenders by the Police or the criminal justice system</w:t>
      </w:r>
      <w:r w:rsidR="00B162B4">
        <w:t xml:space="preserve"> </w:t>
      </w:r>
      <w:r w:rsidR="00B162B4" w:rsidRPr="00B162B4">
        <w:t>(Hagan et al.</w:t>
      </w:r>
      <w:r w:rsidR="00B162B4">
        <w:t xml:space="preserve"> 2020</w:t>
      </w:r>
      <w:r w:rsidR="00B162B4" w:rsidRPr="00B162B4">
        <w:t>)</w:t>
      </w:r>
      <w:r w:rsidR="006529BF" w:rsidRPr="006529BF">
        <w:t>.</w:t>
      </w:r>
    </w:p>
    <w:p w14:paraId="4D8F2E4E" w14:textId="77777777" w:rsidR="00D80350" w:rsidRDefault="00D80350" w:rsidP="00EF2B22">
      <w:pPr>
        <w:tabs>
          <w:tab w:val="left" w:pos="664"/>
          <w:tab w:val="left" w:pos="666"/>
        </w:tabs>
        <w:spacing w:after="0" w:line="276" w:lineRule="auto"/>
      </w:pPr>
    </w:p>
    <w:p w14:paraId="03061998" w14:textId="1803FF84" w:rsidR="00D80350" w:rsidRDefault="00D80350" w:rsidP="00EF2B22">
      <w:pPr>
        <w:tabs>
          <w:tab w:val="left" w:pos="664"/>
          <w:tab w:val="left" w:pos="666"/>
        </w:tabs>
        <w:spacing w:after="0" w:line="276" w:lineRule="auto"/>
      </w:pPr>
      <w:r>
        <w:t xml:space="preserve">A further study was conducted between urban and rural youths. </w:t>
      </w:r>
      <w:r w:rsidR="002A7792">
        <w:t xml:space="preserve">The purpose of this study was to compare the role and significance of </w:t>
      </w:r>
      <w:r w:rsidR="00792C40">
        <w:t xml:space="preserve">community cohesion during stressful periods. </w:t>
      </w:r>
      <w:r w:rsidR="009F1772">
        <w:t xml:space="preserve">The breakdown of this study involves social status, stress exposure and personal attributes and how this affects community attachment for these individuals. </w:t>
      </w:r>
      <w:r w:rsidR="00D5361A" w:rsidRPr="00D5361A">
        <w:t xml:space="preserve">Community detachment is associated with higher levels of depressed mood, problem substance use, and delinquency; community attachment mitigates the association between stress and issue substance use. Community attachment is associated with decreased odds of problem substance use and delinquency. However, when it comes to sad mood, young people in rural areas demonstrate different </w:t>
      </w:r>
      <w:r w:rsidR="00D5361A" w:rsidRPr="00D5361A">
        <w:lastRenderedPageBreak/>
        <w:t>benefits from community connection than urban youth and greater vulnerability to stress than urban youth</w:t>
      </w:r>
      <w:r w:rsidR="00D5361A">
        <w:t xml:space="preserve"> </w:t>
      </w:r>
      <w:r w:rsidR="00B259AD" w:rsidRPr="00B259AD">
        <w:t>(Van Gundy et al.</w:t>
      </w:r>
      <w:r w:rsidR="00B259AD">
        <w:t>, 2011</w:t>
      </w:r>
      <w:r w:rsidR="00B259AD" w:rsidRPr="00B259AD">
        <w:t>)</w:t>
      </w:r>
      <w:r w:rsidR="00D5361A" w:rsidRPr="00D5361A">
        <w:t>.</w:t>
      </w:r>
    </w:p>
    <w:p w14:paraId="66D496D9" w14:textId="77777777" w:rsidR="0097469A" w:rsidRDefault="0097469A" w:rsidP="00EF2B22">
      <w:pPr>
        <w:tabs>
          <w:tab w:val="left" w:pos="664"/>
          <w:tab w:val="left" w:pos="666"/>
        </w:tabs>
        <w:spacing w:after="0" w:line="276" w:lineRule="auto"/>
      </w:pPr>
    </w:p>
    <w:p w14:paraId="53A47CF8" w14:textId="38DB4A8A" w:rsidR="0097469A" w:rsidRDefault="007B5966" w:rsidP="00EF2B22">
      <w:pPr>
        <w:tabs>
          <w:tab w:val="left" w:pos="664"/>
          <w:tab w:val="left" w:pos="666"/>
        </w:tabs>
        <w:spacing w:after="0" w:line="276" w:lineRule="auto"/>
      </w:pPr>
      <w:r>
        <w:t xml:space="preserve">Ineffective police-community engagement can </w:t>
      </w:r>
      <w:r w:rsidR="00476B8C">
        <w:t xml:space="preserve">lead to greater racial disparities within policing. </w:t>
      </w:r>
      <w:r w:rsidR="0096500C">
        <w:t>My research shows that most of the studies conduct</w:t>
      </w:r>
      <w:r w:rsidR="00CE2A2F">
        <w:t>ed</w:t>
      </w:r>
      <w:r w:rsidR="0096500C">
        <w:t xml:space="preserve"> are focused solely on adults within the community and not youths. </w:t>
      </w:r>
      <w:r w:rsidR="0040737C">
        <w:t xml:space="preserve">However, information shows that young persons are more likely to come into contact with police and therefore </w:t>
      </w:r>
      <w:r w:rsidR="00476705">
        <w:t xml:space="preserve">it is especially important to understand their experiences with police contact and also their perception of the police service </w:t>
      </w:r>
      <w:r w:rsidR="00252A9D" w:rsidRPr="00252A9D">
        <w:t>(Brunson and Weitzer</w:t>
      </w:r>
      <w:r w:rsidR="00252A9D">
        <w:t>, 2008</w:t>
      </w:r>
      <w:r w:rsidR="00252A9D" w:rsidRPr="00252A9D">
        <w:t>)</w:t>
      </w:r>
      <w:r w:rsidR="00252A9D">
        <w:t xml:space="preserve">. </w:t>
      </w:r>
      <w:r w:rsidR="00AB33BA">
        <w:t>If these young persons have a negative attitude towards the police this can ultimately cause</w:t>
      </w:r>
      <w:r w:rsidR="00B80C64">
        <w:t xml:space="preserve"> a loss of trust, which would then lead on to a poor cycle of ineffective engagement from the youths and heightened racial disparities within policing</w:t>
      </w:r>
      <w:r w:rsidR="00B23A32">
        <w:t xml:space="preserve"> </w:t>
      </w:r>
      <w:r w:rsidR="00B23A32" w:rsidRPr="00B23A32">
        <w:t>(Walker</w:t>
      </w:r>
      <w:r w:rsidR="00B23A32">
        <w:t>, 2016</w:t>
      </w:r>
      <w:r w:rsidR="00B23A32" w:rsidRPr="00B23A32">
        <w:t>)</w:t>
      </w:r>
      <w:r w:rsidR="00B23A32">
        <w:t>.</w:t>
      </w:r>
    </w:p>
    <w:p w14:paraId="0D3A1B5B" w14:textId="77777777" w:rsidR="003655BB" w:rsidRDefault="003655BB" w:rsidP="00EF2B22">
      <w:pPr>
        <w:tabs>
          <w:tab w:val="left" w:pos="664"/>
          <w:tab w:val="left" w:pos="666"/>
        </w:tabs>
        <w:spacing w:after="0" w:line="276" w:lineRule="auto"/>
      </w:pPr>
    </w:p>
    <w:p w14:paraId="06E6B620" w14:textId="5C4FC9DE" w:rsidR="007D3827" w:rsidRDefault="00CB70C8" w:rsidP="00EF2B22">
      <w:pPr>
        <w:tabs>
          <w:tab w:val="left" w:pos="664"/>
          <w:tab w:val="left" w:pos="666"/>
        </w:tabs>
        <w:spacing w:after="0" w:line="276" w:lineRule="auto"/>
      </w:pPr>
      <w:r>
        <w:t xml:space="preserve">Throughout England and Wales, </w:t>
      </w:r>
      <w:r w:rsidR="005C0311">
        <w:t>the problem with failing to engage appropriately with communities was highlighted by major distur</w:t>
      </w:r>
      <w:r w:rsidR="00C8079A">
        <w:t>ba</w:t>
      </w:r>
      <w:r w:rsidR="005C0311">
        <w:t xml:space="preserve">nces which occurred in the late 1970’s and </w:t>
      </w:r>
      <w:r w:rsidR="00C8079A">
        <w:t xml:space="preserve">most recently, the Brixton riots in the early 1980’s. Due to these riots, </w:t>
      </w:r>
      <w:r w:rsidR="005B7ACB">
        <w:t>community engagement strategies were put into place</w:t>
      </w:r>
      <w:r w:rsidR="00751201">
        <w:t xml:space="preserve"> </w:t>
      </w:r>
      <w:r w:rsidR="00751201" w:rsidRPr="00751201">
        <w:t>(Jefferson</w:t>
      </w:r>
      <w:r w:rsidR="00751201">
        <w:t>, 2012</w:t>
      </w:r>
      <w:r w:rsidR="00751201" w:rsidRPr="00751201">
        <w:t>)</w:t>
      </w:r>
      <w:r w:rsidR="005B7ACB">
        <w:t>.</w:t>
      </w:r>
      <w:r w:rsidR="00751201">
        <w:t xml:space="preserve"> </w:t>
      </w:r>
      <w:r w:rsidR="00EE0FA7">
        <w:t xml:space="preserve">The lack of community engagement can cause a large void in intelligence in relation to critical and/or </w:t>
      </w:r>
      <w:r w:rsidR="0094335A">
        <w:t>high-profile</w:t>
      </w:r>
      <w:r w:rsidR="00EE0FA7">
        <w:t xml:space="preserve"> incidents. The void that is </w:t>
      </w:r>
      <w:r w:rsidR="003E00AF">
        <w:t xml:space="preserve">caused may be filled with negative ideologies about the police and in turn this dramatically affects community confidence. This leads to </w:t>
      </w:r>
      <w:r w:rsidR="00B75C77">
        <w:t>a</w:t>
      </w:r>
      <w:r w:rsidR="00BE36E9">
        <w:t>n</w:t>
      </w:r>
      <w:r w:rsidR="00B75C77">
        <w:t xml:space="preserve"> extensive list of risks that are associated to ineffective engagement, some of </w:t>
      </w:r>
      <w:r w:rsidR="00B86813">
        <w:t>these risks</w:t>
      </w:r>
      <w:r w:rsidR="00B75C77">
        <w:t xml:space="preserve"> </w:t>
      </w:r>
      <w:r w:rsidR="008D6BCB">
        <w:t>are</w:t>
      </w:r>
      <w:r w:rsidR="00B75C77">
        <w:t xml:space="preserve"> </w:t>
      </w:r>
      <w:r w:rsidR="00A13D20">
        <w:t xml:space="preserve">higher vulnerability around threat, risk and harm, withdrawal from public participation, unrealistic expectations from the public </w:t>
      </w:r>
      <w:r w:rsidR="0045162F">
        <w:t>and a negative impact on tactical policing</w:t>
      </w:r>
      <w:r w:rsidR="0094335A">
        <w:t xml:space="preserve"> </w:t>
      </w:r>
      <w:r w:rsidR="0094335A" w:rsidRPr="0094335A">
        <w:t>(College Of Policing</w:t>
      </w:r>
      <w:r w:rsidR="0094335A">
        <w:t>, 2013</w:t>
      </w:r>
      <w:r w:rsidR="0094335A" w:rsidRPr="0094335A">
        <w:t>)</w:t>
      </w:r>
      <w:r w:rsidR="0045162F">
        <w:t xml:space="preserve">. </w:t>
      </w:r>
    </w:p>
    <w:p w14:paraId="1EC8AC20" w14:textId="77777777" w:rsidR="00876F24" w:rsidRDefault="00876F24" w:rsidP="00EF2B22">
      <w:pPr>
        <w:tabs>
          <w:tab w:val="left" w:pos="664"/>
          <w:tab w:val="left" w:pos="666"/>
        </w:tabs>
        <w:spacing w:after="0" w:line="276" w:lineRule="auto"/>
      </w:pPr>
    </w:p>
    <w:p w14:paraId="309CFCF0" w14:textId="33FECB3E" w:rsidR="00876F24" w:rsidRDefault="00876F24" w:rsidP="00EF2B22">
      <w:pPr>
        <w:tabs>
          <w:tab w:val="left" w:pos="664"/>
          <w:tab w:val="left" w:pos="666"/>
        </w:tabs>
        <w:spacing w:after="0" w:line="276" w:lineRule="auto"/>
      </w:pPr>
      <w:r w:rsidRPr="00876F24">
        <w:t>The Reassurance Policing Programme (RPP) in the United Kingdom sought to increase public trust in the police by involving local communities in identifying priority crime and disorder problems and working together with other agencies in dealing with them</w:t>
      </w:r>
      <w:r>
        <w:t xml:space="preserve"> </w:t>
      </w:r>
      <w:r w:rsidR="00D97D2D" w:rsidRPr="00D97D2D">
        <w:t>(Brodeur</w:t>
      </w:r>
      <w:r w:rsidR="00D97D2D">
        <w:t>, 2017</w:t>
      </w:r>
      <w:r w:rsidR="00D97D2D" w:rsidRPr="00D97D2D">
        <w:t>)</w:t>
      </w:r>
      <w:r w:rsidR="00D97D2D">
        <w:t xml:space="preserve">. </w:t>
      </w:r>
      <w:r w:rsidR="003F49E0" w:rsidRPr="003F49E0">
        <w:t>Although they are sometimes used the same way, community policing and problem-oriented policing are distinct concepts. Community policing emphasises the development of strong police-community partnerships in a joint effort to reduce crime and improve security, whereas the latter is "typically defined as focusing police attention on the underlying causes of problems behind a string of crime incidents" (Braga, 2002, p. 12). Therefore, while problem-oriented policing is an ongoing aspect of community policing, problem-solving initiatives could take place more frequently within a police department than with the community or other government entities</w:t>
      </w:r>
      <w:r w:rsidR="0070711A">
        <w:t xml:space="preserve"> </w:t>
      </w:r>
      <w:r w:rsidR="001834FA" w:rsidRPr="001834FA">
        <w:t>(Grabosky</w:t>
      </w:r>
      <w:r w:rsidR="001834FA">
        <w:t>, 2009</w:t>
      </w:r>
      <w:r w:rsidR="001834FA" w:rsidRPr="001834FA">
        <w:t>)</w:t>
      </w:r>
      <w:r w:rsidR="003F49E0" w:rsidRPr="003F49E0">
        <w:t>.</w:t>
      </w:r>
    </w:p>
    <w:p w14:paraId="4F9DFE65" w14:textId="77777777" w:rsidR="00BB2B4F" w:rsidRDefault="00BB2B4F" w:rsidP="00EF2B22">
      <w:pPr>
        <w:tabs>
          <w:tab w:val="left" w:pos="664"/>
          <w:tab w:val="left" w:pos="666"/>
        </w:tabs>
        <w:spacing w:after="0" w:line="276" w:lineRule="auto"/>
      </w:pPr>
    </w:p>
    <w:p w14:paraId="466B5FE3" w14:textId="31C6D019" w:rsidR="00BB2B4F" w:rsidRDefault="00BB2B4F" w:rsidP="00EF2B22">
      <w:pPr>
        <w:tabs>
          <w:tab w:val="left" w:pos="664"/>
          <w:tab w:val="left" w:pos="666"/>
        </w:tabs>
        <w:spacing w:after="0" w:line="276" w:lineRule="auto"/>
      </w:pPr>
      <w:r>
        <w:t>In conclusion,</w:t>
      </w:r>
      <w:r w:rsidR="00D51C4F">
        <w:t xml:space="preserve"> my research shows that</w:t>
      </w:r>
      <w:r>
        <w:t xml:space="preserve"> there are many risks in modern day policing when it comes to ineffective engagement between the police and </w:t>
      </w:r>
      <w:r w:rsidR="00D51C4F">
        <w:t xml:space="preserve">their respective </w:t>
      </w:r>
      <w:r>
        <w:t xml:space="preserve">local communities, however, some risks have been reduced over time due to previous </w:t>
      </w:r>
      <w:r w:rsidR="008354EB">
        <w:t>high-profile</w:t>
      </w:r>
      <w:r>
        <w:t xml:space="preserve"> incidents</w:t>
      </w:r>
      <w:r w:rsidR="00D51C4F">
        <w:t xml:space="preserve"> and the positive way that police have dealt with these and the en</w:t>
      </w:r>
      <w:r w:rsidR="00C10CCD">
        <w:t>gagement of the public to assist</w:t>
      </w:r>
      <w:r>
        <w:t xml:space="preserve">. New policing programmes and training has been </w:t>
      </w:r>
      <w:r w:rsidR="00C10CCD">
        <w:t xml:space="preserve">developed and </w:t>
      </w:r>
      <w:r>
        <w:t xml:space="preserve">provided to police officers to try and negate as much negative contact as possible when delivering a service to members of the public and their respective communities. </w:t>
      </w:r>
      <w:r w:rsidR="00EF7387">
        <w:t>It is clear that if ineffective en</w:t>
      </w:r>
      <w:r w:rsidR="00425531">
        <w:t>ga</w:t>
      </w:r>
      <w:r w:rsidR="00EF7387">
        <w:t xml:space="preserve">gement is prevalent then this causes serious issues with community cohesion, causing a loss of trust and confidence within the police being able to keep communities safe. It appears from </w:t>
      </w:r>
      <w:r w:rsidR="006D5264">
        <w:t xml:space="preserve">assessing all my research that no matter how many years pass from </w:t>
      </w:r>
      <w:r w:rsidR="008354EB">
        <w:t>previous police</w:t>
      </w:r>
      <w:r w:rsidR="006D5264">
        <w:t xml:space="preserve"> failing, the police service is required to uphold the most professional and </w:t>
      </w:r>
      <w:r w:rsidR="00425531">
        <w:t xml:space="preserve">proud service possible to be able to maintain a level of security and respect within the communities they serve. </w:t>
      </w:r>
      <w:r w:rsidR="002A5D2B">
        <w:t xml:space="preserve">It becomes apparent that even if one officer conducts themselves in a poor manner within a community, towards a colleague or members of the public then this reflects badly on the entire police force, which has a significant impact, even if the officer did not commit a crime, but spoke to someone </w:t>
      </w:r>
      <w:r w:rsidR="002A5D2B">
        <w:lastRenderedPageBreak/>
        <w:t xml:space="preserve">in a bad manner, this would still show that this behaviour and attitude has somehow slipped through the net and into the wider police force that are there to serve and protect the public in which they also reside. </w:t>
      </w:r>
    </w:p>
    <w:p w14:paraId="5DC416CD" w14:textId="77777777" w:rsidR="00B82B6E" w:rsidRDefault="00B82B6E" w:rsidP="00EF2B22">
      <w:pPr>
        <w:tabs>
          <w:tab w:val="left" w:pos="664"/>
          <w:tab w:val="left" w:pos="666"/>
        </w:tabs>
        <w:spacing w:after="0" w:line="276" w:lineRule="auto"/>
      </w:pPr>
    </w:p>
    <w:p w14:paraId="01555BBA" w14:textId="69A4D04A" w:rsidR="000F294B" w:rsidRDefault="006E483D" w:rsidP="000F294B">
      <w:pPr>
        <w:pStyle w:val="Default"/>
        <w:rPr>
          <w:rFonts w:asciiTheme="minorHAnsi" w:hAnsiTheme="minorHAnsi" w:cstheme="minorHAnsi"/>
          <w:sz w:val="22"/>
          <w:szCs w:val="22"/>
        </w:rPr>
      </w:pPr>
      <w:r>
        <w:rPr>
          <w:rFonts w:asciiTheme="minorHAnsi" w:hAnsiTheme="minorHAnsi" w:cstheme="minorHAnsi"/>
          <w:sz w:val="22"/>
          <w:szCs w:val="22"/>
        </w:rPr>
        <w:t xml:space="preserve">Word count </w:t>
      </w:r>
      <w:r w:rsidR="00FA1D8C">
        <w:rPr>
          <w:rFonts w:asciiTheme="minorHAnsi" w:hAnsiTheme="minorHAnsi" w:cstheme="minorHAnsi"/>
          <w:sz w:val="22"/>
          <w:szCs w:val="22"/>
        </w:rPr>
        <w:t>–</w:t>
      </w:r>
      <w:r>
        <w:rPr>
          <w:rFonts w:asciiTheme="minorHAnsi" w:hAnsiTheme="minorHAnsi" w:cstheme="minorHAnsi"/>
          <w:sz w:val="22"/>
          <w:szCs w:val="22"/>
        </w:rPr>
        <w:t xml:space="preserve"> </w:t>
      </w:r>
      <w:r w:rsidR="00984D22">
        <w:rPr>
          <w:rFonts w:asciiTheme="minorHAnsi" w:hAnsiTheme="minorHAnsi" w:cstheme="minorHAnsi"/>
          <w:sz w:val="22"/>
          <w:szCs w:val="22"/>
        </w:rPr>
        <w:t>1</w:t>
      </w:r>
      <w:r w:rsidR="00FA1D8C">
        <w:rPr>
          <w:rFonts w:asciiTheme="minorHAnsi" w:hAnsiTheme="minorHAnsi" w:cstheme="minorHAnsi"/>
          <w:sz w:val="22"/>
          <w:szCs w:val="22"/>
        </w:rPr>
        <w:t>857</w:t>
      </w:r>
    </w:p>
    <w:p w14:paraId="5E347CFF" w14:textId="77777777" w:rsidR="00CD42A6" w:rsidRDefault="00CD42A6" w:rsidP="000F294B">
      <w:pPr>
        <w:pStyle w:val="Default"/>
        <w:rPr>
          <w:rFonts w:asciiTheme="minorHAnsi" w:hAnsiTheme="minorHAnsi" w:cstheme="minorHAnsi"/>
          <w:sz w:val="22"/>
          <w:szCs w:val="22"/>
        </w:rPr>
      </w:pPr>
    </w:p>
    <w:p w14:paraId="42ACA6B1" w14:textId="3EBC707F" w:rsidR="000F294B" w:rsidRPr="00FA1D8C" w:rsidRDefault="000F294B" w:rsidP="000F294B">
      <w:pPr>
        <w:pStyle w:val="Default"/>
        <w:rPr>
          <w:rFonts w:asciiTheme="minorHAnsi" w:hAnsiTheme="minorHAnsi" w:cstheme="minorHAnsi"/>
          <w:b/>
          <w:bCs/>
          <w:sz w:val="22"/>
          <w:szCs w:val="22"/>
        </w:rPr>
      </w:pPr>
      <w:r w:rsidRPr="00FA1D8C">
        <w:rPr>
          <w:rFonts w:asciiTheme="minorHAnsi" w:hAnsiTheme="minorHAnsi" w:cstheme="minorHAnsi"/>
          <w:b/>
          <w:bCs/>
          <w:sz w:val="22"/>
          <w:szCs w:val="22"/>
        </w:rPr>
        <w:t>To what extent do response officers have a role in counter-terrorism policing? Your answer must be based on academic research, although you may make reference to recent, relevant case studies</w:t>
      </w:r>
      <w:r w:rsidR="00173A65" w:rsidRPr="00FA1D8C">
        <w:rPr>
          <w:rFonts w:asciiTheme="minorHAnsi" w:hAnsiTheme="minorHAnsi" w:cstheme="minorHAnsi"/>
          <w:b/>
          <w:bCs/>
          <w:sz w:val="22"/>
          <w:szCs w:val="22"/>
        </w:rPr>
        <w:t>(2000 words)</w:t>
      </w:r>
      <w:r w:rsidRPr="00FA1D8C">
        <w:rPr>
          <w:rFonts w:asciiTheme="minorHAnsi" w:hAnsiTheme="minorHAnsi" w:cstheme="minorHAnsi"/>
          <w:b/>
          <w:bCs/>
          <w:sz w:val="22"/>
          <w:szCs w:val="22"/>
        </w:rPr>
        <w:t xml:space="preserve">. </w:t>
      </w:r>
    </w:p>
    <w:p w14:paraId="69C46F00" w14:textId="77777777" w:rsidR="00DD1015" w:rsidRDefault="00DD1015" w:rsidP="00EF2B22">
      <w:pPr>
        <w:tabs>
          <w:tab w:val="left" w:pos="664"/>
          <w:tab w:val="left" w:pos="666"/>
        </w:tabs>
        <w:spacing w:after="0" w:line="276" w:lineRule="auto"/>
      </w:pPr>
    </w:p>
    <w:p w14:paraId="1A950EDA" w14:textId="5664CA42" w:rsidR="00CB560F" w:rsidRDefault="00DD1015" w:rsidP="00EF2B22">
      <w:pPr>
        <w:tabs>
          <w:tab w:val="left" w:pos="664"/>
          <w:tab w:val="left" w:pos="666"/>
        </w:tabs>
        <w:spacing w:after="0" w:line="276" w:lineRule="auto"/>
      </w:pPr>
      <w:r>
        <w:t>Counter terrorism policing is in place, to</w:t>
      </w:r>
      <w:r w:rsidR="00A01430" w:rsidRPr="00A01430">
        <w:t xml:space="preserve"> protect the public</w:t>
      </w:r>
      <w:r>
        <w:t>,</w:t>
      </w:r>
      <w:r w:rsidR="00A01430" w:rsidRPr="00A01430">
        <w:t xml:space="preserve"> and our national security</w:t>
      </w:r>
      <w:r>
        <w:t>.</w:t>
      </w:r>
      <w:r w:rsidR="00A01430" w:rsidRPr="00A01430">
        <w:t xml:space="preserve"> UK police forces have joined forces with the intelligence community to form </w:t>
      </w:r>
      <w:r>
        <w:t>c</w:t>
      </w:r>
      <w:r w:rsidR="00A01430" w:rsidRPr="00A01430">
        <w:t xml:space="preserve">ounter </w:t>
      </w:r>
      <w:r>
        <w:t>t</w:t>
      </w:r>
      <w:r w:rsidR="00A01430" w:rsidRPr="00A01430">
        <w:t>errorism Policing, which works to prevent, discourage, and investigate terrorist activity</w:t>
      </w:r>
      <w:r w:rsidR="006D0A27">
        <w:t xml:space="preserve">. </w:t>
      </w:r>
      <w:r w:rsidR="006D0A27" w:rsidRPr="006D0A27">
        <w:t>It has a network of regional units that offer their respective regions specialised support and coordination. Additionally, it focuses on protective security measures, including the use of armed professionals, the carrying out of defensive searches, and prevention of drone threats. In order to make the world an unsafe environment for terrorists to operate, it provides free training and promotes public alertness.</w:t>
      </w:r>
      <w:r w:rsidR="00A01430">
        <w:t xml:space="preserve"> </w:t>
      </w:r>
      <w:r w:rsidR="00A01430" w:rsidRPr="00A01430">
        <w:t>(Counter Terrorism Policing</w:t>
      </w:r>
      <w:r w:rsidR="00A01430">
        <w:t>, 2018</w:t>
      </w:r>
      <w:r w:rsidR="00A01430" w:rsidRPr="00A01430">
        <w:t>)</w:t>
      </w:r>
      <w:r w:rsidR="00A01430">
        <w:t>.</w:t>
      </w:r>
      <w:r>
        <w:t xml:space="preserve"> </w:t>
      </w:r>
    </w:p>
    <w:p w14:paraId="2FCBDA94" w14:textId="77777777" w:rsidR="002C1F31" w:rsidRDefault="002C1F31" w:rsidP="00EF2B22">
      <w:pPr>
        <w:tabs>
          <w:tab w:val="left" w:pos="664"/>
          <w:tab w:val="left" w:pos="666"/>
        </w:tabs>
        <w:spacing w:after="0" w:line="276" w:lineRule="auto"/>
      </w:pPr>
    </w:p>
    <w:p w14:paraId="528C7328" w14:textId="21394D63" w:rsidR="002C1F31" w:rsidRDefault="001C49F5" w:rsidP="00EF2B22">
      <w:pPr>
        <w:tabs>
          <w:tab w:val="left" w:pos="664"/>
          <w:tab w:val="left" w:pos="666"/>
        </w:tabs>
        <w:spacing w:after="0" w:line="276" w:lineRule="auto"/>
      </w:pPr>
      <w:r>
        <w:t>R</w:t>
      </w:r>
      <w:r w:rsidR="002C1F31" w:rsidRPr="002C1F31">
        <w:t>esponse police</w:t>
      </w:r>
      <w:r>
        <w:t xml:space="preserve"> officers</w:t>
      </w:r>
      <w:r w:rsidR="002C1F31" w:rsidRPr="002C1F31">
        <w:t xml:space="preserve"> play a number of roles in counter</w:t>
      </w:r>
      <w:r w:rsidR="002C1F31">
        <w:t xml:space="preserve"> </w:t>
      </w:r>
      <w:r w:rsidR="002C1F31" w:rsidRPr="002C1F31">
        <w:t>terrorism, including finding potential terrorists who reside in or operate within their area of responsibility, assisting in the protection of targets who are particularly vulnerable, coordinating the first response to terrorist attacks, and working regularly with other units in fighting the threat of terrorism. to employ individuals in a variety of specialised professions, including communications, forensics, digital exploitation, financial investigations, and community relations.</w:t>
      </w:r>
      <w:r w:rsidR="002C1F31" w:rsidRPr="002C1F31">
        <w:cr/>
        <w:t xml:space="preserve"> By identifying those who are at danger, evaluating the nature and severity of that risk, and creating the best assistance plan for the persons in question, work with other organisations (such as health and education agencies) to protect those who are at risk of being persuaded into terrorism</w:t>
      </w:r>
      <w:r w:rsidR="002C1F31">
        <w:t xml:space="preserve"> </w:t>
      </w:r>
      <w:r w:rsidR="002C1F31" w:rsidRPr="002C1F31">
        <w:t>(Clarke and Newman</w:t>
      </w:r>
      <w:r w:rsidR="002C1F31">
        <w:t>, 2019</w:t>
      </w:r>
      <w:r w:rsidR="002C1F31" w:rsidRPr="002C1F31">
        <w:t>).</w:t>
      </w:r>
    </w:p>
    <w:p w14:paraId="4F6FF101" w14:textId="77777777" w:rsidR="00B14135" w:rsidRDefault="00B14135" w:rsidP="00EF2B22">
      <w:pPr>
        <w:tabs>
          <w:tab w:val="left" w:pos="664"/>
          <w:tab w:val="left" w:pos="666"/>
        </w:tabs>
        <w:spacing w:after="0" w:line="276" w:lineRule="auto"/>
      </w:pPr>
    </w:p>
    <w:p w14:paraId="156543C2" w14:textId="26FF2814" w:rsidR="00B14135" w:rsidRDefault="00B14135" w:rsidP="00EF2B22">
      <w:pPr>
        <w:tabs>
          <w:tab w:val="left" w:pos="664"/>
          <w:tab w:val="left" w:pos="666"/>
        </w:tabs>
        <w:spacing w:after="0" w:line="276" w:lineRule="auto"/>
      </w:pPr>
      <w:r w:rsidRPr="00B14135">
        <w:t xml:space="preserve">The </w:t>
      </w:r>
      <w:r>
        <w:t>United Kingdom (</w:t>
      </w:r>
      <w:r w:rsidRPr="00B14135">
        <w:t>UK</w:t>
      </w:r>
      <w:r>
        <w:t>)</w:t>
      </w:r>
      <w:r w:rsidRPr="00B14135">
        <w:t xml:space="preserve"> government has generally classified crowded areas as potential terrorist targets. Therefore, it is essential that security personnel in charge of crowd control receive adequate support and security awareness training to enable them to enhance </w:t>
      </w:r>
      <w:r w:rsidR="000F3969">
        <w:t xml:space="preserve">protection. </w:t>
      </w:r>
      <w:r w:rsidR="00241C85">
        <w:t xml:space="preserve">Some of the classified crowded areas are shopping centres, </w:t>
      </w:r>
      <w:r w:rsidR="00CB5CFE">
        <w:t xml:space="preserve">sports stadiums, pubs, clubs and bars </w:t>
      </w:r>
      <w:r w:rsidR="00363903" w:rsidRPr="00363903">
        <w:t>(Booth et al.</w:t>
      </w:r>
      <w:r w:rsidR="00363903">
        <w:t>, 2022</w:t>
      </w:r>
      <w:r w:rsidR="00363903" w:rsidRPr="00363903">
        <w:t>)</w:t>
      </w:r>
      <w:r w:rsidR="00363903">
        <w:t xml:space="preserve">. </w:t>
      </w:r>
      <w:r w:rsidR="00BC3646">
        <w:t xml:space="preserve">On the evening of </w:t>
      </w:r>
      <w:r w:rsidR="003B0EB0">
        <w:t>22</w:t>
      </w:r>
      <w:r w:rsidR="003B0EB0" w:rsidRPr="003B0EB0">
        <w:rPr>
          <w:vertAlign w:val="superscript"/>
        </w:rPr>
        <w:t>nd</w:t>
      </w:r>
      <w:r w:rsidR="003B0EB0">
        <w:t xml:space="preserve"> May 2017, a terrorist attack happened in the Manchester arena in the UK, this happened during an Ariana Grande concert as was completely unexpected, thus being one of the most recent, most talked about terror attacks within the UK. </w:t>
      </w:r>
      <w:r w:rsidR="005D1B4A">
        <w:t xml:space="preserve">A male by the name of </w:t>
      </w:r>
      <w:r w:rsidR="005D1B4A" w:rsidRPr="005D1B4A">
        <w:t>Salman Abedi, entered the foyer as the concert was ending, detonated a bomb contained in a rucksack he was wearing, killing 22, injuring 139 physically, and many more suffered psychological injuries as they made their way through the Arena's foyer towards the exits, where many parents were waiting to collect their children who attended the concert. Since the July 7th London Underground and bus bombings that killed 52 people and injured over 700 more, this was the first successful terrorist bombing in the UK to use an improvised explosive device (IED)</w:t>
      </w:r>
      <w:r w:rsidR="00C0439B">
        <w:t xml:space="preserve"> </w:t>
      </w:r>
      <w:r w:rsidR="00943D21" w:rsidRPr="00943D21">
        <w:t>(Lowe</w:t>
      </w:r>
      <w:r w:rsidR="00943D21">
        <w:t>, 2020</w:t>
      </w:r>
      <w:r w:rsidR="00943D21" w:rsidRPr="00943D21">
        <w:t>)</w:t>
      </w:r>
      <w:r w:rsidR="00943D21">
        <w:t xml:space="preserve">. </w:t>
      </w:r>
    </w:p>
    <w:p w14:paraId="0DDE904A" w14:textId="77777777" w:rsidR="00F06CDE" w:rsidRDefault="00F06CDE" w:rsidP="00EF2B22">
      <w:pPr>
        <w:tabs>
          <w:tab w:val="left" w:pos="664"/>
          <w:tab w:val="left" w:pos="666"/>
        </w:tabs>
        <w:spacing w:after="0" w:line="276" w:lineRule="auto"/>
      </w:pPr>
    </w:p>
    <w:p w14:paraId="223C8565" w14:textId="7C67A4AB" w:rsidR="00F06CDE" w:rsidRDefault="00F06CDE" w:rsidP="00EF2B22">
      <w:pPr>
        <w:tabs>
          <w:tab w:val="left" w:pos="664"/>
          <w:tab w:val="left" w:pos="666"/>
        </w:tabs>
        <w:spacing w:after="0" w:line="276" w:lineRule="auto"/>
      </w:pPr>
      <w:r>
        <w:t xml:space="preserve">Due to the Manchester arena bombing </w:t>
      </w:r>
      <w:r w:rsidR="00A62827">
        <w:t xml:space="preserve">a review of the policing response and actions taken by the emergency services that attended this disaster. </w:t>
      </w:r>
      <w:r w:rsidR="00342F36">
        <w:t>This review took a dive into risk awareness and particularly digital technologies</w:t>
      </w:r>
      <w:r w:rsidR="00325DB2">
        <w:t>, including social media</w:t>
      </w:r>
      <w:r w:rsidR="00342F36">
        <w:t xml:space="preserve"> and how important they now become in detecting terror attacks before they happen and also a way to disseminate information to the public as quickly as possible. </w:t>
      </w:r>
      <w:r w:rsidR="00973210" w:rsidRPr="00973210">
        <w:t xml:space="preserve">Social media, which is heavily reliant on digital technologies, is growing in importance as a means of exchanging information. This raises concerns about how information webs affect risk awareness' ability to persist. What are the trends in how people use websites like Wikipedia to find information about great catastrophes? Is </w:t>
      </w:r>
      <w:r w:rsidR="00973210" w:rsidRPr="00973210">
        <w:lastRenderedPageBreak/>
        <w:t>there a connection between news stories about the event that were published in the media and people's intentions to use Wikipedia to look up further details? What are the historical trends of the traffic on the Wikipedia page for the Manchester bombing?</w:t>
      </w:r>
      <w:r w:rsidR="00973210">
        <w:t xml:space="preserve"> </w:t>
      </w:r>
      <w:r w:rsidR="00620CA6" w:rsidRPr="00620CA6">
        <w:t>(Yosipof et al.</w:t>
      </w:r>
      <w:r w:rsidR="00620CA6">
        <w:t>, 2017</w:t>
      </w:r>
      <w:r w:rsidR="00620CA6" w:rsidRPr="00620CA6">
        <w:t>)</w:t>
      </w:r>
      <w:r w:rsidR="00620CA6">
        <w:t>.</w:t>
      </w:r>
      <w:r w:rsidR="008B1515">
        <w:t xml:space="preserve"> During the Manchester bombing, members of the public were using a live video stream on to social media to publicly broadcast what was happening at the location, this kind of video was shared very quickly across the internet and at this point, it was realised by police forces that social media is a very fast way to get a message out of an urgent nature. </w:t>
      </w:r>
      <w:r w:rsidR="004C5E2D">
        <w:t xml:space="preserve">The videos that were shown online also allows police officers to watch them and seize as evidence to be able to get a better understanding of what actually happened within the arena and outside. </w:t>
      </w:r>
    </w:p>
    <w:p w14:paraId="4BF92909" w14:textId="77777777" w:rsidR="005F1A09" w:rsidRDefault="005F1A09" w:rsidP="000410FD">
      <w:pPr>
        <w:tabs>
          <w:tab w:val="left" w:pos="664"/>
          <w:tab w:val="left" w:pos="666"/>
        </w:tabs>
        <w:spacing w:after="0" w:line="276" w:lineRule="auto"/>
        <w:ind w:right="928"/>
      </w:pPr>
    </w:p>
    <w:p w14:paraId="441F6C30" w14:textId="6F901877" w:rsidR="000410FD" w:rsidRDefault="00750247" w:rsidP="000410FD">
      <w:pPr>
        <w:tabs>
          <w:tab w:val="left" w:pos="664"/>
          <w:tab w:val="left" w:pos="666"/>
        </w:tabs>
        <w:spacing w:after="0" w:line="276" w:lineRule="auto"/>
        <w:ind w:right="928"/>
      </w:pPr>
      <w:r>
        <w:t xml:space="preserve">One of the most globally known terrorist attacks are those that took place </w:t>
      </w:r>
      <w:r w:rsidR="008733E0">
        <w:t xml:space="preserve">in the United States of America on </w:t>
      </w:r>
      <w:r w:rsidR="008733E0" w:rsidRPr="008733E0">
        <w:t xml:space="preserve">September 11, 2001, </w:t>
      </w:r>
      <w:r w:rsidR="008733E0">
        <w:t xml:space="preserve">they </w:t>
      </w:r>
      <w:r w:rsidR="008733E0" w:rsidRPr="008733E0">
        <w:t>had a significant impact on American policing and forced police agencies to significantly change a number of aspects of their operations, training, and policy.</w:t>
      </w:r>
      <w:r w:rsidR="006B2201">
        <w:t xml:space="preserve"> Due to these events, police forces across the world reviewed their policies and strategies.</w:t>
      </w:r>
      <w:r w:rsidR="00341A14">
        <w:t xml:space="preserve"> </w:t>
      </w:r>
      <w:r w:rsidR="00341A14" w:rsidRPr="00341A14">
        <w:t xml:space="preserve">Police forces </w:t>
      </w:r>
      <w:r w:rsidR="006B2201">
        <w:t>were forced to</w:t>
      </w:r>
      <w:r w:rsidR="00341A14" w:rsidRPr="00341A14">
        <w:t xml:space="preserve"> rapidly improve the sharing of terrorism intelligence among agencies at all levels as well as conduct more advanced intelligence gathering and analysis. Additionally, there is a need for more sophisticated operational guidelines for dealing with terrorism, increased collaboration and resource sharing among local public safety organisations, and more thorough training that exposes police officers to the realities of modern terrorist tactics and activities</w:t>
      </w:r>
      <w:r w:rsidR="00DF3CA1">
        <w:t xml:space="preserve"> </w:t>
      </w:r>
      <w:r w:rsidR="00DF3CA1" w:rsidRPr="00DF3CA1">
        <w:t>(Henry</w:t>
      </w:r>
      <w:r w:rsidR="00DF3CA1">
        <w:t>, 2002</w:t>
      </w:r>
      <w:r w:rsidR="00DF3CA1" w:rsidRPr="00DF3CA1">
        <w:t>)</w:t>
      </w:r>
      <w:r w:rsidR="00341A14" w:rsidRPr="00341A14">
        <w:t>.</w:t>
      </w:r>
      <w:r w:rsidR="00F5168A">
        <w:t xml:space="preserve"> </w:t>
      </w:r>
    </w:p>
    <w:p w14:paraId="72818716" w14:textId="77777777" w:rsidR="00350BD7" w:rsidRDefault="00350BD7" w:rsidP="000410FD">
      <w:pPr>
        <w:tabs>
          <w:tab w:val="left" w:pos="664"/>
          <w:tab w:val="left" w:pos="666"/>
        </w:tabs>
        <w:spacing w:after="0" w:line="276" w:lineRule="auto"/>
        <w:ind w:right="928"/>
      </w:pPr>
    </w:p>
    <w:p w14:paraId="1CEAE7CF" w14:textId="150E57F9" w:rsidR="00350BD7" w:rsidRDefault="00350BD7" w:rsidP="000410FD">
      <w:pPr>
        <w:tabs>
          <w:tab w:val="left" w:pos="664"/>
          <w:tab w:val="left" w:pos="666"/>
        </w:tabs>
        <w:spacing w:after="0" w:line="276" w:lineRule="auto"/>
        <w:ind w:right="928"/>
      </w:pPr>
      <w:r w:rsidRPr="00350BD7">
        <w:t>The main objective of the "war on terror" was immediately defined to be protecting civilisation in the early aftermath of the September 11, 2001 attacks on America. This inclusion of civilisation, whether on purpose or not, was related to Samuel Huntington's "Clash of Civilizations" idea. International practises including extrajudicial assassination, extraordinary rendition, and torture have made the shadowy side of counterterrorism visible throughout the so-called "war on terror." Despite the negative effects of Western governments' policies on their native Muslim populations, social and political research has been comparatively underdeveloped</w:t>
      </w:r>
      <w:r w:rsidR="004838F5">
        <w:t>. Addition</w:t>
      </w:r>
      <w:r w:rsidR="001F2DC0">
        <w:t>ally, t</w:t>
      </w:r>
      <w:r w:rsidR="004838F5" w:rsidRPr="004838F5">
        <w:t>he UK government's efforts to increase social restraints within the nation-state and use violence are found to have hidden costs. The thesis is said to be useless when attempting to understand the underlying processes, despite the fact that counterterrorism efforts are promoting a vicious cycle of hatred that could be used to support the 'Clash of Civilizations' theory</w:t>
      </w:r>
      <w:r w:rsidR="001F2DC0">
        <w:t xml:space="preserve"> </w:t>
      </w:r>
      <w:r w:rsidR="001F2DC0" w:rsidRPr="001F2DC0">
        <w:t>(Vertigans</w:t>
      </w:r>
      <w:r w:rsidR="001F2DC0">
        <w:t>, 2010</w:t>
      </w:r>
      <w:r w:rsidR="001F2DC0" w:rsidRPr="001F2DC0">
        <w:t>)</w:t>
      </w:r>
      <w:r w:rsidR="004838F5" w:rsidRPr="004838F5">
        <w:t>.</w:t>
      </w:r>
    </w:p>
    <w:p w14:paraId="5557F970" w14:textId="77777777" w:rsidR="00D4297E" w:rsidRDefault="00D4297E" w:rsidP="000410FD">
      <w:pPr>
        <w:tabs>
          <w:tab w:val="left" w:pos="664"/>
          <w:tab w:val="left" w:pos="666"/>
        </w:tabs>
        <w:spacing w:after="0" w:line="276" w:lineRule="auto"/>
        <w:ind w:right="928"/>
      </w:pPr>
    </w:p>
    <w:p w14:paraId="40A606AA" w14:textId="77777777" w:rsidR="007866B2" w:rsidRDefault="00D4297E" w:rsidP="007866B2">
      <w:pPr>
        <w:tabs>
          <w:tab w:val="left" w:pos="664"/>
          <w:tab w:val="left" w:pos="666"/>
        </w:tabs>
        <w:spacing w:after="0" w:line="276" w:lineRule="auto"/>
      </w:pPr>
      <w:r>
        <w:t>In a study conducted by the British Journal of Criminology, they found that e</w:t>
      </w:r>
      <w:r w:rsidRPr="005D109B">
        <w:t>ven while there is an increasing amount of study on the psychological effects of terrorist attacks, there is still comparably little empirical analysis of how they affect people's fears of future attacks, opinions of the police, or the unity of society. Based on interviews with almost 100,000 Londoners, they discovered higher levels of anxiety after the majority of domestic attacks. More unfavourable evaluations of the police's capacity to respond to emerging threats temper improvements in their overall ratings. Additionally, they discovered that when compared to Islamic terror strikes, far-right incidents are less closely associated with alterations in public opinion of the police and worries about impending attacks. Social cohesiveness effects are less predictable</w:t>
      </w:r>
      <w:r w:rsidR="007866B2">
        <w:t xml:space="preserve">. </w:t>
      </w:r>
      <w:r w:rsidR="007866B2" w:rsidRPr="005D109B">
        <w:t>They observed decreases in cohesiveness after certain attacks but rises after others</w:t>
      </w:r>
      <w:r w:rsidR="007866B2">
        <w:t xml:space="preserve"> </w:t>
      </w:r>
      <w:r w:rsidR="007866B2" w:rsidRPr="00B83B36">
        <w:t>(Fenn and Brunton-Smith</w:t>
      </w:r>
      <w:r w:rsidR="007866B2">
        <w:t>, 2020</w:t>
      </w:r>
      <w:r w:rsidR="007866B2" w:rsidRPr="00B83B36">
        <w:t>)</w:t>
      </w:r>
      <w:r w:rsidR="007866B2" w:rsidRPr="005D109B">
        <w:t>.</w:t>
      </w:r>
    </w:p>
    <w:p w14:paraId="76D07197" w14:textId="3C5A85CB" w:rsidR="007866B2" w:rsidRDefault="007866B2" w:rsidP="00D4297E">
      <w:pPr>
        <w:tabs>
          <w:tab w:val="left" w:pos="664"/>
          <w:tab w:val="left" w:pos="666"/>
        </w:tabs>
        <w:spacing w:after="0" w:line="276" w:lineRule="auto"/>
      </w:pPr>
    </w:p>
    <w:p w14:paraId="18DDD070" w14:textId="29690CBB" w:rsidR="00D4297E" w:rsidRDefault="001E3FBE" w:rsidP="000410FD">
      <w:pPr>
        <w:tabs>
          <w:tab w:val="left" w:pos="664"/>
          <w:tab w:val="left" w:pos="666"/>
        </w:tabs>
        <w:spacing w:after="0" w:line="276" w:lineRule="auto"/>
        <w:ind w:right="928"/>
      </w:pPr>
      <w:r w:rsidRPr="001E3FBE">
        <w:t xml:space="preserve">Since January 2007, 75 people have been found guilty of major terrorist charges and sentenced to more than 1,000 years in prison. Particularly, more over half of them entered guilty pleas. 34 </w:t>
      </w:r>
      <w:r w:rsidRPr="001E3FBE">
        <w:lastRenderedPageBreak/>
        <w:t>people continue to await trial</w:t>
      </w:r>
      <w:r w:rsidR="00377581">
        <w:t xml:space="preserve"> </w:t>
      </w:r>
      <w:r w:rsidR="00377581" w:rsidRPr="00377581">
        <w:t>(Bettison</w:t>
      </w:r>
      <w:r w:rsidR="00377581">
        <w:t>, 2009</w:t>
      </w:r>
      <w:r w:rsidR="00377581" w:rsidRPr="00377581">
        <w:t>)</w:t>
      </w:r>
      <w:r w:rsidRPr="001E3FBE">
        <w:t>.</w:t>
      </w:r>
      <w:r>
        <w:t xml:space="preserve"> </w:t>
      </w:r>
      <w:r w:rsidR="005E349F">
        <w:t xml:space="preserve">The reason for so many potential terrorists being caught and handed jail terms is due to good police work. The police are expected to conduct many enquiries and actions in the fight against terrorism. The police </w:t>
      </w:r>
      <w:r w:rsidR="00156F26">
        <w:t xml:space="preserve">need </w:t>
      </w:r>
      <w:r w:rsidR="00613322">
        <w:t>t</w:t>
      </w:r>
      <w:r w:rsidR="00613322" w:rsidRPr="00613322">
        <w:t>o discredit the ideology sustaining violent extremism and give alternative narratives and concepts more prominence and credibility, challenge extremist ideology and encourage mainstream voices. Disrupt those who support violent extremism and aid the organisations where they are present in order to make them ineffective while strengthening institutions' ability to deal with individuals who support violent extremism. So that vulnerable individuals are encouraged to identify and pursue compelling and good alternatives to violent extremism activity, support those who are being targeted and recruited to the cause of violent extremism and develop systems for supporting them</w:t>
      </w:r>
      <w:r w:rsidR="00603B50">
        <w:t xml:space="preserve"> and finally, </w:t>
      </w:r>
      <w:r w:rsidR="00603B50" w:rsidRPr="00603B50">
        <w:t>successfully address real complaints that contribute to violent extremism and disprove perceived grievances, address the concerns that ideologues are exploiting</w:t>
      </w:r>
      <w:r w:rsidR="0072002A">
        <w:t xml:space="preserve"> </w:t>
      </w:r>
      <w:r w:rsidR="0072002A" w:rsidRPr="0072002A">
        <w:t>(Bettison</w:t>
      </w:r>
      <w:r w:rsidR="0072002A">
        <w:t>, 2009</w:t>
      </w:r>
      <w:r w:rsidR="0072002A" w:rsidRPr="0072002A">
        <w:t>)</w:t>
      </w:r>
      <w:r w:rsidR="00603B50" w:rsidRPr="00603B50">
        <w:t>.</w:t>
      </w:r>
    </w:p>
    <w:p w14:paraId="30A81171" w14:textId="77777777" w:rsidR="005F1A09" w:rsidRDefault="005F1A09" w:rsidP="00EF2B22">
      <w:pPr>
        <w:spacing w:after="0"/>
      </w:pPr>
    </w:p>
    <w:p w14:paraId="3AB1E75B" w14:textId="673C5F16" w:rsidR="005F1A09" w:rsidRDefault="005D2CCE" w:rsidP="00EF2B22">
      <w:pPr>
        <w:spacing w:after="0"/>
      </w:pPr>
      <w:r w:rsidRPr="005D2CCE">
        <w:t>Growing political and academic criticism has identified Preventing Violent Extremism (PVE), the government's 'hearts and minds' response to the threat of domestic Islamist terrorism within the larger CONTEST strategy, as both ineffective and friendless. In direct opposition to the overriding policy objective of community balance, PVE's monocultural concentration on Muslims has led to demands of both surveillance and the influence of 'value changes' inside Muslim communities. Political disagreement within the Labour administration about how to strike a balance between community participation and policing has led to local confrontations regarding the practical implementation of PVE, and these issues make the future of this crucial anti-terrorism policy area uncertain</w:t>
      </w:r>
      <w:r w:rsidR="005E7266">
        <w:t xml:space="preserve"> </w:t>
      </w:r>
      <w:r w:rsidR="005E7266" w:rsidRPr="005E7266">
        <w:t>(Thomas</w:t>
      </w:r>
      <w:r w:rsidR="005E7266">
        <w:t>, 2010</w:t>
      </w:r>
      <w:r w:rsidR="005E7266" w:rsidRPr="005E7266">
        <w:t>)</w:t>
      </w:r>
      <w:r w:rsidRPr="005D2CCE">
        <w:t>.</w:t>
      </w:r>
      <w:r w:rsidR="004757F7">
        <w:t xml:space="preserve"> </w:t>
      </w:r>
    </w:p>
    <w:p w14:paraId="64F1AFA9" w14:textId="77777777" w:rsidR="008321B0" w:rsidRDefault="008321B0" w:rsidP="00EF2B22">
      <w:pPr>
        <w:spacing w:after="0"/>
      </w:pPr>
    </w:p>
    <w:p w14:paraId="67AB0085" w14:textId="5A1602C9" w:rsidR="008321B0" w:rsidRDefault="008321B0" w:rsidP="00EF2B22">
      <w:pPr>
        <w:spacing w:after="0"/>
      </w:pPr>
      <w:r>
        <w:t xml:space="preserve">The UK government provided police with extra powers to be able to deal with and manage </w:t>
      </w:r>
      <w:r w:rsidR="006A438A">
        <w:t xml:space="preserve">suspected terrorist more efficiently. A power for searching premises was granted which allows police to be able to apply for a warrant from the courts to search the premises of any offender released on licence </w:t>
      </w:r>
      <w:r w:rsidR="00E26FFC">
        <w:t xml:space="preserve">to be able to assess their terrorism risk level. This also includes the police being able to ensure the offender is in compliance with their licence. Additionally, </w:t>
      </w:r>
      <w:r w:rsidR="00AE7C1F">
        <w:t xml:space="preserve">a personal search power was provided which allows police to carry out personal searches on a terrorist offender as and when it is a requirement of their licence conditions. Finally, an urgent arrest power was passed enabling the police </w:t>
      </w:r>
      <w:r w:rsidR="006F1E13">
        <w:t xml:space="preserve">to arrest a known terrorist offender for recall to prison if they are in breach of their licence, this </w:t>
      </w:r>
      <w:r w:rsidR="00603872">
        <w:t>arrest power does not require a warrant for it to be carried out</w:t>
      </w:r>
      <w:r w:rsidR="00AD1FB9">
        <w:t xml:space="preserve"> </w:t>
      </w:r>
      <w:r w:rsidR="00AD1FB9" w:rsidRPr="00AD1FB9">
        <w:t>(gov.uk</w:t>
      </w:r>
      <w:r w:rsidR="00634598">
        <w:t>, 2022</w:t>
      </w:r>
      <w:r w:rsidR="00AD1FB9" w:rsidRPr="00AD1FB9">
        <w:t>)</w:t>
      </w:r>
      <w:r w:rsidR="00603872">
        <w:t xml:space="preserve">. </w:t>
      </w:r>
    </w:p>
    <w:p w14:paraId="5C16AB3E" w14:textId="77777777" w:rsidR="004757F7" w:rsidRDefault="004757F7" w:rsidP="00EF2B22">
      <w:pPr>
        <w:spacing w:after="0"/>
      </w:pPr>
    </w:p>
    <w:p w14:paraId="30D2DF9E" w14:textId="35E60D18" w:rsidR="00BE4B81" w:rsidRDefault="00BE4B81" w:rsidP="00EF2B22">
      <w:pPr>
        <w:spacing w:after="0"/>
      </w:pPr>
      <w:r>
        <w:t xml:space="preserve">In conclusion, my research shows that the police were not entirely prepared to respond to terrorist incidents due to them not being so common as other offending behaviour. It is clear that any terrorist incident poses a huge threat to national security, to members of the public and to all of the emergency services whom attend to manage the incident. Furthermore, my research suggests that after such major incidents take place like the Manchester Arena bombing, the police, the UK government and law enforcement globally learn and adapt to the way of the terrorist, their behaviours leading up to the incident, how it is carried out and how best to manage and detect this behaviour earlier to prevent such disasters from happening too often. </w:t>
      </w:r>
      <w:r w:rsidR="001134BB">
        <w:t xml:space="preserve">Research shows that extra training and equipment have been provided to police forces across the world to enable frontline officers to be best equipped when they are first on scene, along with extra powers </w:t>
      </w:r>
      <w:r w:rsidR="00C94780">
        <w:t>that have been passed by the government. However, it is clear that police forces globally still do need to improve with intelligence lead policing in order to capture terrorist offenders before they cause a catastrophe</w:t>
      </w:r>
      <w:r w:rsidR="0021464E">
        <w:t xml:space="preserve">. With all of this in mind, counter terrorism policing is solely focussed around keeping the general public as safe as possible as well as the communities they reside in, without causing any bias to any particular religion or ethnicity and promoting a good community network allowing better work between the police and their respective communities. </w:t>
      </w:r>
    </w:p>
    <w:p w14:paraId="5A5DFA65" w14:textId="77777777" w:rsidR="004757F7" w:rsidRDefault="004757F7" w:rsidP="00EF2B22">
      <w:pPr>
        <w:spacing w:after="0"/>
      </w:pPr>
    </w:p>
    <w:p w14:paraId="3B59552B" w14:textId="62D84F19" w:rsidR="006E483D" w:rsidRPr="005F1A09" w:rsidRDefault="006E483D" w:rsidP="00EF2B22">
      <w:pPr>
        <w:spacing w:after="0"/>
      </w:pPr>
      <w:r>
        <w:t>Word count - 1</w:t>
      </w:r>
      <w:r w:rsidR="000F4AA3">
        <w:t>815</w:t>
      </w:r>
    </w:p>
    <w:p w14:paraId="556B98C6" w14:textId="77777777" w:rsidR="000B62F7" w:rsidRDefault="0014239D" w:rsidP="00EF2B22">
      <w:pPr>
        <w:spacing w:after="0"/>
        <w:jc w:val="both"/>
      </w:pPr>
    </w:p>
    <w:p w14:paraId="29AE89AD" w14:textId="56DD7F3A" w:rsidR="00FB4523" w:rsidRDefault="00FB4523" w:rsidP="00EF2B22">
      <w:pPr>
        <w:spacing w:after="0"/>
        <w:jc w:val="both"/>
        <w:rPr>
          <w:b/>
          <w:bCs/>
        </w:rPr>
      </w:pPr>
      <w:r>
        <w:rPr>
          <w:b/>
          <w:bCs/>
        </w:rPr>
        <w:t>Bibliography</w:t>
      </w:r>
    </w:p>
    <w:p w14:paraId="1F757D77" w14:textId="77777777" w:rsidR="00FB4523" w:rsidRDefault="00FB4523" w:rsidP="00EF2B22">
      <w:pPr>
        <w:spacing w:after="0"/>
        <w:jc w:val="both"/>
        <w:rPr>
          <w:b/>
          <w:bCs/>
        </w:rPr>
      </w:pPr>
    </w:p>
    <w:p w14:paraId="423EDC0A"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Bettison, N. “Preventing Violent Extremism--A Police Response.” </w:t>
      </w:r>
      <w:r w:rsidRPr="0014239D">
        <w:rPr>
          <w:rFonts w:asciiTheme="minorHAnsi" w:hAnsiTheme="minorHAnsi" w:cstheme="minorHAnsi"/>
          <w:i/>
          <w:iCs/>
          <w:sz w:val="22"/>
          <w:szCs w:val="22"/>
        </w:rPr>
        <w:t>Policing</w:t>
      </w:r>
      <w:r w:rsidRPr="0014239D">
        <w:rPr>
          <w:rFonts w:asciiTheme="minorHAnsi" w:hAnsiTheme="minorHAnsi" w:cstheme="minorHAnsi"/>
          <w:sz w:val="22"/>
          <w:szCs w:val="22"/>
        </w:rPr>
        <w:t>, vol. 3, no. 2, 1 Jan. 2009, pp. 129–138, https://doi.org/10.1093/police/pap008. Accessed 14 May 2019.</w:t>
      </w:r>
    </w:p>
    <w:p w14:paraId="008C4E78"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Booth, Alasdair, et al. “The Protection of Crowded Places from Terrorist Threats: Does Protective Security Advice Meet the Needs of Security Managers?” </w:t>
      </w:r>
      <w:r w:rsidRPr="0014239D">
        <w:rPr>
          <w:rFonts w:asciiTheme="minorHAnsi" w:hAnsiTheme="minorHAnsi" w:cstheme="minorHAnsi"/>
          <w:i/>
          <w:iCs/>
          <w:sz w:val="22"/>
          <w:szCs w:val="22"/>
        </w:rPr>
        <w:t>Security Journal</w:t>
      </w:r>
      <w:r w:rsidRPr="0014239D">
        <w:rPr>
          <w:rFonts w:asciiTheme="minorHAnsi" w:hAnsiTheme="minorHAnsi" w:cstheme="minorHAnsi"/>
          <w:sz w:val="22"/>
          <w:szCs w:val="22"/>
        </w:rPr>
        <w:t>, 12 Mar. 2022, https://doi.org/10.1057/s41284-022-00332-7. Accessed 13 Apr. 2022.</w:t>
      </w:r>
    </w:p>
    <w:p w14:paraId="21AAF51D"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Brodeur, Jean-Paul. “Trust and Expertise in Policing.” </w:t>
      </w:r>
      <w:r w:rsidRPr="0014239D">
        <w:rPr>
          <w:rFonts w:asciiTheme="minorHAnsi" w:hAnsiTheme="minorHAnsi" w:cstheme="minorHAnsi"/>
          <w:i/>
          <w:iCs/>
          <w:sz w:val="22"/>
          <w:szCs w:val="22"/>
        </w:rPr>
        <w:t>European Police Science and Research Bulletin</w:t>
      </w:r>
      <w:r w:rsidRPr="0014239D">
        <w:rPr>
          <w:rFonts w:asciiTheme="minorHAnsi" w:hAnsiTheme="minorHAnsi" w:cstheme="minorHAnsi"/>
          <w:sz w:val="22"/>
          <w:szCs w:val="22"/>
        </w:rPr>
        <w:t>, vol. Special Issue 2, 2017, p. 105, heinonline.org/HOL/LandingPage?handle=hein.journals/elerb2000&amp;div=17&amp;id=&amp;page=. Accessed 30 Aug. 2023.</w:t>
      </w:r>
    </w:p>
    <w:p w14:paraId="368A10C2"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Brunson, Rod K., and Ronald Weitzer. “Police Relations with Black and White Youths in Different Urban Neighborhoods.” </w:t>
      </w:r>
      <w:r w:rsidRPr="0014239D">
        <w:rPr>
          <w:rFonts w:asciiTheme="minorHAnsi" w:hAnsiTheme="minorHAnsi" w:cstheme="minorHAnsi"/>
          <w:i/>
          <w:iCs/>
          <w:sz w:val="22"/>
          <w:szCs w:val="22"/>
        </w:rPr>
        <w:t>Urban Affairs Review</w:t>
      </w:r>
      <w:r w:rsidRPr="0014239D">
        <w:rPr>
          <w:rFonts w:asciiTheme="minorHAnsi" w:hAnsiTheme="minorHAnsi" w:cstheme="minorHAnsi"/>
          <w:sz w:val="22"/>
          <w:szCs w:val="22"/>
        </w:rPr>
        <w:t>, vol. 44, no. 6, 8 Dec. 2008, pp. 858–885, https://doi.org/10.1177/1078087408326973.</w:t>
      </w:r>
    </w:p>
    <w:p w14:paraId="69B1C2CB"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Cherney, Adrian. “Police Community Engagement and Outreach in a Counterterrorism Context.” </w:t>
      </w:r>
      <w:r w:rsidRPr="0014239D">
        <w:rPr>
          <w:rFonts w:asciiTheme="minorHAnsi" w:hAnsiTheme="minorHAnsi" w:cstheme="minorHAnsi"/>
          <w:i/>
          <w:iCs/>
          <w:sz w:val="22"/>
          <w:szCs w:val="22"/>
        </w:rPr>
        <w:t>Journal of Policing, Intelligence and Counter Terrorism</w:t>
      </w:r>
      <w:r w:rsidRPr="0014239D">
        <w:rPr>
          <w:rFonts w:asciiTheme="minorHAnsi" w:hAnsiTheme="minorHAnsi" w:cstheme="minorHAnsi"/>
          <w:sz w:val="22"/>
          <w:szCs w:val="22"/>
        </w:rPr>
        <w:t>, vol. 13, no. 1, 2 Jan. 2018, pp. 60–79, https://doi.org/10.1080/18335330.2018.1432880. Accessed 15 Oct. 2019.</w:t>
      </w:r>
    </w:p>
    <w:p w14:paraId="638AE5DF"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Clarke, R. V., and G. R. Newman. “Police and the Prevention of Terrorism.” </w:t>
      </w:r>
      <w:r w:rsidRPr="0014239D">
        <w:rPr>
          <w:rFonts w:asciiTheme="minorHAnsi" w:hAnsiTheme="minorHAnsi" w:cstheme="minorHAnsi"/>
          <w:i/>
          <w:iCs/>
          <w:sz w:val="22"/>
          <w:szCs w:val="22"/>
        </w:rPr>
        <w:t>Policing</w:t>
      </w:r>
      <w:r w:rsidRPr="0014239D">
        <w:rPr>
          <w:rFonts w:asciiTheme="minorHAnsi" w:hAnsiTheme="minorHAnsi" w:cstheme="minorHAnsi"/>
          <w:sz w:val="22"/>
          <w:szCs w:val="22"/>
        </w:rPr>
        <w:t>, vol. 1, no. 1, 1 Jan. 2007, pp. 9–20, academic.oup.com/policing/article/1/1/9/1533918, https://doi.org/10.1093/police/pam003. Accessed 28 Dec. 2019.</w:t>
      </w:r>
    </w:p>
    <w:p w14:paraId="62A18D14"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College Of Policing. “Engagement.” </w:t>
      </w:r>
      <w:r w:rsidRPr="0014239D">
        <w:rPr>
          <w:rFonts w:asciiTheme="minorHAnsi" w:hAnsiTheme="minorHAnsi" w:cstheme="minorHAnsi"/>
          <w:i/>
          <w:iCs/>
          <w:sz w:val="22"/>
          <w:szCs w:val="22"/>
        </w:rPr>
        <w:t>College of Policing</w:t>
      </w:r>
      <w:r w:rsidRPr="0014239D">
        <w:rPr>
          <w:rFonts w:asciiTheme="minorHAnsi" w:hAnsiTheme="minorHAnsi" w:cstheme="minorHAnsi"/>
          <w:sz w:val="22"/>
          <w:szCs w:val="22"/>
        </w:rPr>
        <w:t>, 23 Oct. 2013, www.college.police.uk/app/engagement-and-communication/engagement#:~:text=The%20police%20need%20to%20respond. Accessed 30 Aug. 2023.</w:t>
      </w:r>
    </w:p>
    <w:p w14:paraId="6AAE15C6"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lastRenderedPageBreak/>
        <w:t xml:space="preserve">Counter Terrorism Policing. “Counter Terrorism Policing.” </w:t>
      </w:r>
      <w:r w:rsidRPr="0014239D">
        <w:rPr>
          <w:rFonts w:asciiTheme="minorHAnsi" w:hAnsiTheme="minorHAnsi" w:cstheme="minorHAnsi"/>
          <w:i/>
          <w:iCs/>
          <w:sz w:val="22"/>
          <w:szCs w:val="22"/>
        </w:rPr>
        <w:t>Counter Terrorism Policing</w:t>
      </w:r>
      <w:r w:rsidRPr="0014239D">
        <w:rPr>
          <w:rFonts w:asciiTheme="minorHAnsi" w:hAnsiTheme="minorHAnsi" w:cstheme="minorHAnsi"/>
          <w:sz w:val="22"/>
          <w:szCs w:val="22"/>
        </w:rPr>
        <w:t>, 2018, www.counterterrorism.police.uk/.</w:t>
      </w:r>
    </w:p>
    <w:p w14:paraId="33864125"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Fenn, Liam, and Ian Brunton-Smith. “The Effects of Terrorist Incidents on Public Worry of Future Attacks, Views of the Police and Social Cohesion.” </w:t>
      </w:r>
      <w:r w:rsidRPr="0014239D">
        <w:rPr>
          <w:rFonts w:asciiTheme="minorHAnsi" w:hAnsiTheme="minorHAnsi" w:cstheme="minorHAnsi"/>
          <w:i/>
          <w:iCs/>
          <w:sz w:val="22"/>
          <w:szCs w:val="22"/>
        </w:rPr>
        <w:t>The British Journal of Criminology</w:t>
      </w:r>
      <w:r w:rsidRPr="0014239D">
        <w:rPr>
          <w:rFonts w:asciiTheme="minorHAnsi" w:hAnsiTheme="minorHAnsi" w:cstheme="minorHAnsi"/>
          <w:sz w:val="22"/>
          <w:szCs w:val="22"/>
        </w:rPr>
        <w:t>, vol. 61, no. 2, 27 Oct. 2020, pp. 497–518, https://doi.org/10.1093/bjc/azaa070. Accessed 30 Mar. 2021.</w:t>
      </w:r>
    </w:p>
    <w:p w14:paraId="407DF7B7"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gov.uk. “Police, Crime, Sentencing and Courts Bill 2021: Management of Terrorist Offenders Factsheet.” </w:t>
      </w:r>
      <w:r w:rsidRPr="0014239D">
        <w:rPr>
          <w:rFonts w:asciiTheme="minorHAnsi" w:hAnsiTheme="minorHAnsi" w:cstheme="minorHAnsi"/>
          <w:i/>
          <w:iCs/>
          <w:sz w:val="22"/>
          <w:szCs w:val="22"/>
        </w:rPr>
        <w:t>GOV.UK</w:t>
      </w:r>
      <w:r w:rsidRPr="0014239D">
        <w:rPr>
          <w:rFonts w:asciiTheme="minorHAnsi" w:hAnsiTheme="minorHAnsi" w:cstheme="minorHAnsi"/>
          <w:sz w:val="22"/>
          <w:szCs w:val="22"/>
        </w:rPr>
        <w:t>, Aug. 2022, www.gov.uk/government/publications/police-crime-sentencing-and-courts-bill-2021-factsheets/police-crime-sentencing-and-courts-bill-2021-management-of-terrorist-offenders-factsheet.</w:t>
      </w:r>
    </w:p>
    <w:p w14:paraId="3B950810"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Grabosky, Peter. </w:t>
      </w:r>
      <w:r w:rsidRPr="0014239D">
        <w:rPr>
          <w:rFonts w:asciiTheme="minorHAnsi" w:hAnsiTheme="minorHAnsi" w:cstheme="minorHAnsi"/>
          <w:i/>
          <w:iCs/>
          <w:sz w:val="22"/>
          <w:szCs w:val="22"/>
        </w:rPr>
        <w:t>Community Policing and Peacekeeping</w:t>
      </w:r>
      <w:r w:rsidRPr="0014239D">
        <w:rPr>
          <w:rFonts w:asciiTheme="minorHAnsi" w:hAnsiTheme="minorHAnsi" w:cstheme="minorHAnsi"/>
          <w:sz w:val="22"/>
          <w:szCs w:val="22"/>
        </w:rPr>
        <w:t xml:space="preserve">. </w:t>
      </w:r>
      <w:r w:rsidRPr="0014239D">
        <w:rPr>
          <w:rFonts w:asciiTheme="minorHAnsi" w:hAnsiTheme="minorHAnsi" w:cstheme="minorHAnsi"/>
          <w:i/>
          <w:iCs/>
          <w:sz w:val="22"/>
          <w:szCs w:val="22"/>
        </w:rPr>
        <w:t>Google Books</w:t>
      </w:r>
      <w:r w:rsidRPr="0014239D">
        <w:rPr>
          <w:rFonts w:asciiTheme="minorHAnsi" w:hAnsiTheme="minorHAnsi" w:cstheme="minorHAnsi"/>
          <w:sz w:val="22"/>
          <w:szCs w:val="22"/>
        </w:rPr>
        <w:t>, CRC Press, 25 June 2009, books.google.co.uk/books?hl=en&amp;lr=&amp;id=0m6nAR3zqpEC&amp;oi=fnd&amp;pg=PA95&amp;dq=braga. Accessed 30 Aug. 2023.</w:t>
      </w:r>
    </w:p>
    <w:p w14:paraId="5F632CD2"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Hagan, John, et al. “What the Study of Legal Cynicism and Crime Can Tell Us about Reliability, Validity, and Versatility in Law and Social Science Research.” </w:t>
      </w:r>
      <w:r w:rsidRPr="0014239D">
        <w:rPr>
          <w:rFonts w:asciiTheme="minorHAnsi" w:hAnsiTheme="minorHAnsi" w:cstheme="minorHAnsi"/>
          <w:i/>
          <w:iCs/>
          <w:sz w:val="22"/>
          <w:szCs w:val="22"/>
        </w:rPr>
        <w:t>Annual Review of Law and Social Science</w:t>
      </w:r>
      <w:r w:rsidRPr="0014239D">
        <w:rPr>
          <w:rFonts w:asciiTheme="minorHAnsi" w:hAnsiTheme="minorHAnsi" w:cstheme="minorHAnsi"/>
          <w:sz w:val="22"/>
          <w:szCs w:val="22"/>
        </w:rPr>
        <w:t>, vol. 16, no. 1, 13 Oct. 2020, pp. 1–20, https://doi.org/10.1146/annurev-lawsocsci-031620-093358.</w:t>
      </w:r>
    </w:p>
    <w:p w14:paraId="7ABB5A6A"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Henry, Vincent E. “The Need for a Coordinated and Strategic Local Police Approach to Terrorism: A Practitioner’s Perspective.” </w:t>
      </w:r>
      <w:r w:rsidRPr="0014239D">
        <w:rPr>
          <w:rFonts w:asciiTheme="minorHAnsi" w:hAnsiTheme="minorHAnsi" w:cstheme="minorHAnsi"/>
          <w:i/>
          <w:iCs/>
          <w:sz w:val="22"/>
          <w:szCs w:val="22"/>
        </w:rPr>
        <w:t>Police Practice and Research</w:t>
      </w:r>
      <w:r w:rsidRPr="0014239D">
        <w:rPr>
          <w:rFonts w:asciiTheme="minorHAnsi" w:hAnsiTheme="minorHAnsi" w:cstheme="minorHAnsi"/>
          <w:sz w:val="22"/>
          <w:szCs w:val="22"/>
        </w:rPr>
        <w:t>, vol. 3, no. 4, Jan. 2002, pp. 319–336, https://doi.org/10.1080/1561426022000032088.</w:t>
      </w:r>
    </w:p>
    <w:p w14:paraId="00888474"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Home Office. “Definition of Policing by Consent.” </w:t>
      </w:r>
      <w:r w:rsidRPr="0014239D">
        <w:rPr>
          <w:rFonts w:asciiTheme="minorHAnsi" w:hAnsiTheme="minorHAnsi" w:cstheme="minorHAnsi"/>
          <w:i/>
          <w:iCs/>
          <w:sz w:val="22"/>
          <w:szCs w:val="22"/>
        </w:rPr>
        <w:t>Gov.uk</w:t>
      </w:r>
      <w:r w:rsidRPr="0014239D">
        <w:rPr>
          <w:rFonts w:asciiTheme="minorHAnsi" w:hAnsiTheme="minorHAnsi" w:cstheme="minorHAnsi"/>
          <w:sz w:val="22"/>
          <w:szCs w:val="22"/>
        </w:rPr>
        <w:t>, Home Office, 10 Dec. 2012, www.gov.uk/government/publications/policing-by-consent/definition-of-policing-by-consent.</w:t>
      </w:r>
    </w:p>
    <w:p w14:paraId="104E1801"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Jackson, J., et al. “Does the Fear of Crime Erode Public Confidence in Policing?” </w:t>
      </w:r>
      <w:r w:rsidRPr="0014239D">
        <w:rPr>
          <w:rFonts w:asciiTheme="minorHAnsi" w:hAnsiTheme="minorHAnsi" w:cstheme="minorHAnsi"/>
          <w:i/>
          <w:iCs/>
          <w:sz w:val="22"/>
          <w:szCs w:val="22"/>
        </w:rPr>
        <w:t>Policing</w:t>
      </w:r>
      <w:r w:rsidRPr="0014239D">
        <w:rPr>
          <w:rFonts w:asciiTheme="minorHAnsi" w:hAnsiTheme="minorHAnsi" w:cstheme="minorHAnsi"/>
          <w:sz w:val="22"/>
          <w:szCs w:val="22"/>
        </w:rPr>
        <w:t>, vol. 3, no. 1, 7 Jan. 2009, pp. 100–111, https://doi.org/10.1093/police/pan079.</w:t>
      </w:r>
    </w:p>
    <w:p w14:paraId="1EFBAB3E"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Jefferson, Tony. “Policing the Riots: From Bristol and Brixton to Tottenham, via Toxteth, Handsworth, Etc.” </w:t>
      </w:r>
      <w:r w:rsidRPr="0014239D">
        <w:rPr>
          <w:rFonts w:asciiTheme="minorHAnsi" w:hAnsiTheme="minorHAnsi" w:cstheme="minorHAnsi"/>
          <w:i/>
          <w:iCs/>
          <w:sz w:val="22"/>
          <w:szCs w:val="22"/>
        </w:rPr>
        <w:t>Criminal Justice Matters</w:t>
      </w:r>
      <w:r w:rsidRPr="0014239D">
        <w:rPr>
          <w:rFonts w:asciiTheme="minorHAnsi" w:hAnsiTheme="minorHAnsi" w:cstheme="minorHAnsi"/>
          <w:sz w:val="22"/>
          <w:szCs w:val="22"/>
        </w:rPr>
        <w:t>, vol. 87, no. 1, Mar. 2012, pp. 8–9, www.crimeandjustice.org.uk/sites/crimeandjustice.org.uk/files/09627251.2012.670995_0.pdf, https://doi.org/10.1080/09627251.2012.670995.</w:t>
      </w:r>
    </w:p>
    <w:p w14:paraId="37E53670"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lastRenderedPageBreak/>
        <w:t xml:space="preserve">KIRK, DAVID S., and MAURI MATSUDA. “LEGAL CYNICISM, COLLECTIVE EFFICACY, and the ECOLOGY of ARREST*.” </w:t>
      </w:r>
      <w:r w:rsidRPr="0014239D">
        <w:rPr>
          <w:rFonts w:asciiTheme="minorHAnsi" w:hAnsiTheme="minorHAnsi" w:cstheme="minorHAnsi"/>
          <w:i/>
          <w:iCs/>
          <w:sz w:val="22"/>
          <w:szCs w:val="22"/>
        </w:rPr>
        <w:t>Criminology</w:t>
      </w:r>
      <w:r w:rsidRPr="0014239D">
        <w:rPr>
          <w:rFonts w:asciiTheme="minorHAnsi" w:hAnsiTheme="minorHAnsi" w:cstheme="minorHAnsi"/>
          <w:sz w:val="22"/>
          <w:szCs w:val="22"/>
        </w:rPr>
        <w:t>, vol. 49, no. 2, May 2011, pp. 443–472, https://doi.org/10.1111/j.1745-9125.2011.00226.x.</w:t>
      </w:r>
    </w:p>
    <w:p w14:paraId="6F663EC3"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Lowe, David. </w:t>
      </w:r>
      <w:r w:rsidRPr="0014239D">
        <w:rPr>
          <w:rFonts w:asciiTheme="minorHAnsi" w:hAnsiTheme="minorHAnsi" w:cstheme="minorHAnsi"/>
          <w:i/>
          <w:iCs/>
          <w:sz w:val="22"/>
          <w:szCs w:val="22"/>
        </w:rPr>
        <w:t>Manchester Arena Bombings</w:t>
      </w:r>
      <w:r w:rsidRPr="0014239D">
        <w:rPr>
          <w:rFonts w:asciiTheme="minorHAnsi" w:hAnsiTheme="minorHAnsi" w:cstheme="minorHAnsi"/>
          <w:sz w:val="22"/>
          <w:szCs w:val="22"/>
        </w:rPr>
        <w:t>. 2020, eprints.leedsbeckett.ac.uk/id/eprint/7450/1/ManchesterArenaBombingsMainLessonsThatHaveBeenLearntPV-LOWE.pdf. Accessed 5 Sept. 2023.</w:t>
      </w:r>
    </w:p>
    <w:p w14:paraId="4082BFB7"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Myhill, Andy, and Paul Quinton. “(PDF) It’s a Fair Cop? Police Legitimacy, Public Cooperation, and Crime Reduction. An Interpretative Evidence Commentary.” </w:t>
      </w:r>
      <w:r w:rsidRPr="0014239D">
        <w:rPr>
          <w:rFonts w:asciiTheme="minorHAnsi" w:hAnsiTheme="minorHAnsi" w:cstheme="minorHAnsi"/>
          <w:i/>
          <w:iCs/>
          <w:sz w:val="22"/>
          <w:szCs w:val="22"/>
        </w:rPr>
        <w:t>ResearchGate</w:t>
      </w:r>
      <w:r w:rsidRPr="0014239D">
        <w:rPr>
          <w:rFonts w:asciiTheme="minorHAnsi" w:hAnsiTheme="minorHAnsi" w:cstheme="minorHAnsi"/>
          <w:sz w:val="22"/>
          <w:szCs w:val="22"/>
        </w:rPr>
        <w:t>, Sept. 2011, www.researchgate.net/profile/Paul-Quinton/publication/265889188_It.</w:t>
      </w:r>
    </w:p>
    <w:p w14:paraId="7301B980"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NASUWT. “Community Cohesion.” </w:t>
      </w:r>
      <w:r w:rsidRPr="0014239D">
        <w:rPr>
          <w:rFonts w:asciiTheme="minorHAnsi" w:hAnsiTheme="minorHAnsi" w:cstheme="minorHAnsi"/>
          <w:i/>
          <w:iCs/>
          <w:sz w:val="22"/>
          <w:szCs w:val="22"/>
        </w:rPr>
        <w:t>Www.nasuwt.org.uk</w:t>
      </w:r>
      <w:r w:rsidRPr="0014239D">
        <w:rPr>
          <w:rFonts w:asciiTheme="minorHAnsi" w:hAnsiTheme="minorHAnsi" w:cstheme="minorHAnsi"/>
          <w:sz w:val="22"/>
          <w:szCs w:val="22"/>
        </w:rPr>
        <w:t>, 2022, www.nasuwt.org.uk/advice/in-the-classroom/children-and-young-people/community-cohesion.html.</w:t>
      </w:r>
    </w:p>
    <w:p w14:paraId="24366487"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Putnam, Robert D. “Social Capital and Public Affairs.” </w:t>
      </w:r>
      <w:r w:rsidRPr="0014239D">
        <w:rPr>
          <w:rFonts w:asciiTheme="minorHAnsi" w:hAnsiTheme="minorHAnsi" w:cstheme="minorHAnsi"/>
          <w:i/>
          <w:iCs/>
          <w:sz w:val="22"/>
          <w:szCs w:val="22"/>
        </w:rPr>
        <w:t>Bulletin of the American Academy of Arts and Sciences</w:t>
      </w:r>
      <w:r w:rsidRPr="0014239D">
        <w:rPr>
          <w:rFonts w:asciiTheme="minorHAnsi" w:hAnsiTheme="minorHAnsi" w:cstheme="minorHAnsi"/>
          <w:sz w:val="22"/>
          <w:szCs w:val="22"/>
        </w:rPr>
        <w:t>, vol. 47, no. 8, May 1994, p. 5, https://doi.org/10.2307/3824796.</w:t>
      </w:r>
    </w:p>
    <w:p w14:paraId="55BB60CA"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Roberg, Roy, et al. “Police &amp; Society, Second Edition | Office of Justice Programs.” </w:t>
      </w:r>
      <w:r w:rsidRPr="0014239D">
        <w:rPr>
          <w:rFonts w:asciiTheme="minorHAnsi" w:hAnsiTheme="minorHAnsi" w:cstheme="minorHAnsi"/>
          <w:i/>
          <w:iCs/>
          <w:sz w:val="22"/>
          <w:szCs w:val="22"/>
        </w:rPr>
        <w:t>Www.ojp.gov</w:t>
      </w:r>
      <w:r w:rsidRPr="0014239D">
        <w:rPr>
          <w:rFonts w:asciiTheme="minorHAnsi" w:hAnsiTheme="minorHAnsi" w:cstheme="minorHAnsi"/>
          <w:sz w:val="22"/>
          <w:szCs w:val="22"/>
        </w:rPr>
        <w:t>, 2000, www.ojp.gov/ncjrs/virtual-library/abstracts/police-society-second-edition.</w:t>
      </w:r>
    </w:p>
    <w:p w14:paraId="107D05BE"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Thomas, Paul. “Failed and Friendless: The UK’s “Preventing Violent Extremism” Programme.” </w:t>
      </w:r>
      <w:r w:rsidRPr="0014239D">
        <w:rPr>
          <w:rFonts w:asciiTheme="minorHAnsi" w:hAnsiTheme="minorHAnsi" w:cstheme="minorHAnsi"/>
          <w:i/>
          <w:iCs/>
          <w:sz w:val="22"/>
          <w:szCs w:val="22"/>
        </w:rPr>
        <w:t>The British Journal of Politics and International Relations</w:t>
      </w:r>
      <w:r w:rsidRPr="0014239D">
        <w:rPr>
          <w:rFonts w:asciiTheme="minorHAnsi" w:hAnsiTheme="minorHAnsi" w:cstheme="minorHAnsi"/>
          <w:sz w:val="22"/>
          <w:szCs w:val="22"/>
        </w:rPr>
        <w:t>, vol. 12, no. 3, 5 July 2010, pp. 442–458, https://doi.org/10.1111/j.1467-856x.2010.00422.x.</w:t>
      </w:r>
    </w:p>
    <w:p w14:paraId="27521421"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Tyler, Tom, and Jeffrey Fagan. “Legitimacy and Cooperation: Why Do People Help the Police Fight Crime in Their Communities Symposium - Legitimacy and Criminal Justice 6 Ohio State Journal of Criminal Law 2008-2009.” </w:t>
      </w:r>
      <w:r w:rsidRPr="0014239D">
        <w:rPr>
          <w:rFonts w:asciiTheme="minorHAnsi" w:hAnsiTheme="minorHAnsi" w:cstheme="minorHAnsi"/>
          <w:i/>
          <w:iCs/>
          <w:sz w:val="22"/>
          <w:szCs w:val="22"/>
        </w:rPr>
        <w:t>Heinonline.org</w:t>
      </w:r>
      <w:r w:rsidRPr="0014239D">
        <w:rPr>
          <w:rFonts w:asciiTheme="minorHAnsi" w:hAnsiTheme="minorHAnsi" w:cstheme="minorHAnsi"/>
          <w:sz w:val="22"/>
          <w:szCs w:val="22"/>
        </w:rPr>
        <w:t>, 2009, heinonline.org/HOL/LandingPage?handle=hein.journals/osjcl6&amp;div=11&amp;id=&amp;page=.</w:t>
      </w:r>
    </w:p>
    <w:p w14:paraId="12DB021E"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Van Gundy, Karen T., et al. “Perceived Community Cohesion and the Stress Process in Youth.” </w:t>
      </w:r>
      <w:r w:rsidRPr="0014239D">
        <w:rPr>
          <w:rFonts w:asciiTheme="minorHAnsi" w:hAnsiTheme="minorHAnsi" w:cstheme="minorHAnsi"/>
          <w:i/>
          <w:iCs/>
          <w:sz w:val="22"/>
          <w:szCs w:val="22"/>
        </w:rPr>
        <w:t>Rural Sociology</w:t>
      </w:r>
      <w:r w:rsidRPr="0014239D">
        <w:rPr>
          <w:rFonts w:asciiTheme="minorHAnsi" w:hAnsiTheme="minorHAnsi" w:cstheme="minorHAnsi"/>
          <w:sz w:val="22"/>
          <w:szCs w:val="22"/>
        </w:rPr>
        <w:t>, vol. 76, no. 3, 31 Mar. 2011, pp. 293–318, https://doi.org/10.1111/j.1549-0831.2011.00050.x. Accessed 2 Mar. 2020.</w:t>
      </w:r>
    </w:p>
    <w:p w14:paraId="76ED015A"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lastRenderedPageBreak/>
        <w:t xml:space="preserve">Vertigans, Stephen. “British Muslims and the UK Government’s “War on Terror” Within: Evidence of a Clash of Civilizations or Emergent De-Civilizing Processes?” </w:t>
      </w:r>
      <w:r w:rsidRPr="0014239D">
        <w:rPr>
          <w:rFonts w:asciiTheme="minorHAnsi" w:hAnsiTheme="minorHAnsi" w:cstheme="minorHAnsi"/>
          <w:i/>
          <w:iCs/>
          <w:sz w:val="22"/>
          <w:szCs w:val="22"/>
        </w:rPr>
        <w:t>The British Journal of Sociology</w:t>
      </w:r>
      <w:r w:rsidRPr="0014239D">
        <w:rPr>
          <w:rFonts w:asciiTheme="minorHAnsi" w:hAnsiTheme="minorHAnsi" w:cstheme="minorHAnsi"/>
          <w:sz w:val="22"/>
          <w:szCs w:val="22"/>
        </w:rPr>
        <w:t>, vol. 61, no. 1, 12 Mar. 2010, pp. 26–44, https://doi.org/10.1111/j.1468-4446.2009.01300.x.</w:t>
      </w:r>
    </w:p>
    <w:p w14:paraId="7D59CC55"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Walker, Jeffery T. </w:t>
      </w:r>
      <w:r w:rsidRPr="0014239D">
        <w:rPr>
          <w:rFonts w:asciiTheme="minorHAnsi" w:hAnsiTheme="minorHAnsi" w:cstheme="minorHAnsi"/>
          <w:i/>
          <w:iCs/>
          <w:sz w:val="22"/>
          <w:szCs w:val="22"/>
        </w:rPr>
        <w:t>Social, Ecological and Environmental Theories of Crime</w:t>
      </w:r>
      <w:r w:rsidRPr="0014239D">
        <w:rPr>
          <w:rFonts w:asciiTheme="minorHAnsi" w:hAnsiTheme="minorHAnsi" w:cstheme="minorHAnsi"/>
          <w:sz w:val="22"/>
          <w:szCs w:val="22"/>
        </w:rPr>
        <w:t>. London, Routledge, 2016.</w:t>
      </w:r>
    </w:p>
    <w:p w14:paraId="7900D5C8" w14:textId="77777777" w:rsidR="0014239D" w:rsidRPr="0014239D" w:rsidRDefault="0014239D" w:rsidP="0014239D">
      <w:pPr>
        <w:pStyle w:val="NormalWeb"/>
        <w:spacing w:before="0" w:beforeAutospacing="0" w:after="0" w:afterAutospacing="0" w:line="480" w:lineRule="auto"/>
        <w:ind w:left="720" w:hanging="720"/>
        <w:rPr>
          <w:rFonts w:asciiTheme="minorHAnsi" w:hAnsiTheme="minorHAnsi" w:cstheme="minorHAnsi"/>
          <w:sz w:val="22"/>
          <w:szCs w:val="22"/>
        </w:rPr>
      </w:pPr>
      <w:r w:rsidRPr="0014239D">
        <w:rPr>
          <w:rFonts w:asciiTheme="minorHAnsi" w:hAnsiTheme="minorHAnsi" w:cstheme="minorHAnsi"/>
          <w:sz w:val="22"/>
          <w:szCs w:val="22"/>
        </w:rPr>
        <w:t xml:space="preserve">Yosipof, Abraham, et al. “Persistence of Risk Awareness: Manchester Arena Bombing on 22 May 2017.” </w:t>
      </w:r>
      <w:r w:rsidRPr="0014239D">
        <w:rPr>
          <w:rFonts w:asciiTheme="minorHAnsi" w:hAnsiTheme="minorHAnsi" w:cstheme="minorHAnsi"/>
          <w:i/>
          <w:iCs/>
          <w:sz w:val="22"/>
          <w:szCs w:val="22"/>
        </w:rPr>
        <w:t>International Journal of Disaster Risk Reduction</w:t>
      </w:r>
      <w:r w:rsidRPr="0014239D">
        <w:rPr>
          <w:rFonts w:asciiTheme="minorHAnsi" w:hAnsiTheme="minorHAnsi" w:cstheme="minorHAnsi"/>
          <w:sz w:val="22"/>
          <w:szCs w:val="22"/>
        </w:rPr>
        <w:t>, vol. 94, 1 Aug. 2023, p. 103805, www.sciencedirect.com/science/article/pii/S2212420923002856, https://doi.org/10.1016/j.ijdrr.2023.103805.</w:t>
      </w:r>
    </w:p>
    <w:p w14:paraId="354FEC61" w14:textId="77777777" w:rsidR="00FB4523" w:rsidRPr="00FB4523" w:rsidRDefault="00FB4523" w:rsidP="00EF2B22">
      <w:pPr>
        <w:spacing w:after="0"/>
        <w:jc w:val="both"/>
      </w:pPr>
    </w:p>
    <w:sectPr w:rsidR="00FB4523" w:rsidRPr="00FB4523" w:rsidSect="005F1A09">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C67F2"/>
    <w:multiLevelType w:val="hybridMultilevel"/>
    <w:tmpl w:val="05725266"/>
    <w:lvl w:ilvl="0" w:tplc="7DFEF150">
      <w:start w:val="1"/>
      <w:numFmt w:val="decimal"/>
      <w:lvlText w:val="%1."/>
      <w:lvlJc w:val="left"/>
      <w:pPr>
        <w:ind w:left="666" w:hanging="360"/>
        <w:jc w:val="left"/>
      </w:pPr>
      <w:rPr>
        <w:rFonts w:ascii="Arial" w:eastAsia="Arial" w:hAnsi="Arial" w:cs="Arial" w:hint="default"/>
        <w:b w:val="0"/>
        <w:bCs w:val="0"/>
        <w:i w:val="0"/>
        <w:iCs w:val="0"/>
        <w:spacing w:val="-1"/>
        <w:w w:val="100"/>
        <w:sz w:val="22"/>
        <w:szCs w:val="22"/>
        <w:lang w:val="en-US" w:eastAsia="en-US" w:bidi="ar-SA"/>
      </w:rPr>
    </w:lvl>
    <w:lvl w:ilvl="1" w:tplc="11B812EC">
      <w:start w:val="1"/>
      <w:numFmt w:val="decimal"/>
      <w:lvlText w:val="%2."/>
      <w:lvlJc w:val="left"/>
      <w:pPr>
        <w:ind w:left="1540" w:hanging="874"/>
        <w:jc w:val="left"/>
      </w:pPr>
      <w:rPr>
        <w:rFonts w:ascii="Arial" w:eastAsia="Arial" w:hAnsi="Arial" w:cs="Arial" w:hint="default"/>
        <w:b/>
        <w:bCs/>
        <w:i w:val="0"/>
        <w:iCs w:val="0"/>
        <w:spacing w:val="0"/>
        <w:w w:val="100"/>
        <w:sz w:val="24"/>
        <w:szCs w:val="24"/>
        <w:lang w:val="en-US" w:eastAsia="en-US" w:bidi="ar-SA"/>
      </w:rPr>
    </w:lvl>
    <w:lvl w:ilvl="2" w:tplc="6486DC9C">
      <w:numFmt w:val="bullet"/>
      <w:lvlText w:val="•"/>
      <w:lvlJc w:val="left"/>
      <w:pPr>
        <w:ind w:left="2554" w:hanging="874"/>
      </w:pPr>
      <w:rPr>
        <w:rFonts w:hint="default"/>
        <w:lang w:val="en-US" w:eastAsia="en-US" w:bidi="ar-SA"/>
      </w:rPr>
    </w:lvl>
    <w:lvl w:ilvl="3" w:tplc="F9027868">
      <w:numFmt w:val="bullet"/>
      <w:lvlText w:val="•"/>
      <w:lvlJc w:val="left"/>
      <w:pPr>
        <w:ind w:left="3569" w:hanging="874"/>
      </w:pPr>
      <w:rPr>
        <w:rFonts w:hint="default"/>
        <w:lang w:val="en-US" w:eastAsia="en-US" w:bidi="ar-SA"/>
      </w:rPr>
    </w:lvl>
    <w:lvl w:ilvl="4" w:tplc="CDEA49F6">
      <w:numFmt w:val="bullet"/>
      <w:lvlText w:val="•"/>
      <w:lvlJc w:val="left"/>
      <w:pPr>
        <w:ind w:left="4584" w:hanging="874"/>
      </w:pPr>
      <w:rPr>
        <w:rFonts w:hint="default"/>
        <w:lang w:val="en-US" w:eastAsia="en-US" w:bidi="ar-SA"/>
      </w:rPr>
    </w:lvl>
    <w:lvl w:ilvl="5" w:tplc="D618E620">
      <w:numFmt w:val="bullet"/>
      <w:lvlText w:val="•"/>
      <w:lvlJc w:val="left"/>
      <w:pPr>
        <w:ind w:left="5599" w:hanging="874"/>
      </w:pPr>
      <w:rPr>
        <w:rFonts w:hint="default"/>
        <w:lang w:val="en-US" w:eastAsia="en-US" w:bidi="ar-SA"/>
      </w:rPr>
    </w:lvl>
    <w:lvl w:ilvl="6" w:tplc="EBFE1D08">
      <w:numFmt w:val="bullet"/>
      <w:lvlText w:val="•"/>
      <w:lvlJc w:val="left"/>
      <w:pPr>
        <w:ind w:left="6614" w:hanging="874"/>
      </w:pPr>
      <w:rPr>
        <w:rFonts w:hint="default"/>
        <w:lang w:val="en-US" w:eastAsia="en-US" w:bidi="ar-SA"/>
      </w:rPr>
    </w:lvl>
    <w:lvl w:ilvl="7" w:tplc="38547FAC">
      <w:numFmt w:val="bullet"/>
      <w:lvlText w:val="•"/>
      <w:lvlJc w:val="left"/>
      <w:pPr>
        <w:ind w:left="7629" w:hanging="874"/>
      </w:pPr>
      <w:rPr>
        <w:rFonts w:hint="default"/>
        <w:lang w:val="en-US" w:eastAsia="en-US" w:bidi="ar-SA"/>
      </w:rPr>
    </w:lvl>
    <w:lvl w:ilvl="8" w:tplc="6324F182">
      <w:numFmt w:val="bullet"/>
      <w:lvlText w:val="•"/>
      <w:lvlJc w:val="left"/>
      <w:pPr>
        <w:ind w:left="8644" w:hanging="874"/>
      </w:pPr>
      <w:rPr>
        <w:rFonts w:hint="default"/>
        <w:lang w:val="en-US" w:eastAsia="en-US" w:bidi="ar-SA"/>
      </w:rPr>
    </w:lvl>
  </w:abstractNum>
  <w:abstractNum w:abstractNumId="1" w15:restartNumberingAfterBreak="0">
    <w:nsid w:val="395A792B"/>
    <w:multiLevelType w:val="hybridMultilevel"/>
    <w:tmpl w:val="81A04704"/>
    <w:lvl w:ilvl="0" w:tplc="E370D86E">
      <w:start w:val="1"/>
      <w:numFmt w:val="decimal"/>
      <w:lvlText w:val="%1."/>
      <w:lvlJc w:val="left"/>
      <w:pPr>
        <w:ind w:left="666" w:hanging="360"/>
        <w:jc w:val="left"/>
      </w:pPr>
      <w:rPr>
        <w:rFonts w:ascii="Arial" w:eastAsia="Arial" w:hAnsi="Arial" w:cs="Arial" w:hint="default"/>
        <w:b w:val="0"/>
        <w:bCs w:val="0"/>
        <w:i w:val="0"/>
        <w:iCs w:val="0"/>
        <w:spacing w:val="-1"/>
        <w:w w:val="100"/>
        <w:sz w:val="22"/>
        <w:szCs w:val="22"/>
        <w:lang w:val="en-US" w:eastAsia="en-US" w:bidi="ar-SA"/>
      </w:rPr>
    </w:lvl>
    <w:lvl w:ilvl="1" w:tplc="AD204DA4">
      <w:start w:val="1"/>
      <w:numFmt w:val="decimal"/>
      <w:lvlText w:val="%2."/>
      <w:lvlJc w:val="left"/>
      <w:pPr>
        <w:ind w:left="1540" w:hanging="874"/>
        <w:jc w:val="left"/>
      </w:pPr>
      <w:rPr>
        <w:rFonts w:ascii="Arial" w:eastAsia="Arial" w:hAnsi="Arial" w:cs="Arial" w:hint="default"/>
        <w:b/>
        <w:bCs/>
        <w:i w:val="0"/>
        <w:iCs w:val="0"/>
        <w:spacing w:val="0"/>
        <w:w w:val="100"/>
        <w:sz w:val="24"/>
        <w:szCs w:val="24"/>
        <w:lang w:val="en-US" w:eastAsia="en-US" w:bidi="ar-SA"/>
      </w:rPr>
    </w:lvl>
    <w:lvl w:ilvl="2" w:tplc="E78C84EE">
      <w:numFmt w:val="bullet"/>
      <w:lvlText w:val="•"/>
      <w:lvlJc w:val="left"/>
      <w:pPr>
        <w:ind w:left="2554" w:hanging="874"/>
      </w:pPr>
      <w:rPr>
        <w:rFonts w:hint="default"/>
        <w:lang w:val="en-US" w:eastAsia="en-US" w:bidi="ar-SA"/>
      </w:rPr>
    </w:lvl>
    <w:lvl w:ilvl="3" w:tplc="2D22FF7C">
      <w:numFmt w:val="bullet"/>
      <w:lvlText w:val="•"/>
      <w:lvlJc w:val="left"/>
      <w:pPr>
        <w:ind w:left="3569" w:hanging="874"/>
      </w:pPr>
      <w:rPr>
        <w:rFonts w:hint="default"/>
        <w:lang w:val="en-US" w:eastAsia="en-US" w:bidi="ar-SA"/>
      </w:rPr>
    </w:lvl>
    <w:lvl w:ilvl="4" w:tplc="E3060D86">
      <w:numFmt w:val="bullet"/>
      <w:lvlText w:val="•"/>
      <w:lvlJc w:val="left"/>
      <w:pPr>
        <w:ind w:left="4584" w:hanging="874"/>
      </w:pPr>
      <w:rPr>
        <w:rFonts w:hint="default"/>
        <w:lang w:val="en-US" w:eastAsia="en-US" w:bidi="ar-SA"/>
      </w:rPr>
    </w:lvl>
    <w:lvl w:ilvl="5" w:tplc="14EAA458">
      <w:numFmt w:val="bullet"/>
      <w:lvlText w:val="•"/>
      <w:lvlJc w:val="left"/>
      <w:pPr>
        <w:ind w:left="5599" w:hanging="874"/>
      </w:pPr>
      <w:rPr>
        <w:rFonts w:hint="default"/>
        <w:lang w:val="en-US" w:eastAsia="en-US" w:bidi="ar-SA"/>
      </w:rPr>
    </w:lvl>
    <w:lvl w:ilvl="6" w:tplc="552A86B4">
      <w:numFmt w:val="bullet"/>
      <w:lvlText w:val="•"/>
      <w:lvlJc w:val="left"/>
      <w:pPr>
        <w:ind w:left="6614" w:hanging="874"/>
      </w:pPr>
      <w:rPr>
        <w:rFonts w:hint="default"/>
        <w:lang w:val="en-US" w:eastAsia="en-US" w:bidi="ar-SA"/>
      </w:rPr>
    </w:lvl>
    <w:lvl w:ilvl="7" w:tplc="126AD99E">
      <w:numFmt w:val="bullet"/>
      <w:lvlText w:val="•"/>
      <w:lvlJc w:val="left"/>
      <w:pPr>
        <w:ind w:left="7629" w:hanging="874"/>
      </w:pPr>
      <w:rPr>
        <w:rFonts w:hint="default"/>
        <w:lang w:val="en-US" w:eastAsia="en-US" w:bidi="ar-SA"/>
      </w:rPr>
    </w:lvl>
    <w:lvl w:ilvl="8" w:tplc="171A8044">
      <w:numFmt w:val="bullet"/>
      <w:lvlText w:val="•"/>
      <w:lvlJc w:val="left"/>
      <w:pPr>
        <w:ind w:left="8644" w:hanging="874"/>
      </w:pPr>
      <w:rPr>
        <w:rFonts w:hint="default"/>
        <w:lang w:val="en-US" w:eastAsia="en-US" w:bidi="ar-SA"/>
      </w:rPr>
    </w:lvl>
  </w:abstractNum>
  <w:num w:numId="1" w16cid:durableId="327099444">
    <w:abstractNumId w:val="0"/>
  </w:num>
  <w:num w:numId="2" w16cid:durableId="616330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47A"/>
    <w:rsid w:val="000159A3"/>
    <w:rsid w:val="000332A0"/>
    <w:rsid w:val="00034E29"/>
    <w:rsid w:val="000410FD"/>
    <w:rsid w:val="00053144"/>
    <w:rsid w:val="00076363"/>
    <w:rsid w:val="0009085F"/>
    <w:rsid w:val="00094223"/>
    <w:rsid w:val="000F294B"/>
    <w:rsid w:val="000F3969"/>
    <w:rsid w:val="000F4AA3"/>
    <w:rsid w:val="000F68BE"/>
    <w:rsid w:val="001134BB"/>
    <w:rsid w:val="001139E5"/>
    <w:rsid w:val="00126EB4"/>
    <w:rsid w:val="0013398C"/>
    <w:rsid w:val="0013721E"/>
    <w:rsid w:val="0014239D"/>
    <w:rsid w:val="00156F26"/>
    <w:rsid w:val="00173A65"/>
    <w:rsid w:val="001834FA"/>
    <w:rsid w:val="0019243C"/>
    <w:rsid w:val="001959B9"/>
    <w:rsid w:val="001C49F5"/>
    <w:rsid w:val="001E0991"/>
    <w:rsid w:val="001E3FBE"/>
    <w:rsid w:val="001F2DC0"/>
    <w:rsid w:val="0021464E"/>
    <w:rsid w:val="00241C85"/>
    <w:rsid w:val="002520C4"/>
    <w:rsid w:val="00252A9D"/>
    <w:rsid w:val="002620A3"/>
    <w:rsid w:val="002758DF"/>
    <w:rsid w:val="002A5D2B"/>
    <w:rsid w:val="002A7792"/>
    <w:rsid w:val="002C1F31"/>
    <w:rsid w:val="002D7203"/>
    <w:rsid w:val="002F151B"/>
    <w:rsid w:val="003059B6"/>
    <w:rsid w:val="00325DB2"/>
    <w:rsid w:val="00330037"/>
    <w:rsid w:val="00341A14"/>
    <w:rsid w:val="00342F36"/>
    <w:rsid w:val="00350BD7"/>
    <w:rsid w:val="00363903"/>
    <w:rsid w:val="003655BB"/>
    <w:rsid w:val="00377581"/>
    <w:rsid w:val="003B0EB0"/>
    <w:rsid w:val="003E00AF"/>
    <w:rsid w:val="003F49E0"/>
    <w:rsid w:val="00406541"/>
    <w:rsid w:val="0040737C"/>
    <w:rsid w:val="00425531"/>
    <w:rsid w:val="00446F03"/>
    <w:rsid w:val="00447190"/>
    <w:rsid w:val="004512FC"/>
    <w:rsid w:val="0045162F"/>
    <w:rsid w:val="004757F7"/>
    <w:rsid w:val="00476705"/>
    <w:rsid w:val="00476B8C"/>
    <w:rsid w:val="004838F5"/>
    <w:rsid w:val="004A197F"/>
    <w:rsid w:val="004B46E7"/>
    <w:rsid w:val="004C0B0B"/>
    <w:rsid w:val="004C5E2D"/>
    <w:rsid w:val="004D20C3"/>
    <w:rsid w:val="004D21B1"/>
    <w:rsid w:val="004D3B51"/>
    <w:rsid w:val="004E0C6A"/>
    <w:rsid w:val="00546B18"/>
    <w:rsid w:val="005B7ACB"/>
    <w:rsid w:val="005C0311"/>
    <w:rsid w:val="005C4085"/>
    <w:rsid w:val="005D109B"/>
    <w:rsid w:val="005D1B4A"/>
    <w:rsid w:val="005D2CCE"/>
    <w:rsid w:val="005D623C"/>
    <w:rsid w:val="005E349F"/>
    <w:rsid w:val="005E7266"/>
    <w:rsid w:val="005F1A09"/>
    <w:rsid w:val="00603872"/>
    <w:rsid w:val="00603B50"/>
    <w:rsid w:val="00613322"/>
    <w:rsid w:val="00616531"/>
    <w:rsid w:val="00620CA6"/>
    <w:rsid w:val="00634598"/>
    <w:rsid w:val="00647E34"/>
    <w:rsid w:val="006529BF"/>
    <w:rsid w:val="00667D79"/>
    <w:rsid w:val="00683E3E"/>
    <w:rsid w:val="006A438A"/>
    <w:rsid w:val="006B2201"/>
    <w:rsid w:val="006D0A27"/>
    <w:rsid w:val="006D5264"/>
    <w:rsid w:val="006D68CA"/>
    <w:rsid w:val="006E347A"/>
    <w:rsid w:val="006E483D"/>
    <w:rsid w:val="006F1E13"/>
    <w:rsid w:val="006F596B"/>
    <w:rsid w:val="0070711A"/>
    <w:rsid w:val="007136B0"/>
    <w:rsid w:val="0072002A"/>
    <w:rsid w:val="00734FB3"/>
    <w:rsid w:val="00750247"/>
    <w:rsid w:val="00751201"/>
    <w:rsid w:val="00757D74"/>
    <w:rsid w:val="007866B2"/>
    <w:rsid w:val="00792C40"/>
    <w:rsid w:val="007B5966"/>
    <w:rsid w:val="007D3827"/>
    <w:rsid w:val="0080137B"/>
    <w:rsid w:val="00810A35"/>
    <w:rsid w:val="00816D95"/>
    <w:rsid w:val="00830476"/>
    <w:rsid w:val="008321B0"/>
    <w:rsid w:val="008354EB"/>
    <w:rsid w:val="0086361C"/>
    <w:rsid w:val="008733E0"/>
    <w:rsid w:val="00876F24"/>
    <w:rsid w:val="00890AD7"/>
    <w:rsid w:val="008A35C7"/>
    <w:rsid w:val="008B1515"/>
    <w:rsid w:val="008C3A10"/>
    <w:rsid w:val="008D6BCB"/>
    <w:rsid w:val="008E61AE"/>
    <w:rsid w:val="008F2C32"/>
    <w:rsid w:val="008F7D4C"/>
    <w:rsid w:val="00911C1F"/>
    <w:rsid w:val="00930D6A"/>
    <w:rsid w:val="00941F29"/>
    <w:rsid w:val="0094335A"/>
    <w:rsid w:val="009433AC"/>
    <w:rsid w:val="00943D21"/>
    <w:rsid w:val="0094670C"/>
    <w:rsid w:val="0096500C"/>
    <w:rsid w:val="00973210"/>
    <w:rsid w:val="0097469A"/>
    <w:rsid w:val="009776BA"/>
    <w:rsid w:val="00984D22"/>
    <w:rsid w:val="00996C05"/>
    <w:rsid w:val="009C7C97"/>
    <w:rsid w:val="009F1772"/>
    <w:rsid w:val="00A01430"/>
    <w:rsid w:val="00A13D20"/>
    <w:rsid w:val="00A2575D"/>
    <w:rsid w:val="00A37828"/>
    <w:rsid w:val="00A567F3"/>
    <w:rsid w:val="00A56862"/>
    <w:rsid w:val="00A62827"/>
    <w:rsid w:val="00A8530A"/>
    <w:rsid w:val="00AB33BA"/>
    <w:rsid w:val="00AC6931"/>
    <w:rsid w:val="00AD1FB9"/>
    <w:rsid w:val="00AE4004"/>
    <w:rsid w:val="00AE7C1F"/>
    <w:rsid w:val="00B04D8A"/>
    <w:rsid w:val="00B14135"/>
    <w:rsid w:val="00B1432F"/>
    <w:rsid w:val="00B162B4"/>
    <w:rsid w:val="00B174E3"/>
    <w:rsid w:val="00B23A32"/>
    <w:rsid w:val="00B259AD"/>
    <w:rsid w:val="00B40FDC"/>
    <w:rsid w:val="00B465CD"/>
    <w:rsid w:val="00B51B1B"/>
    <w:rsid w:val="00B75C77"/>
    <w:rsid w:val="00B76255"/>
    <w:rsid w:val="00B80C64"/>
    <w:rsid w:val="00B82B6E"/>
    <w:rsid w:val="00B83B36"/>
    <w:rsid w:val="00B86813"/>
    <w:rsid w:val="00BB2B4F"/>
    <w:rsid w:val="00BC3646"/>
    <w:rsid w:val="00BE36E9"/>
    <w:rsid w:val="00BE4B81"/>
    <w:rsid w:val="00C0439B"/>
    <w:rsid w:val="00C0455E"/>
    <w:rsid w:val="00C04FBE"/>
    <w:rsid w:val="00C10CCD"/>
    <w:rsid w:val="00C12109"/>
    <w:rsid w:val="00C8079A"/>
    <w:rsid w:val="00C94780"/>
    <w:rsid w:val="00CB560F"/>
    <w:rsid w:val="00CB5CFE"/>
    <w:rsid w:val="00CB70C8"/>
    <w:rsid w:val="00CD0CCC"/>
    <w:rsid w:val="00CD42A6"/>
    <w:rsid w:val="00CE2A2F"/>
    <w:rsid w:val="00D12F98"/>
    <w:rsid w:val="00D14445"/>
    <w:rsid w:val="00D27EB1"/>
    <w:rsid w:val="00D4297E"/>
    <w:rsid w:val="00D51C4F"/>
    <w:rsid w:val="00D5361A"/>
    <w:rsid w:val="00D76A7A"/>
    <w:rsid w:val="00D7797B"/>
    <w:rsid w:val="00D80350"/>
    <w:rsid w:val="00D97D2D"/>
    <w:rsid w:val="00DD1015"/>
    <w:rsid w:val="00DD6037"/>
    <w:rsid w:val="00DF3CA1"/>
    <w:rsid w:val="00E26FFC"/>
    <w:rsid w:val="00E413AD"/>
    <w:rsid w:val="00E87238"/>
    <w:rsid w:val="00EB40CA"/>
    <w:rsid w:val="00EE0FA7"/>
    <w:rsid w:val="00EF2B22"/>
    <w:rsid w:val="00EF7387"/>
    <w:rsid w:val="00F05EEC"/>
    <w:rsid w:val="00F06CDE"/>
    <w:rsid w:val="00F10221"/>
    <w:rsid w:val="00F151CA"/>
    <w:rsid w:val="00F23BCE"/>
    <w:rsid w:val="00F44A48"/>
    <w:rsid w:val="00F5168A"/>
    <w:rsid w:val="00F66C29"/>
    <w:rsid w:val="00F73C1B"/>
    <w:rsid w:val="00F9359B"/>
    <w:rsid w:val="00FA1D8C"/>
    <w:rsid w:val="00FB4523"/>
    <w:rsid w:val="00FB5655"/>
    <w:rsid w:val="00FC1B2E"/>
    <w:rsid w:val="00FF1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C077B"/>
  <w15:chartTrackingRefBased/>
  <w15:docId w15:val="{BDB2FDC5-AB70-4A13-8EF3-A9C22B79A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6E347A"/>
    <w:pPr>
      <w:widowControl w:val="0"/>
      <w:autoSpaceDE w:val="0"/>
      <w:autoSpaceDN w:val="0"/>
      <w:spacing w:after="0" w:line="240" w:lineRule="auto"/>
      <w:ind w:left="666" w:hanging="873"/>
    </w:pPr>
    <w:rPr>
      <w:rFonts w:ascii="Arial" w:eastAsia="Arial" w:hAnsi="Arial" w:cs="Arial"/>
      <w:kern w:val="0"/>
      <w:lang w:val="en-US"/>
      <w14:ligatures w14:val="none"/>
    </w:rPr>
  </w:style>
  <w:style w:type="paragraph" w:customStyle="1" w:styleId="Default">
    <w:name w:val="Default"/>
    <w:rsid w:val="000F294B"/>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FB45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882503">
      <w:bodyDiv w:val="1"/>
      <w:marLeft w:val="0"/>
      <w:marRight w:val="0"/>
      <w:marTop w:val="0"/>
      <w:marBottom w:val="0"/>
      <w:divBdr>
        <w:top w:val="none" w:sz="0" w:space="0" w:color="auto"/>
        <w:left w:val="none" w:sz="0" w:space="0" w:color="auto"/>
        <w:bottom w:val="none" w:sz="0" w:space="0" w:color="auto"/>
        <w:right w:val="none" w:sz="0" w:space="0" w:color="auto"/>
      </w:divBdr>
      <w:divsChild>
        <w:div w:id="1344431580">
          <w:marLeft w:val="0"/>
          <w:marRight w:val="0"/>
          <w:marTop w:val="0"/>
          <w:marBottom w:val="0"/>
          <w:divBdr>
            <w:top w:val="none" w:sz="0" w:space="0" w:color="auto"/>
            <w:left w:val="none" w:sz="0" w:space="0" w:color="auto"/>
            <w:bottom w:val="none" w:sz="0" w:space="0" w:color="auto"/>
            <w:right w:val="none" w:sz="0" w:space="0" w:color="auto"/>
          </w:divBdr>
        </w:div>
      </w:divsChild>
    </w:div>
    <w:div w:id="1400400244">
      <w:bodyDiv w:val="1"/>
      <w:marLeft w:val="0"/>
      <w:marRight w:val="0"/>
      <w:marTop w:val="0"/>
      <w:marBottom w:val="0"/>
      <w:divBdr>
        <w:top w:val="none" w:sz="0" w:space="0" w:color="auto"/>
        <w:left w:val="none" w:sz="0" w:space="0" w:color="auto"/>
        <w:bottom w:val="none" w:sz="0" w:space="0" w:color="auto"/>
        <w:right w:val="none" w:sz="0" w:space="0" w:color="auto"/>
      </w:divBdr>
      <w:divsChild>
        <w:div w:id="15577390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964</TotalTime>
  <Pages>10</Pages>
  <Words>4588</Words>
  <Characters>26152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Perry,Aaron swp8139</dc:creator>
  <cp:keywords/>
  <dc:description/>
  <cp:lastModifiedBy>Perry,Aaron swp8139</cp:lastModifiedBy>
  <cp:revision>233</cp:revision>
  <dcterms:created xsi:type="dcterms:W3CDTF">2023-08-24T12:22:00Z</dcterms:created>
  <dcterms:modified xsi:type="dcterms:W3CDTF">2023-09-05T17:20:00Z</dcterms:modified>
</cp:coreProperties>
</file>